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E6" w:rsidRPr="00F0248E" w:rsidRDefault="005961E6" w:rsidP="00F0248E">
      <w:pPr>
        <w:tabs>
          <w:tab w:val="clear" w:pos="1418"/>
        </w:tabs>
        <w:jc w:val="center"/>
        <w:rPr>
          <w:rFonts w:cs="Arial"/>
          <w:b/>
        </w:rPr>
      </w:pPr>
      <w:bookmarkStart w:id="0" w:name="_Toc409448629"/>
      <w:bookmarkStart w:id="1" w:name="_Toc406836881"/>
      <w:bookmarkStart w:id="2" w:name="_GoBack"/>
      <w:bookmarkEnd w:id="2"/>
    </w:p>
    <w:p w:rsidR="005961E6" w:rsidRPr="00F0248E" w:rsidRDefault="005961E6">
      <w:pPr>
        <w:jc w:val="center"/>
        <w:rPr>
          <w:rFonts w:ascii="Arial Bold" w:hAnsi="Arial Bold" w:cs="Arial"/>
          <w:b/>
          <w:smallCaps/>
        </w:rPr>
      </w:pPr>
    </w:p>
    <w:p w:rsidR="005961E6" w:rsidRPr="00F0248E" w:rsidRDefault="005961E6" w:rsidP="00F0248E">
      <w:pPr>
        <w:jc w:val="center"/>
        <w:rPr>
          <w:rFonts w:cs="Arial"/>
          <w:b/>
        </w:rPr>
      </w:pPr>
    </w:p>
    <w:p w:rsidR="005961E6" w:rsidRDefault="005961E6" w:rsidP="00F0248E">
      <w:pPr>
        <w:jc w:val="center"/>
        <w:rPr>
          <w:rFonts w:cs="Arial"/>
          <w:b/>
          <w:smallCaps/>
          <w:lang w:val="en-US"/>
        </w:rPr>
      </w:pPr>
    </w:p>
    <w:p w:rsidR="00F0248E" w:rsidRPr="00F0248E" w:rsidRDefault="00F0248E" w:rsidP="00F0248E">
      <w:pPr>
        <w:jc w:val="center"/>
        <w:rPr>
          <w:rFonts w:cs="Arial"/>
          <w:b/>
          <w:smallCaps/>
          <w:lang w:val="en-US"/>
        </w:rPr>
      </w:pPr>
    </w:p>
    <w:p w:rsidR="005961E6" w:rsidRPr="00F0248E" w:rsidRDefault="005961E6" w:rsidP="00F0248E">
      <w:pPr>
        <w:jc w:val="center"/>
        <w:rPr>
          <w:rFonts w:cs="Arial"/>
          <w:b/>
          <w:smallCaps/>
          <w:lang w:val="en-US"/>
        </w:rPr>
      </w:pPr>
    </w:p>
    <w:p w:rsidR="00F0248E" w:rsidRPr="00F0248E" w:rsidRDefault="00F0248E" w:rsidP="00F0248E">
      <w:pPr>
        <w:jc w:val="center"/>
        <w:rPr>
          <w:rFonts w:cs="Arial"/>
          <w:b/>
          <w:smallCaps/>
          <w:lang w:val="en-US"/>
        </w:rPr>
      </w:pPr>
    </w:p>
    <w:p w:rsidR="005961E6" w:rsidRDefault="005961E6">
      <w:pPr>
        <w:pStyle w:val="Normal1"/>
        <w:tabs>
          <w:tab w:val="clear" w:pos="720"/>
        </w:tabs>
        <w:spacing w:after="0"/>
        <w:ind w:left="0"/>
        <w:jc w:val="center"/>
        <w:rPr>
          <w:rFonts w:ascii="Arial" w:hAnsi="Arial" w:cs="Arial"/>
          <w:b/>
          <w:smallCaps/>
          <w:sz w:val="32"/>
          <w:szCs w:val="32"/>
        </w:rPr>
      </w:pPr>
      <w:r>
        <w:rPr>
          <w:rFonts w:ascii="Arial" w:hAnsi="Arial" w:cs="Arial"/>
          <w:b/>
          <w:smallCaps/>
          <w:sz w:val="32"/>
          <w:szCs w:val="32"/>
        </w:rPr>
        <w:t>The Law Reform Commission of Hong Kong</w:t>
      </w:r>
    </w:p>
    <w:p w:rsidR="005961E6" w:rsidRDefault="005961E6">
      <w:pPr>
        <w:pStyle w:val="Normal1"/>
        <w:tabs>
          <w:tab w:val="clear" w:pos="720"/>
        </w:tabs>
        <w:spacing w:after="0"/>
        <w:ind w:left="0"/>
        <w:jc w:val="center"/>
        <w:rPr>
          <w:rFonts w:ascii="Arial" w:hAnsi="Arial" w:cs="Arial"/>
          <w:b/>
          <w:smallCaps/>
          <w:sz w:val="36"/>
          <w:szCs w:val="36"/>
          <w:lang w:val="en-US"/>
        </w:rPr>
      </w:pPr>
    </w:p>
    <w:p w:rsidR="005961E6" w:rsidRDefault="005961E6">
      <w:pPr>
        <w:pStyle w:val="Normal1"/>
        <w:tabs>
          <w:tab w:val="clear" w:pos="720"/>
        </w:tabs>
        <w:spacing w:after="0"/>
        <w:ind w:left="0"/>
        <w:jc w:val="center"/>
        <w:rPr>
          <w:rFonts w:ascii="Arial" w:hAnsi="Arial" w:cs="Arial"/>
          <w:b/>
          <w:smallCaps/>
          <w:sz w:val="36"/>
          <w:szCs w:val="36"/>
          <w:lang w:val="en-US"/>
        </w:rPr>
      </w:pPr>
      <w:r>
        <w:rPr>
          <w:rFonts w:ascii="Arial" w:hAnsi="Arial" w:cs="Arial" w:hint="eastAsia"/>
          <w:b/>
          <w:smallCaps/>
          <w:sz w:val="36"/>
          <w:szCs w:val="36"/>
          <w:lang w:val="en-US"/>
        </w:rPr>
        <w:t xml:space="preserve">Archives Law </w:t>
      </w:r>
      <w:r>
        <w:rPr>
          <w:rFonts w:ascii="Arial" w:hAnsi="Arial" w:cs="Arial"/>
          <w:b/>
          <w:smallCaps/>
          <w:sz w:val="36"/>
          <w:szCs w:val="36"/>
          <w:lang w:val="en-US"/>
        </w:rPr>
        <w:t>Sub-committee</w:t>
      </w:r>
    </w:p>
    <w:p w:rsidR="005961E6" w:rsidRDefault="005961E6">
      <w:pPr>
        <w:pStyle w:val="Normal1"/>
        <w:tabs>
          <w:tab w:val="clear" w:pos="720"/>
        </w:tabs>
        <w:spacing w:after="0"/>
        <w:ind w:left="0"/>
        <w:jc w:val="center"/>
        <w:rPr>
          <w:rFonts w:ascii="Arial" w:hAnsi="Arial" w:cs="Arial"/>
        </w:rPr>
      </w:pPr>
    </w:p>
    <w:p w:rsidR="005961E6" w:rsidRDefault="005961E6">
      <w:pPr>
        <w:pStyle w:val="Normal1"/>
        <w:tabs>
          <w:tab w:val="clear" w:pos="720"/>
        </w:tabs>
        <w:spacing w:after="0"/>
        <w:ind w:left="0"/>
        <w:jc w:val="center"/>
        <w:rPr>
          <w:rFonts w:ascii="Arial" w:hAnsi="Arial" w:cs="Arial"/>
        </w:rPr>
      </w:pPr>
    </w:p>
    <w:p w:rsidR="005961E6" w:rsidRDefault="005961E6">
      <w:pPr>
        <w:pStyle w:val="Normal1"/>
        <w:tabs>
          <w:tab w:val="clear" w:pos="720"/>
        </w:tabs>
        <w:spacing w:after="0"/>
        <w:ind w:left="0"/>
        <w:jc w:val="center"/>
        <w:rPr>
          <w:rFonts w:ascii="Arial" w:hAnsi="Arial" w:cs="Arial"/>
          <w:lang w:val="en-US"/>
        </w:rPr>
      </w:pPr>
    </w:p>
    <w:p w:rsidR="005961E6" w:rsidRDefault="005961E6">
      <w:pPr>
        <w:pStyle w:val="Normal1"/>
        <w:tabs>
          <w:tab w:val="clear" w:pos="720"/>
        </w:tabs>
        <w:spacing w:after="0"/>
        <w:ind w:left="0"/>
        <w:jc w:val="center"/>
        <w:rPr>
          <w:rFonts w:ascii="Arial" w:hAnsi="Arial" w:cs="Arial"/>
        </w:rPr>
      </w:pPr>
    </w:p>
    <w:p w:rsidR="005961E6" w:rsidRDefault="005961E6">
      <w:pPr>
        <w:pStyle w:val="Normal1"/>
        <w:tabs>
          <w:tab w:val="clear" w:pos="720"/>
          <w:tab w:val="center" w:pos="4453"/>
        </w:tabs>
        <w:spacing w:after="0"/>
        <w:ind w:left="0"/>
        <w:jc w:val="center"/>
        <w:rPr>
          <w:rFonts w:ascii="Arial" w:hAnsi="Arial" w:cs="Arial"/>
          <w:b/>
          <w:smallCaps/>
          <w:sz w:val="36"/>
          <w:szCs w:val="36"/>
          <w:lang w:val="en-US"/>
        </w:rPr>
      </w:pPr>
      <w:r>
        <w:rPr>
          <w:rFonts w:ascii="Arial" w:hAnsi="Arial" w:cs="Arial"/>
          <w:b/>
          <w:smallCaps/>
          <w:sz w:val="36"/>
          <w:szCs w:val="36"/>
          <w:lang w:val="en-US"/>
        </w:rPr>
        <w:t>Consultation Paper</w:t>
      </w:r>
    </w:p>
    <w:p w:rsidR="005961E6" w:rsidRDefault="005961E6" w:rsidP="00F0248E">
      <w:pPr>
        <w:pStyle w:val="Normal1"/>
        <w:tabs>
          <w:tab w:val="clear" w:pos="720"/>
          <w:tab w:val="left" w:pos="3480"/>
        </w:tabs>
        <w:spacing w:after="0"/>
        <w:ind w:left="0"/>
        <w:jc w:val="center"/>
        <w:rPr>
          <w:rFonts w:ascii="Arial" w:hAnsi="Arial" w:cs="Arial"/>
          <w:lang w:val="en-US"/>
        </w:rPr>
      </w:pPr>
    </w:p>
    <w:p w:rsidR="005961E6" w:rsidRDefault="005961E6" w:rsidP="00F0248E">
      <w:pPr>
        <w:pStyle w:val="NormalIndent"/>
        <w:ind w:left="0"/>
        <w:jc w:val="center"/>
        <w:rPr>
          <w:rFonts w:cs="Arial"/>
          <w:lang w:val="en-US"/>
        </w:rPr>
      </w:pPr>
    </w:p>
    <w:p w:rsidR="005961E6" w:rsidRDefault="005961E6" w:rsidP="00F0248E">
      <w:pPr>
        <w:pStyle w:val="NormalIndent"/>
        <w:ind w:left="0"/>
        <w:jc w:val="center"/>
        <w:rPr>
          <w:rFonts w:cs="Arial"/>
          <w:lang w:val="en-US"/>
        </w:rPr>
      </w:pPr>
    </w:p>
    <w:p w:rsidR="005961E6" w:rsidRDefault="005961E6" w:rsidP="00F0248E">
      <w:pPr>
        <w:pStyle w:val="NormalIndent"/>
        <w:ind w:left="0"/>
        <w:jc w:val="center"/>
        <w:rPr>
          <w:rFonts w:cs="Arial"/>
          <w:lang w:val="en-US"/>
        </w:rPr>
      </w:pPr>
    </w:p>
    <w:p w:rsidR="005961E6" w:rsidRDefault="005961E6" w:rsidP="00F0248E">
      <w:pPr>
        <w:pStyle w:val="NormalIndent"/>
        <w:ind w:left="0"/>
        <w:jc w:val="center"/>
        <w:rPr>
          <w:rFonts w:cs="Arial"/>
          <w:lang w:val="en-US"/>
        </w:rPr>
      </w:pPr>
    </w:p>
    <w:p w:rsidR="005961E6" w:rsidRDefault="005961E6" w:rsidP="00F0248E">
      <w:pPr>
        <w:pStyle w:val="NormalIndent"/>
        <w:ind w:left="0"/>
        <w:jc w:val="center"/>
        <w:rPr>
          <w:rFonts w:cs="Arial"/>
          <w:lang w:val="en-US"/>
        </w:rPr>
      </w:pPr>
    </w:p>
    <w:p w:rsidR="005961E6" w:rsidRDefault="005961E6" w:rsidP="00F0248E">
      <w:pPr>
        <w:pStyle w:val="NormalIndent"/>
        <w:ind w:left="0"/>
        <w:jc w:val="center"/>
        <w:rPr>
          <w:rFonts w:cs="Arial"/>
          <w:lang w:val="en-US"/>
        </w:rPr>
      </w:pPr>
    </w:p>
    <w:p w:rsidR="005961E6" w:rsidRDefault="005961E6" w:rsidP="00F0248E">
      <w:pPr>
        <w:pStyle w:val="Normal1"/>
        <w:tabs>
          <w:tab w:val="clear" w:pos="720"/>
        </w:tabs>
        <w:spacing w:after="0"/>
        <w:ind w:left="0"/>
        <w:jc w:val="center"/>
        <w:rPr>
          <w:rFonts w:ascii="Arial" w:hAnsi="Arial" w:cs="Arial"/>
          <w:b/>
          <w:smallCaps/>
          <w:sz w:val="36"/>
          <w:szCs w:val="36"/>
          <w:lang w:val="en-US"/>
        </w:rPr>
      </w:pPr>
    </w:p>
    <w:p w:rsidR="005961E6" w:rsidRDefault="005961E6">
      <w:pPr>
        <w:pStyle w:val="Normal1"/>
        <w:tabs>
          <w:tab w:val="clear" w:pos="720"/>
        </w:tabs>
        <w:spacing w:after="0"/>
        <w:ind w:left="0"/>
        <w:jc w:val="center"/>
        <w:rPr>
          <w:rFonts w:ascii="Arial" w:hAnsi="Arial" w:cs="Arial"/>
          <w:b/>
          <w:smallCaps/>
          <w:sz w:val="36"/>
          <w:szCs w:val="36"/>
          <w:lang w:val="en-US"/>
        </w:rPr>
      </w:pPr>
      <w:r>
        <w:rPr>
          <w:rFonts w:ascii="Arial" w:hAnsi="Arial" w:cs="Arial" w:hint="eastAsia"/>
          <w:b/>
          <w:smallCaps/>
          <w:sz w:val="36"/>
          <w:szCs w:val="36"/>
          <w:lang w:val="en-US"/>
        </w:rPr>
        <w:t>Archives Law</w:t>
      </w:r>
    </w:p>
    <w:p w:rsidR="005961E6" w:rsidRDefault="005961E6" w:rsidP="00F0248E">
      <w:pPr>
        <w:pStyle w:val="NormalIndent"/>
        <w:jc w:val="center"/>
        <w:rPr>
          <w:rFonts w:cs="Arial"/>
          <w:lang w:val="en-US"/>
        </w:rPr>
      </w:pPr>
    </w:p>
    <w:p w:rsidR="005961E6" w:rsidRDefault="005961E6" w:rsidP="00F0248E">
      <w:pPr>
        <w:pStyle w:val="NormalIndent"/>
        <w:jc w:val="center"/>
        <w:rPr>
          <w:rFonts w:cs="Arial"/>
          <w:lang w:val="en-US"/>
        </w:rPr>
      </w:pPr>
    </w:p>
    <w:p w:rsidR="005961E6" w:rsidRDefault="005961E6" w:rsidP="00F0248E">
      <w:pPr>
        <w:pStyle w:val="NormalIndent"/>
        <w:jc w:val="center"/>
        <w:rPr>
          <w:rFonts w:cs="Arial"/>
          <w:lang w:val="en-US"/>
        </w:rPr>
      </w:pPr>
    </w:p>
    <w:p w:rsidR="00F0248E" w:rsidRDefault="00F0248E" w:rsidP="00F0248E">
      <w:pPr>
        <w:pStyle w:val="NormalIndent"/>
        <w:jc w:val="center"/>
        <w:rPr>
          <w:rFonts w:cs="Arial"/>
          <w:lang w:val="en-US"/>
        </w:rPr>
      </w:pPr>
    </w:p>
    <w:p w:rsidR="00F0248E" w:rsidRDefault="00F0248E" w:rsidP="00F0248E">
      <w:pPr>
        <w:pStyle w:val="NormalIndent"/>
        <w:jc w:val="center"/>
        <w:rPr>
          <w:rFonts w:cs="Arial"/>
          <w:lang w:val="en-US"/>
        </w:rPr>
      </w:pPr>
    </w:p>
    <w:p w:rsidR="005961E6" w:rsidRDefault="005961E6" w:rsidP="00F0248E">
      <w:pPr>
        <w:pStyle w:val="NormalIndent"/>
        <w:jc w:val="center"/>
        <w:rPr>
          <w:rFonts w:cs="Arial"/>
          <w:lang w:val="en-US"/>
        </w:rPr>
      </w:pPr>
    </w:p>
    <w:p w:rsidR="00F0248E" w:rsidRDefault="00F0248E" w:rsidP="00F0248E">
      <w:pPr>
        <w:pStyle w:val="NormalIndent"/>
        <w:jc w:val="center"/>
        <w:rPr>
          <w:rFonts w:cs="Arial"/>
          <w:lang w:val="en-US"/>
        </w:rPr>
      </w:pPr>
    </w:p>
    <w:p w:rsidR="00F0248E" w:rsidRDefault="00F0248E" w:rsidP="00F0248E">
      <w:pPr>
        <w:pStyle w:val="NormalIndent"/>
        <w:jc w:val="center"/>
        <w:rPr>
          <w:rFonts w:cs="Arial"/>
          <w:lang w:val="en-US"/>
        </w:rPr>
      </w:pPr>
    </w:p>
    <w:p w:rsidR="005961E6" w:rsidRDefault="005961E6" w:rsidP="00F0248E">
      <w:pPr>
        <w:pStyle w:val="NormalIndent"/>
        <w:jc w:val="center"/>
        <w:rPr>
          <w:rFonts w:cs="Arial"/>
          <w:lang w:val="en-US"/>
        </w:rPr>
      </w:pPr>
    </w:p>
    <w:p w:rsidR="005961E6" w:rsidRDefault="005961E6">
      <w:pPr>
        <w:tabs>
          <w:tab w:val="left" w:pos="720"/>
        </w:tabs>
        <w:jc w:val="center"/>
        <w:rPr>
          <w:rFonts w:cs="Arial"/>
        </w:rPr>
      </w:pPr>
      <w:r>
        <w:rPr>
          <w:rFonts w:cs="Arial"/>
        </w:rPr>
        <w:t>This consultation paper can be found on the Internet at:</w:t>
      </w:r>
    </w:p>
    <w:p w:rsidR="005961E6" w:rsidRDefault="005961E6">
      <w:pPr>
        <w:jc w:val="center"/>
        <w:rPr>
          <w:rFonts w:cs="Arial"/>
          <w:b/>
          <w:smallCaps/>
          <w:sz w:val="36"/>
          <w:szCs w:val="36"/>
        </w:rPr>
      </w:pPr>
      <w:r>
        <w:rPr>
          <w:rFonts w:cs="Arial"/>
          <w:b/>
        </w:rPr>
        <w:t>&lt;</w:t>
      </w:r>
      <w:r>
        <w:rPr>
          <w:rFonts w:cs="Arial"/>
          <w:b/>
          <w:i/>
        </w:rPr>
        <w:t>http://www.hkreform.gov.hk</w:t>
      </w:r>
      <w:r>
        <w:rPr>
          <w:rFonts w:cs="Arial"/>
          <w:b/>
        </w:rPr>
        <w:t>&gt;</w:t>
      </w:r>
    </w:p>
    <w:p w:rsidR="005961E6" w:rsidRDefault="005961E6" w:rsidP="00F0248E">
      <w:pPr>
        <w:pStyle w:val="NormalIndent"/>
        <w:jc w:val="center"/>
        <w:rPr>
          <w:rFonts w:cs="Arial"/>
        </w:rPr>
      </w:pPr>
    </w:p>
    <w:p w:rsidR="005961E6" w:rsidRDefault="005961E6" w:rsidP="00F0248E">
      <w:pPr>
        <w:pStyle w:val="NormalIndent"/>
        <w:jc w:val="center"/>
        <w:rPr>
          <w:rFonts w:cs="Arial"/>
          <w:lang w:val="en-US"/>
        </w:rPr>
      </w:pPr>
    </w:p>
    <w:p w:rsidR="005961E6" w:rsidRDefault="005961E6" w:rsidP="00F0248E">
      <w:pPr>
        <w:pStyle w:val="NormalIndent"/>
        <w:jc w:val="center"/>
        <w:rPr>
          <w:rFonts w:cs="Arial"/>
          <w:lang w:val="en-US"/>
        </w:rPr>
      </w:pPr>
    </w:p>
    <w:p w:rsidR="005961E6" w:rsidRDefault="005961E6" w:rsidP="00F0248E">
      <w:pPr>
        <w:pStyle w:val="NormalIndent"/>
        <w:jc w:val="center"/>
        <w:rPr>
          <w:rFonts w:cs="Arial"/>
          <w:lang w:val="en-US"/>
        </w:rPr>
      </w:pPr>
    </w:p>
    <w:p w:rsidR="005961E6" w:rsidRDefault="005961E6">
      <w:pPr>
        <w:pStyle w:val="Normal1"/>
        <w:tabs>
          <w:tab w:val="clear" w:pos="720"/>
        </w:tabs>
        <w:spacing w:after="0"/>
        <w:ind w:left="0"/>
        <w:jc w:val="center"/>
        <w:rPr>
          <w:rFonts w:ascii="Arial" w:hAnsi="Arial" w:cs="Arial"/>
        </w:rPr>
      </w:pPr>
    </w:p>
    <w:p w:rsidR="005961E6" w:rsidRDefault="00A723E5">
      <w:pPr>
        <w:pStyle w:val="Normal1"/>
        <w:tabs>
          <w:tab w:val="clear" w:pos="720"/>
        </w:tabs>
        <w:spacing w:after="0"/>
        <w:ind w:left="0"/>
        <w:jc w:val="center"/>
        <w:rPr>
          <w:rFonts w:ascii="Arial" w:hAnsi="Arial" w:cs="Arial"/>
          <w:b/>
          <w:sz w:val="28"/>
          <w:szCs w:val="28"/>
        </w:rPr>
      </w:pPr>
      <w:r>
        <w:rPr>
          <w:rFonts w:ascii="Arial" w:hAnsi="Arial" w:cs="Arial"/>
          <w:b/>
          <w:sz w:val="28"/>
          <w:szCs w:val="28"/>
        </w:rPr>
        <w:t xml:space="preserve">December </w:t>
      </w:r>
      <w:r w:rsidR="00D7513C">
        <w:rPr>
          <w:rFonts w:ascii="Arial" w:hAnsi="Arial" w:cs="Arial"/>
          <w:b/>
          <w:sz w:val="28"/>
          <w:szCs w:val="28"/>
        </w:rPr>
        <w:t>2018</w:t>
      </w:r>
    </w:p>
    <w:p w:rsidR="005961E6" w:rsidRDefault="005961E6">
      <w:pPr>
        <w:rPr>
          <w:rFonts w:cs="Arial"/>
          <w:b/>
          <w:smallCaps/>
          <w:sz w:val="32"/>
          <w:szCs w:val="32"/>
        </w:rPr>
      </w:pPr>
    </w:p>
    <w:p w:rsidR="005961E6" w:rsidRDefault="005961E6">
      <w:pPr>
        <w:rPr>
          <w:rFonts w:cs="Arial"/>
          <w:b/>
          <w:smallCaps/>
          <w:sz w:val="32"/>
          <w:szCs w:val="32"/>
        </w:rPr>
        <w:sectPr w:rsidR="005961E6" w:rsidSect="0099054B">
          <w:footerReference w:type="even" r:id="rId10"/>
          <w:footnotePr>
            <w:numStart w:val="49"/>
            <w:numRestart w:val="eachSect"/>
          </w:footnotePr>
          <w:pgSz w:w="11906" w:h="16838" w:code="9"/>
          <w:pgMar w:top="1440" w:right="1800" w:bottom="1440" w:left="1800" w:header="720" w:footer="720" w:gutter="0"/>
          <w:pgNumType w:fmt="lowerRoman" w:start="1"/>
          <w:cols w:space="425"/>
          <w:docGrid w:type="linesAndChars" w:linePitch="360"/>
        </w:sectPr>
      </w:pP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rPr>
          <w:rFonts w:cs="Arial"/>
          <w:i/>
          <w:lang w:val="en-US"/>
        </w:rPr>
      </w:pPr>
    </w:p>
    <w:p w:rsidR="00F0248E" w:rsidRDefault="00F0248E" w:rsidP="00F0248E">
      <w:pPr>
        <w:pBdr>
          <w:top w:val="single" w:sz="12" w:space="0" w:color="auto"/>
          <w:left w:val="single" w:sz="12" w:space="15" w:color="auto"/>
          <w:bottom w:val="single" w:sz="12" w:space="15" w:color="auto"/>
          <w:right w:val="single" w:sz="12" w:space="15" w:color="auto"/>
        </w:pBdr>
        <w:shd w:val="pct10" w:color="auto" w:fill="FFFFFF"/>
        <w:rPr>
          <w:rFonts w:cs="Arial"/>
          <w:i/>
          <w:lang w:val="en-US"/>
        </w:rPr>
      </w:pP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 xml:space="preserve">This Consultation Paper has been prepared by the </w:t>
      </w:r>
      <w:r>
        <w:rPr>
          <w:rFonts w:cs="Arial" w:hint="eastAsia"/>
          <w:i/>
          <w:sz w:val="28"/>
          <w:szCs w:val="28"/>
        </w:rPr>
        <w:t xml:space="preserve">Archives Law </w:t>
      </w:r>
      <w:r>
        <w:rPr>
          <w:rFonts w:cs="Arial"/>
          <w:i/>
          <w:sz w:val="28"/>
          <w:szCs w:val="28"/>
        </w:rPr>
        <w:t>Sub-committee of the Law Reform Commission.  It does not represent the final views of either the Sub-committee or the Law Reform Commission, and is circulated for comment and discussion only.</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rPr>
          <w:rFonts w:cs="Arial"/>
          <w:i/>
        </w:rPr>
      </w:pP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rPr>
          <w:rFonts w:cs="Arial"/>
          <w:i/>
          <w:sz w:val="28"/>
          <w:szCs w:val="28"/>
        </w:rPr>
      </w:pPr>
      <w:r>
        <w:rPr>
          <w:rFonts w:cs="Arial"/>
          <w:i/>
          <w:sz w:val="28"/>
          <w:szCs w:val="28"/>
        </w:rPr>
        <w:t xml:space="preserve">The Sub-committee would be grateful for comments on this Consultation Paper by </w:t>
      </w:r>
      <w:r w:rsidR="0018163E">
        <w:rPr>
          <w:rFonts w:cs="Arial"/>
          <w:i/>
          <w:sz w:val="28"/>
          <w:szCs w:val="28"/>
        </w:rPr>
        <w:t>5 M</w:t>
      </w:r>
      <w:r w:rsidR="00FB52FC">
        <w:rPr>
          <w:rFonts w:cs="Arial"/>
          <w:i/>
          <w:sz w:val="28"/>
          <w:szCs w:val="28"/>
        </w:rPr>
        <w:t>arch</w:t>
      </w:r>
      <w:r w:rsidR="0018163E">
        <w:rPr>
          <w:rFonts w:cs="Arial"/>
          <w:i/>
          <w:sz w:val="28"/>
          <w:szCs w:val="28"/>
        </w:rPr>
        <w:t xml:space="preserve"> 2019</w:t>
      </w:r>
      <w:r>
        <w:rPr>
          <w:rFonts w:cs="Arial"/>
          <w:i/>
          <w:sz w:val="28"/>
          <w:szCs w:val="28"/>
        </w:rPr>
        <w:t>.  All correspondence should be addressed to:</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rPr>
          <w:rFonts w:cs="Arial"/>
          <w:i/>
        </w:rPr>
      </w:pP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The Secretary</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r>
      <w:r>
        <w:rPr>
          <w:rFonts w:cs="Arial" w:hint="eastAsia"/>
          <w:i/>
          <w:sz w:val="28"/>
          <w:szCs w:val="28"/>
        </w:rPr>
        <w:t>Archives Law</w:t>
      </w:r>
      <w:r>
        <w:rPr>
          <w:rFonts w:cs="Arial"/>
          <w:i/>
          <w:sz w:val="28"/>
          <w:szCs w:val="28"/>
        </w:rPr>
        <w:t xml:space="preserve"> Sub-committee</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The Law Reform Commission</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4th Floor, East Wing, Justice Place</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18 Lower Albert Road</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Central</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Hong Kong</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rPr>
      </w:pP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s>
        <w:rPr>
          <w:rFonts w:cs="Arial"/>
          <w:i/>
          <w:sz w:val="28"/>
          <w:szCs w:val="28"/>
        </w:rPr>
      </w:pPr>
      <w:r>
        <w:rPr>
          <w:rFonts w:cs="Arial"/>
          <w:i/>
          <w:sz w:val="28"/>
          <w:szCs w:val="28"/>
        </w:rPr>
        <w:tab/>
        <w:t>Telephone:</w:t>
      </w:r>
      <w:r>
        <w:rPr>
          <w:rFonts w:cs="Arial"/>
          <w:i/>
          <w:sz w:val="28"/>
          <w:szCs w:val="28"/>
        </w:rPr>
        <w:tab/>
        <w:t>(852) 3918 4097</w:t>
      </w: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tabs>
          <w:tab w:val="clear" w:pos="1418"/>
          <w:tab w:val="left" w:pos="1430"/>
        </w:tabs>
        <w:ind w:left="0"/>
        <w:rPr>
          <w:rFonts w:cs="Arial"/>
          <w:i/>
          <w:sz w:val="28"/>
          <w:szCs w:val="28"/>
        </w:rPr>
      </w:pPr>
      <w:r>
        <w:rPr>
          <w:rFonts w:cs="Arial"/>
          <w:i/>
          <w:sz w:val="28"/>
          <w:szCs w:val="28"/>
        </w:rPr>
        <w:tab/>
        <w:t>Fax:</w:t>
      </w:r>
      <w:r>
        <w:rPr>
          <w:rFonts w:cs="Arial"/>
          <w:i/>
          <w:sz w:val="28"/>
          <w:szCs w:val="28"/>
        </w:rPr>
        <w:tab/>
      </w:r>
      <w:r>
        <w:rPr>
          <w:rFonts w:cs="Arial"/>
          <w:i/>
          <w:sz w:val="28"/>
          <w:szCs w:val="28"/>
        </w:rPr>
        <w:tab/>
        <w:t>(852) 3918 4096</w:t>
      </w: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tabs>
          <w:tab w:val="clear" w:pos="1418"/>
          <w:tab w:val="left" w:pos="1440"/>
          <w:tab w:val="left" w:pos="2880"/>
        </w:tabs>
        <w:ind w:left="0"/>
        <w:rPr>
          <w:rFonts w:cs="Arial"/>
          <w:i/>
          <w:sz w:val="28"/>
          <w:szCs w:val="28"/>
        </w:rPr>
      </w:pPr>
      <w:r>
        <w:rPr>
          <w:rFonts w:cs="Arial"/>
          <w:i/>
          <w:sz w:val="28"/>
          <w:szCs w:val="28"/>
        </w:rPr>
        <w:tab/>
        <w:t>E-mail:</w:t>
      </w:r>
      <w:r>
        <w:rPr>
          <w:rFonts w:cs="Arial"/>
          <w:i/>
          <w:sz w:val="28"/>
          <w:szCs w:val="28"/>
        </w:rPr>
        <w:tab/>
        <w:t>hklrc@hkreform.gov.hk</w:t>
      </w: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sz w:val="28"/>
          <w:szCs w:val="28"/>
        </w:rPr>
      </w:pPr>
      <w:r>
        <w:rPr>
          <w:rFonts w:cs="Arial"/>
          <w:i/>
          <w:sz w:val="28"/>
          <w:szCs w:val="28"/>
        </w:rPr>
        <w:t>It may be helpful for the Commission and the Sub-committee, either in discussion with others or in any subsequent report, to be able to refer to and attribute comments submitted in response to this Consultation Paper.  Any request to treat all or part of a response in confidence will, of course, be respected, but if no such request is made, the Commission will assume that the response is not intended to be confidential.</w:t>
      </w:r>
    </w:p>
    <w:p w:rsidR="005961E6" w:rsidRDefault="005961E6" w:rsidP="00F0248E">
      <w:pPr>
        <w:pBdr>
          <w:top w:val="single" w:sz="12" w:space="0" w:color="auto"/>
          <w:left w:val="single" w:sz="12" w:space="15" w:color="auto"/>
          <w:bottom w:val="single" w:sz="12" w:space="15" w:color="auto"/>
          <w:right w:val="single" w:sz="12" w:space="15" w:color="auto"/>
        </w:pBdr>
        <w:shd w:val="pct10" w:color="auto" w:fill="FFFFFF"/>
        <w:rPr>
          <w:rFonts w:cs="Arial"/>
        </w:rPr>
      </w:pP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sz w:val="28"/>
          <w:szCs w:val="28"/>
        </w:rPr>
      </w:pPr>
      <w:r>
        <w:rPr>
          <w:rFonts w:cs="Arial"/>
          <w:i/>
          <w:sz w:val="28"/>
          <w:szCs w:val="28"/>
        </w:rPr>
        <w:t>It is the Commission's usual practice to acknowledge by name in the final report anyone who responds to a consultation paper.  If you do not wish such an acknowledgment, please say so in your response.</w:t>
      </w:r>
    </w:p>
    <w:p w:rsidR="00F0248E" w:rsidRDefault="00F0248E"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sz w:val="28"/>
          <w:szCs w:val="28"/>
        </w:rPr>
      </w:pPr>
    </w:p>
    <w:p w:rsidR="005961E6" w:rsidRDefault="005961E6" w:rsidP="00F0248E">
      <w:pPr>
        <w:pStyle w:val="NormalIndent"/>
        <w:pBdr>
          <w:top w:val="single" w:sz="12" w:space="0" w:color="auto"/>
          <w:left w:val="single" w:sz="12" w:space="15" w:color="auto"/>
          <w:bottom w:val="single" w:sz="12" w:space="15" w:color="auto"/>
          <w:right w:val="single" w:sz="12" w:space="15" w:color="auto"/>
        </w:pBdr>
        <w:shd w:val="pct10" w:color="auto" w:fill="FFFFFF"/>
        <w:ind w:left="0"/>
        <w:rPr>
          <w:rFonts w:cs="Arial"/>
          <w:i/>
        </w:rPr>
      </w:pPr>
    </w:p>
    <w:p w:rsidR="005961E6" w:rsidRDefault="005961E6">
      <w:pPr>
        <w:pStyle w:val="Heading1"/>
        <w:rPr>
          <w:rFonts w:cs="Arial"/>
          <w:sz w:val="32"/>
          <w:szCs w:val="32"/>
        </w:rPr>
        <w:sectPr w:rsidR="005961E6" w:rsidSect="0099054B">
          <w:footerReference w:type="even" r:id="rId11"/>
          <w:footerReference w:type="default" r:id="rId12"/>
          <w:footnotePr>
            <w:numStart w:val="49"/>
            <w:numRestart w:val="eachSect"/>
          </w:footnotePr>
          <w:pgSz w:w="11906" w:h="16838" w:code="9"/>
          <w:pgMar w:top="1440" w:right="1800" w:bottom="1440" w:left="1800" w:header="720" w:footer="720" w:gutter="0"/>
          <w:pgNumType w:fmt="lowerRoman" w:start="1"/>
          <w:cols w:space="425"/>
          <w:docGrid w:type="linesAndChars" w:linePitch="360"/>
        </w:sectPr>
      </w:pPr>
    </w:p>
    <w:p w:rsidR="005961E6" w:rsidRDefault="005961E6">
      <w:pPr>
        <w:pStyle w:val="Heading1"/>
        <w:rPr>
          <w:rFonts w:cs="Arial"/>
          <w:smallCaps/>
          <w:sz w:val="32"/>
          <w:szCs w:val="32"/>
        </w:rPr>
      </w:pPr>
      <w:r>
        <w:rPr>
          <w:rFonts w:cs="Arial"/>
          <w:sz w:val="32"/>
          <w:szCs w:val="32"/>
        </w:rPr>
        <w:lastRenderedPageBreak/>
        <w:t>T</w:t>
      </w:r>
      <w:r>
        <w:rPr>
          <w:rFonts w:cs="Arial"/>
          <w:smallCaps/>
          <w:sz w:val="32"/>
          <w:szCs w:val="32"/>
        </w:rPr>
        <w:t>he Law Reform Commission</w:t>
      </w:r>
    </w:p>
    <w:p w:rsidR="005961E6" w:rsidRDefault="005961E6">
      <w:pPr>
        <w:rPr>
          <w:rFonts w:cs="Arial"/>
          <w:b/>
          <w:smallCaps/>
          <w:sz w:val="32"/>
          <w:szCs w:val="32"/>
          <w:lang w:val="en-US"/>
        </w:rPr>
      </w:pPr>
      <w:r>
        <w:rPr>
          <w:rFonts w:cs="Arial"/>
          <w:b/>
          <w:smallCaps/>
          <w:sz w:val="32"/>
          <w:szCs w:val="32"/>
          <w:lang w:val="en-US"/>
        </w:rPr>
        <w:t xml:space="preserve">of Hong Kong </w:t>
      </w:r>
    </w:p>
    <w:p w:rsidR="005961E6" w:rsidRDefault="005961E6">
      <w:pPr>
        <w:rPr>
          <w:rFonts w:cs="Arial"/>
          <w:b/>
        </w:rPr>
      </w:pPr>
    </w:p>
    <w:p w:rsidR="005961E6" w:rsidRDefault="005961E6">
      <w:pPr>
        <w:rPr>
          <w:rFonts w:cs="Arial"/>
          <w:b/>
          <w:smallCaps/>
          <w:sz w:val="28"/>
          <w:szCs w:val="28"/>
        </w:rPr>
      </w:pPr>
      <w:r>
        <w:rPr>
          <w:rFonts w:cs="Arial" w:hint="eastAsia"/>
          <w:b/>
          <w:smallCaps/>
          <w:sz w:val="28"/>
          <w:szCs w:val="28"/>
        </w:rPr>
        <w:t xml:space="preserve">Archives Law </w:t>
      </w:r>
      <w:r>
        <w:rPr>
          <w:rFonts w:cs="Arial"/>
          <w:b/>
          <w:smallCaps/>
          <w:sz w:val="28"/>
          <w:szCs w:val="28"/>
        </w:rPr>
        <w:t>Sub-committee</w:t>
      </w:r>
    </w:p>
    <w:p w:rsidR="005961E6" w:rsidRDefault="005961E6">
      <w:pPr>
        <w:rPr>
          <w:rFonts w:cs="Arial"/>
          <w:b/>
          <w:smallCaps/>
        </w:rPr>
      </w:pPr>
    </w:p>
    <w:p w:rsidR="005961E6" w:rsidRDefault="005961E6">
      <w:pPr>
        <w:rPr>
          <w:rFonts w:cs="Arial"/>
          <w:b/>
          <w:smallCaps/>
        </w:rPr>
      </w:pPr>
    </w:p>
    <w:p w:rsidR="005961E6" w:rsidRDefault="005961E6">
      <w:pPr>
        <w:rPr>
          <w:rFonts w:cs="Arial"/>
          <w:b/>
          <w:smallCaps/>
          <w:sz w:val="28"/>
          <w:szCs w:val="28"/>
        </w:rPr>
      </w:pPr>
      <w:r>
        <w:rPr>
          <w:rFonts w:cs="Arial"/>
          <w:b/>
          <w:smallCaps/>
          <w:sz w:val="28"/>
          <w:szCs w:val="28"/>
        </w:rPr>
        <w:t>Consultation Paper</w:t>
      </w:r>
    </w:p>
    <w:p w:rsidR="005961E6" w:rsidRDefault="005961E6">
      <w:pPr>
        <w:pStyle w:val="Heading1"/>
        <w:rPr>
          <w:rFonts w:cs="Arial"/>
          <w:smallCaps/>
          <w:sz w:val="24"/>
        </w:rPr>
      </w:pPr>
    </w:p>
    <w:p w:rsidR="005961E6" w:rsidRDefault="005961E6">
      <w:pPr>
        <w:rPr>
          <w:rFonts w:cs="Arial"/>
        </w:rPr>
      </w:pPr>
    </w:p>
    <w:p w:rsidR="005961E6" w:rsidRDefault="005961E6">
      <w:pPr>
        <w:rPr>
          <w:rFonts w:cs="Arial"/>
          <w:b/>
          <w:smallCaps/>
          <w:sz w:val="28"/>
          <w:szCs w:val="28"/>
        </w:rPr>
      </w:pPr>
      <w:r>
        <w:rPr>
          <w:rFonts w:cs="Arial" w:hint="eastAsia"/>
          <w:b/>
          <w:smallCaps/>
          <w:sz w:val="28"/>
          <w:szCs w:val="28"/>
        </w:rPr>
        <w:t>Archives Law</w:t>
      </w:r>
    </w:p>
    <w:p w:rsidR="005961E6" w:rsidRDefault="005961E6">
      <w:pPr>
        <w:rPr>
          <w:rFonts w:cs="Arial"/>
          <w:lang w:val="en-US"/>
        </w:rPr>
      </w:pPr>
      <w:r>
        <w:rPr>
          <w:rFonts w:cs="Arial"/>
          <w:lang w:val="en-US"/>
        </w:rPr>
        <w:t>_____________</w:t>
      </w:r>
      <w:r w:rsidR="00E01289">
        <w:rPr>
          <w:rFonts w:cs="Arial"/>
          <w:lang w:val="en-US"/>
        </w:rPr>
        <w:t>_</w:t>
      </w:r>
    </w:p>
    <w:p w:rsidR="005961E6" w:rsidRDefault="005961E6">
      <w:pPr>
        <w:rPr>
          <w:rFonts w:cs="Arial"/>
        </w:rPr>
      </w:pPr>
    </w:p>
    <w:p w:rsidR="005961E6" w:rsidRDefault="005961E6">
      <w:pPr>
        <w:rPr>
          <w:rFonts w:cs="Arial"/>
        </w:rPr>
      </w:pPr>
    </w:p>
    <w:p w:rsidR="005961E6" w:rsidRDefault="005961E6">
      <w:pPr>
        <w:rPr>
          <w:rFonts w:cs="Arial"/>
          <w:b/>
          <w:i/>
        </w:rPr>
      </w:pPr>
      <w:bookmarkStart w:id="3" w:name="Contents"/>
      <w:bookmarkEnd w:id="3"/>
      <w:r>
        <w:rPr>
          <w:rFonts w:cs="Arial"/>
          <w:b/>
          <w:i/>
        </w:rPr>
        <w:t>CONTENTS</w:t>
      </w:r>
    </w:p>
    <w:p w:rsidR="005961E6" w:rsidRDefault="005961E6">
      <w:pPr>
        <w:rPr>
          <w:rFonts w:cs="Arial"/>
          <w:lang w:val="en-US"/>
        </w:rPr>
      </w:pPr>
    </w:p>
    <w:p w:rsidR="005961E6" w:rsidRDefault="005961E6">
      <w:pPr>
        <w:rPr>
          <w:rFonts w:cs="Arial"/>
          <w:lang w:val="en-US"/>
        </w:rPr>
      </w:pPr>
    </w:p>
    <w:p w:rsidR="005961E6" w:rsidRDefault="005961E6">
      <w:pPr>
        <w:rPr>
          <w:rFonts w:cs="Arial"/>
        </w:rPr>
      </w:pPr>
    </w:p>
    <w:tbl>
      <w:tblPr>
        <w:tblW w:w="0" w:type="auto"/>
        <w:tblLayout w:type="fixed"/>
        <w:tblCellMar>
          <w:left w:w="28" w:type="dxa"/>
          <w:right w:w="28" w:type="dxa"/>
        </w:tblCellMar>
        <w:tblLook w:val="0000" w:firstRow="0" w:lastRow="0" w:firstColumn="0" w:lastColumn="0" w:noHBand="0" w:noVBand="0"/>
      </w:tblPr>
      <w:tblGrid>
        <w:gridCol w:w="7588"/>
        <w:gridCol w:w="774"/>
      </w:tblGrid>
      <w:tr w:rsidR="005961E6">
        <w:tblPrEx>
          <w:tblCellMar>
            <w:top w:w="0" w:type="dxa"/>
            <w:bottom w:w="0" w:type="dxa"/>
          </w:tblCellMar>
        </w:tblPrEx>
        <w:trPr>
          <w:tblHeader/>
        </w:trPr>
        <w:tc>
          <w:tcPr>
            <w:tcW w:w="7588" w:type="dxa"/>
          </w:tcPr>
          <w:p w:rsidR="005961E6" w:rsidRDefault="005961E6">
            <w:pPr>
              <w:ind w:right="332"/>
              <w:rPr>
                <w:rFonts w:cs="Arial"/>
                <w:b/>
                <w:i/>
              </w:rPr>
            </w:pPr>
            <w:r>
              <w:rPr>
                <w:rFonts w:cs="Arial"/>
                <w:b/>
                <w:i/>
              </w:rPr>
              <w:t>Chapter</w:t>
            </w:r>
          </w:p>
        </w:tc>
        <w:tc>
          <w:tcPr>
            <w:tcW w:w="774" w:type="dxa"/>
          </w:tcPr>
          <w:p w:rsidR="005961E6" w:rsidRDefault="005961E6">
            <w:pPr>
              <w:jc w:val="center"/>
              <w:rPr>
                <w:rFonts w:cs="Arial"/>
                <w:b/>
                <w:i/>
                <w:lang w:val="en-US"/>
              </w:rPr>
            </w:pPr>
            <w:r>
              <w:rPr>
                <w:rFonts w:cs="Arial" w:hint="eastAsia"/>
                <w:b/>
                <w:i/>
                <w:lang w:val="en-US"/>
              </w:rPr>
              <w:t>Page</w:t>
            </w:r>
          </w:p>
        </w:tc>
      </w:tr>
      <w:tr w:rsidR="005961E6">
        <w:tblPrEx>
          <w:tblCellMar>
            <w:top w:w="0" w:type="dxa"/>
            <w:bottom w:w="0" w:type="dxa"/>
          </w:tblCellMar>
        </w:tblPrEx>
        <w:trPr>
          <w:tblHeader/>
        </w:trPr>
        <w:tc>
          <w:tcPr>
            <w:tcW w:w="7588" w:type="dxa"/>
          </w:tcPr>
          <w:p w:rsidR="005961E6" w:rsidRDefault="005961E6">
            <w:pPr>
              <w:ind w:right="332"/>
              <w:rPr>
                <w:rFonts w:cs="Arial"/>
                <w:b/>
              </w:rPr>
            </w:pPr>
          </w:p>
        </w:tc>
        <w:tc>
          <w:tcPr>
            <w:tcW w:w="774" w:type="dxa"/>
          </w:tcPr>
          <w:p w:rsidR="005961E6" w:rsidRDefault="005961E6">
            <w:pPr>
              <w:jc w:val="center"/>
              <w:rPr>
                <w:rFonts w:cs="Arial"/>
              </w:rPr>
            </w:pPr>
          </w:p>
        </w:tc>
      </w:tr>
      <w:tr w:rsidR="005961E6">
        <w:tblPrEx>
          <w:tblCellMar>
            <w:top w:w="0" w:type="dxa"/>
            <w:bottom w:w="0" w:type="dxa"/>
          </w:tblCellMar>
        </w:tblPrEx>
        <w:tc>
          <w:tcPr>
            <w:tcW w:w="7588" w:type="dxa"/>
          </w:tcPr>
          <w:p w:rsidR="005961E6" w:rsidRDefault="005961E6" w:rsidP="00C152D3">
            <w:pPr>
              <w:ind w:right="332"/>
              <w:rPr>
                <w:rFonts w:cs="Arial"/>
                <w:b/>
              </w:rPr>
            </w:pPr>
            <w:r>
              <w:rPr>
                <w:rFonts w:cs="Arial" w:hint="eastAsia"/>
                <w:b/>
              </w:rPr>
              <w:t xml:space="preserve">List of </w:t>
            </w:r>
            <w:r w:rsidR="004D533A">
              <w:rPr>
                <w:rFonts w:cs="Arial" w:hint="eastAsia"/>
                <w:b/>
              </w:rPr>
              <w:t>a</w:t>
            </w:r>
            <w:r>
              <w:rPr>
                <w:rFonts w:cs="Arial" w:hint="eastAsia"/>
                <w:b/>
              </w:rPr>
              <w:t>bbreviations</w:t>
            </w:r>
          </w:p>
        </w:tc>
        <w:tc>
          <w:tcPr>
            <w:tcW w:w="774" w:type="dxa"/>
          </w:tcPr>
          <w:p w:rsidR="005961E6" w:rsidRDefault="003850FF">
            <w:pPr>
              <w:jc w:val="center"/>
              <w:rPr>
                <w:rFonts w:cs="Arial"/>
                <w:lang w:val="en-US"/>
              </w:rPr>
            </w:pPr>
            <w:r>
              <w:rPr>
                <w:rFonts w:cs="Arial" w:hint="eastAsia"/>
                <w:lang w:val="en-US"/>
              </w:rPr>
              <w:t>1</w:t>
            </w:r>
          </w:p>
        </w:tc>
      </w:tr>
      <w:tr w:rsidR="005961E6">
        <w:tblPrEx>
          <w:tblCellMar>
            <w:top w:w="0" w:type="dxa"/>
            <w:bottom w:w="0" w:type="dxa"/>
          </w:tblCellMar>
        </w:tblPrEx>
        <w:tc>
          <w:tcPr>
            <w:tcW w:w="7588" w:type="dxa"/>
          </w:tcPr>
          <w:p w:rsidR="005961E6" w:rsidRDefault="005961E6">
            <w:pPr>
              <w:ind w:right="332"/>
              <w:rPr>
                <w:rFonts w:cs="Arial"/>
                <w:b/>
                <w:lang w:val="en-US"/>
              </w:rPr>
            </w:pPr>
          </w:p>
        </w:tc>
        <w:tc>
          <w:tcPr>
            <w:tcW w:w="774" w:type="dxa"/>
          </w:tcPr>
          <w:p w:rsidR="005961E6" w:rsidRDefault="005961E6">
            <w:pPr>
              <w:jc w:val="center"/>
              <w:rPr>
                <w:rFonts w:cs="Arial"/>
                <w:highlight w:val="yellow"/>
                <w:lang w:val="en-US"/>
              </w:rPr>
            </w:pPr>
          </w:p>
        </w:tc>
      </w:tr>
      <w:tr w:rsidR="005961E6">
        <w:tblPrEx>
          <w:tblCellMar>
            <w:top w:w="0" w:type="dxa"/>
            <w:bottom w:w="0" w:type="dxa"/>
          </w:tblCellMar>
        </w:tblPrEx>
        <w:tc>
          <w:tcPr>
            <w:tcW w:w="7588" w:type="dxa"/>
          </w:tcPr>
          <w:p w:rsidR="005961E6" w:rsidRDefault="005961E6">
            <w:pPr>
              <w:ind w:right="332"/>
              <w:rPr>
                <w:rFonts w:cs="Arial"/>
                <w:b/>
                <w:lang w:val="en-US"/>
              </w:rPr>
            </w:pPr>
          </w:p>
        </w:tc>
        <w:tc>
          <w:tcPr>
            <w:tcW w:w="774" w:type="dxa"/>
          </w:tcPr>
          <w:p w:rsidR="005961E6" w:rsidRDefault="005961E6">
            <w:pPr>
              <w:jc w:val="center"/>
              <w:rPr>
                <w:rFonts w:cs="Arial"/>
                <w:highlight w:val="yellow"/>
                <w:lang w:val="en-US"/>
              </w:rPr>
            </w:pPr>
          </w:p>
        </w:tc>
      </w:tr>
      <w:tr w:rsidR="005961E6">
        <w:tblPrEx>
          <w:tblCellMar>
            <w:top w:w="0" w:type="dxa"/>
            <w:bottom w:w="0" w:type="dxa"/>
          </w:tblCellMar>
        </w:tblPrEx>
        <w:tc>
          <w:tcPr>
            <w:tcW w:w="7588" w:type="dxa"/>
          </w:tcPr>
          <w:p w:rsidR="005961E6" w:rsidRDefault="005961E6" w:rsidP="00C152D3">
            <w:pPr>
              <w:ind w:right="332"/>
              <w:jc w:val="left"/>
              <w:rPr>
                <w:rFonts w:cs="Arial"/>
                <w:b/>
                <w:lang w:val="en-US"/>
              </w:rPr>
            </w:pPr>
            <w:r>
              <w:rPr>
                <w:rFonts w:cs="Arial"/>
                <w:b/>
                <w:lang w:val="en-US"/>
              </w:rPr>
              <w:t xml:space="preserve">List of </w:t>
            </w:r>
            <w:r w:rsidR="004D533A">
              <w:rPr>
                <w:rFonts w:cs="Arial" w:hint="eastAsia"/>
                <w:b/>
                <w:lang w:val="en-US"/>
              </w:rPr>
              <w:t>m</w:t>
            </w:r>
            <w:r>
              <w:rPr>
                <w:rFonts w:cs="Arial"/>
                <w:b/>
                <w:lang w:val="en-US"/>
              </w:rPr>
              <w:t xml:space="preserve">ajor </w:t>
            </w:r>
            <w:r w:rsidR="004D533A">
              <w:rPr>
                <w:rFonts w:cs="Arial" w:hint="eastAsia"/>
                <w:b/>
                <w:lang w:val="en-US"/>
              </w:rPr>
              <w:t>r</w:t>
            </w:r>
            <w:r>
              <w:rPr>
                <w:rFonts w:cs="Arial"/>
                <w:b/>
                <w:lang w:val="en-US"/>
              </w:rPr>
              <w:t xml:space="preserve">ules and </w:t>
            </w:r>
            <w:r w:rsidR="004D533A">
              <w:rPr>
                <w:rFonts w:cs="Arial" w:hint="eastAsia"/>
                <w:b/>
                <w:lang w:val="en-US"/>
              </w:rPr>
              <w:t>g</w:t>
            </w:r>
            <w:r>
              <w:rPr>
                <w:rFonts w:cs="Arial"/>
                <w:b/>
                <w:lang w:val="en-US"/>
              </w:rPr>
              <w:t xml:space="preserve">uidelines on </w:t>
            </w:r>
            <w:r w:rsidR="004D533A">
              <w:rPr>
                <w:rFonts w:cs="Arial" w:hint="eastAsia"/>
                <w:b/>
                <w:lang w:val="en-US"/>
              </w:rPr>
              <w:t>p</w:t>
            </w:r>
            <w:r>
              <w:rPr>
                <w:rFonts w:cs="Arial"/>
                <w:b/>
                <w:lang w:val="en-US"/>
              </w:rPr>
              <w:t xml:space="preserve">ublic </w:t>
            </w:r>
            <w:r w:rsidR="004D533A">
              <w:rPr>
                <w:rFonts w:cs="Arial" w:hint="eastAsia"/>
                <w:b/>
                <w:lang w:val="en-US"/>
              </w:rPr>
              <w:t>r</w:t>
            </w:r>
            <w:r>
              <w:rPr>
                <w:rFonts w:cs="Arial"/>
                <w:b/>
                <w:lang w:val="en-US"/>
              </w:rPr>
              <w:t xml:space="preserve">ecords </w:t>
            </w:r>
            <w:r w:rsidR="004D533A">
              <w:rPr>
                <w:rFonts w:cs="Arial" w:hint="eastAsia"/>
                <w:b/>
                <w:lang w:val="en-US"/>
              </w:rPr>
              <w:t>m</w:t>
            </w:r>
            <w:r>
              <w:rPr>
                <w:rFonts w:cs="Arial"/>
                <w:b/>
                <w:lang w:val="en-US"/>
              </w:rPr>
              <w:t>anagement in Hong Kong</w:t>
            </w:r>
          </w:p>
        </w:tc>
        <w:tc>
          <w:tcPr>
            <w:tcW w:w="774" w:type="dxa"/>
          </w:tcPr>
          <w:p w:rsidR="005961E6" w:rsidRDefault="003850FF">
            <w:pPr>
              <w:jc w:val="center"/>
              <w:rPr>
                <w:rFonts w:cs="Arial" w:hint="eastAsia"/>
                <w:lang w:val="en-US"/>
              </w:rPr>
            </w:pPr>
            <w:r>
              <w:rPr>
                <w:rFonts w:cs="Arial" w:hint="eastAsia"/>
                <w:lang w:val="en-US"/>
              </w:rPr>
              <w:t>3</w:t>
            </w:r>
          </w:p>
        </w:tc>
      </w:tr>
      <w:tr w:rsidR="005961E6">
        <w:tblPrEx>
          <w:tblCellMar>
            <w:top w:w="0" w:type="dxa"/>
            <w:bottom w:w="0" w:type="dxa"/>
          </w:tblCellMar>
        </w:tblPrEx>
        <w:tc>
          <w:tcPr>
            <w:tcW w:w="7588" w:type="dxa"/>
          </w:tcPr>
          <w:p w:rsidR="005961E6" w:rsidRDefault="005961E6">
            <w:pPr>
              <w:ind w:right="332"/>
              <w:rPr>
                <w:rFonts w:cs="Arial"/>
                <w:b/>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ind w:right="332"/>
              <w:rPr>
                <w:rFonts w:cs="Arial"/>
                <w:b/>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ind w:right="332"/>
              <w:rPr>
                <w:rFonts w:cs="Arial"/>
                <w:b/>
              </w:rPr>
            </w:pPr>
            <w:r>
              <w:rPr>
                <w:rFonts w:cs="Arial"/>
                <w:b/>
              </w:rPr>
              <w:t>Preface</w:t>
            </w:r>
          </w:p>
        </w:tc>
        <w:tc>
          <w:tcPr>
            <w:tcW w:w="774" w:type="dxa"/>
          </w:tcPr>
          <w:p w:rsidR="005961E6" w:rsidRDefault="003850FF">
            <w:pPr>
              <w:jc w:val="center"/>
              <w:rPr>
                <w:rFonts w:cs="Arial"/>
                <w:lang w:val="en-US"/>
              </w:rPr>
            </w:pPr>
            <w:r>
              <w:rPr>
                <w:rFonts w:cs="Arial" w:hint="eastAsia"/>
                <w:lang w:val="en-US"/>
              </w:rPr>
              <w:t>6</w:t>
            </w:r>
          </w:p>
        </w:tc>
      </w:tr>
      <w:tr w:rsidR="005961E6">
        <w:tblPrEx>
          <w:tblCellMar>
            <w:top w:w="0" w:type="dxa"/>
            <w:bottom w:w="0" w:type="dxa"/>
          </w:tblCellMar>
        </w:tblPrEx>
        <w:tc>
          <w:tcPr>
            <w:tcW w:w="7588" w:type="dxa"/>
          </w:tcPr>
          <w:p w:rsidR="005961E6" w:rsidRDefault="005961E6">
            <w:pPr>
              <w:ind w:right="332"/>
              <w:rPr>
                <w:rFonts w:cs="Arial"/>
              </w:rPr>
            </w:pPr>
          </w:p>
        </w:tc>
        <w:tc>
          <w:tcPr>
            <w:tcW w:w="774" w:type="dxa"/>
          </w:tcPr>
          <w:p w:rsidR="005961E6" w:rsidRDefault="005961E6">
            <w:pPr>
              <w:jc w:val="center"/>
              <w:rPr>
                <w:rFonts w:cs="Arial"/>
              </w:rPr>
            </w:pPr>
          </w:p>
        </w:tc>
      </w:tr>
      <w:tr w:rsidR="005961E6">
        <w:tblPrEx>
          <w:tblCellMar>
            <w:top w:w="0" w:type="dxa"/>
            <w:bottom w:w="0" w:type="dxa"/>
          </w:tblCellMar>
        </w:tblPrEx>
        <w:tc>
          <w:tcPr>
            <w:tcW w:w="7588" w:type="dxa"/>
          </w:tcPr>
          <w:p w:rsidR="005961E6" w:rsidRDefault="005961E6">
            <w:pPr>
              <w:pStyle w:val="Heading2"/>
              <w:rPr>
                <w:rFonts w:cs="Arial"/>
                <w:b w:val="0"/>
                <w:sz w:val="24"/>
                <w:lang w:val="en-US"/>
              </w:rPr>
            </w:pPr>
            <w:r>
              <w:rPr>
                <w:rFonts w:cs="Arial"/>
                <w:b w:val="0"/>
                <w:sz w:val="24"/>
                <w:lang w:val="en-US"/>
              </w:rPr>
              <w:t>Introduction</w:t>
            </w:r>
          </w:p>
        </w:tc>
        <w:tc>
          <w:tcPr>
            <w:tcW w:w="774" w:type="dxa"/>
          </w:tcPr>
          <w:p w:rsidR="005961E6" w:rsidRDefault="003850FF">
            <w:pPr>
              <w:jc w:val="center"/>
              <w:rPr>
                <w:rFonts w:cs="Arial"/>
                <w:lang w:val="en-US"/>
              </w:rPr>
            </w:pPr>
            <w:r>
              <w:rPr>
                <w:rFonts w:cs="Arial" w:hint="eastAsia"/>
                <w:lang w:val="en-US"/>
              </w:rPr>
              <w:t>6</w:t>
            </w:r>
          </w:p>
        </w:tc>
      </w:tr>
      <w:tr w:rsidR="005961E6">
        <w:tblPrEx>
          <w:tblCellMar>
            <w:top w:w="0" w:type="dxa"/>
            <w:bottom w:w="0" w:type="dxa"/>
          </w:tblCellMar>
        </w:tblPrEx>
        <w:tc>
          <w:tcPr>
            <w:tcW w:w="7588" w:type="dxa"/>
          </w:tcPr>
          <w:p w:rsidR="005961E6" w:rsidRDefault="005961E6" w:rsidP="00C152D3">
            <w:pPr>
              <w:pStyle w:val="Heading2"/>
              <w:rPr>
                <w:rFonts w:cs="Arial"/>
                <w:b w:val="0"/>
                <w:sz w:val="24"/>
                <w:lang w:val="en-US"/>
              </w:rPr>
            </w:pPr>
            <w:r>
              <w:rPr>
                <w:rFonts w:cs="Arial"/>
                <w:b w:val="0"/>
                <w:sz w:val="24"/>
                <w:lang w:val="en-US"/>
              </w:rPr>
              <w:t xml:space="preserve">Terms of </w:t>
            </w:r>
            <w:r w:rsidR="00C152D3">
              <w:rPr>
                <w:rFonts w:cs="Arial"/>
                <w:b w:val="0"/>
                <w:sz w:val="24"/>
                <w:lang w:val="en-US" w:eastAsia="zh-HK"/>
              </w:rPr>
              <w:t>R</w:t>
            </w:r>
            <w:r w:rsidR="00C152D3">
              <w:rPr>
                <w:rFonts w:cs="Arial"/>
                <w:b w:val="0"/>
                <w:sz w:val="24"/>
                <w:lang w:val="en-US"/>
              </w:rPr>
              <w:t>eference</w:t>
            </w:r>
            <w:r w:rsidR="00C152D3">
              <w:rPr>
                <w:rFonts w:cs="Arial" w:hint="eastAsia"/>
                <w:b w:val="0"/>
                <w:sz w:val="24"/>
                <w:lang w:val="en-US"/>
              </w:rPr>
              <w:t xml:space="preserve"> </w:t>
            </w:r>
            <w:r>
              <w:rPr>
                <w:rFonts w:cs="Arial" w:hint="eastAsia"/>
                <w:b w:val="0"/>
                <w:sz w:val="24"/>
                <w:lang w:val="en-US"/>
              </w:rPr>
              <w:t>of the Archives Law Sub-committee</w:t>
            </w:r>
          </w:p>
        </w:tc>
        <w:tc>
          <w:tcPr>
            <w:tcW w:w="774" w:type="dxa"/>
          </w:tcPr>
          <w:p w:rsidR="005961E6" w:rsidRDefault="003850FF">
            <w:pPr>
              <w:jc w:val="center"/>
              <w:rPr>
                <w:rFonts w:cs="Arial"/>
                <w:lang w:val="en-US"/>
              </w:rPr>
            </w:pPr>
            <w:r>
              <w:rPr>
                <w:rFonts w:cs="Arial" w:hint="eastAsia"/>
                <w:lang w:val="en-US"/>
              </w:rPr>
              <w:t>6</w:t>
            </w:r>
          </w:p>
        </w:tc>
      </w:tr>
      <w:tr w:rsidR="005961E6">
        <w:tblPrEx>
          <w:tblCellMar>
            <w:top w:w="0" w:type="dxa"/>
            <w:bottom w:w="0" w:type="dxa"/>
          </w:tblCellMar>
        </w:tblPrEx>
        <w:tc>
          <w:tcPr>
            <w:tcW w:w="7588" w:type="dxa"/>
          </w:tcPr>
          <w:p w:rsidR="005961E6" w:rsidRDefault="005961E6">
            <w:pPr>
              <w:ind w:right="332"/>
              <w:rPr>
                <w:rFonts w:cs="Arial"/>
              </w:rPr>
            </w:pPr>
            <w:r>
              <w:rPr>
                <w:rFonts w:cs="Arial"/>
                <w:lang w:val="en-US"/>
              </w:rPr>
              <w:t xml:space="preserve">Membership of the </w:t>
            </w:r>
            <w:r>
              <w:rPr>
                <w:rFonts w:cs="Arial" w:hint="eastAsia"/>
                <w:lang w:val="en-US"/>
              </w:rPr>
              <w:t xml:space="preserve">Archives Law </w:t>
            </w:r>
            <w:r>
              <w:rPr>
                <w:rFonts w:cs="Arial"/>
                <w:lang w:val="en-US"/>
              </w:rPr>
              <w:t>Sub-committee</w:t>
            </w:r>
          </w:p>
        </w:tc>
        <w:tc>
          <w:tcPr>
            <w:tcW w:w="774" w:type="dxa"/>
          </w:tcPr>
          <w:p w:rsidR="005961E6" w:rsidRDefault="003850FF">
            <w:pPr>
              <w:jc w:val="center"/>
              <w:rPr>
                <w:rFonts w:cs="Arial"/>
                <w:lang w:val="en-US"/>
              </w:rPr>
            </w:pPr>
            <w:r>
              <w:rPr>
                <w:rFonts w:cs="Arial" w:hint="eastAsia"/>
                <w:lang w:val="en-US"/>
              </w:rPr>
              <w:t>7</w:t>
            </w:r>
          </w:p>
        </w:tc>
      </w:tr>
      <w:tr w:rsidR="005961E6">
        <w:tblPrEx>
          <w:tblCellMar>
            <w:top w:w="0" w:type="dxa"/>
            <w:bottom w:w="0" w:type="dxa"/>
          </w:tblCellMar>
        </w:tblPrEx>
        <w:tc>
          <w:tcPr>
            <w:tcW w:w="7588" w:type="dxa"/>
          </w:tcPr>
          <w:p w:rsidR="005961E6" w:rsidRDefault="005961E6">
            <w:pPr>
              <w:ind w:right="332"/>
              <w:rPr>
                <w:rFonts w:cs="Arial"/>
              </w:rPr>
            </w:pPr>
            <w:r>
              <w:rPr>
                <w:rFonts w:cs="Arial" w:hint="eastAsia"/>
                <w:lang w:val="en-US"/>
              </w:rPr>
              <w:t>Methodology adopted for the Sub-committee's study</w:t>
            </w:r>
          </w:p>
        </w:tc>
        <w:tc>
          <w:tcPr>
            <w:tcW w:w="774" w:type="dxa"/>
          </w:tcPr>
          <w:p w:rsidR="005961E6" w:rsidRDefault="003850FF">
            <w:pPr>
              <w:jc w:val="center"/>
              <w:rPr>
                <w:rFonts w:cs="Arial"/>
                <w:lang w:val="en-US"/>
              </w:rPr>
            </w:pPr>
            <w:r>
              <w:rPr>
                <w:rFonts w:cs="Arial" w:hint="eastAsia"/>
                <w:lang w:val="en-US"/>
              </w:rPr>
              <w:t>8</w:t>
            </w:r>
          </w:p>
        </w:tc>
      </w:tr>
      <w:tr w:rsidR="005961E6">
        <w:tblPrEx>
          <w:tblCellMar>
            <w:top w:w="0" w:type="dxa"/>
            <w:bottom w:w="0" w:type="dxa"/>
          </w:tblCellMar>
        </w:tblPrEx>
        <w:tc>
          <w:tcPr>
            <w:tcW w:w="7588" w:type="dxa"/>
          </w:tcPr>
          <w:p w:rsidR="005961E6" w:rsidRDefault="005961E6">
            <w:pPr>
              <w:ind w:right="332"/>
              <w:rPr>
                <w:rFonts w:cs="Arial"/>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tabs>
                <w:tab w:val="left" w:pos="720"/>
              </w:tabs>
              <w:ind w:left="720" w:right="332"/>
              <w:rPr>
                <w:rFonts w:cs="Arial"/>
              </w:rPr>
            </w:pPr>
          </w:p>
        </w:tc>
        <w:tc>
          <w:tcPr>
            <w:tcW w:w="774" w:type="dxa"/>
          </w:tcPr>
          <w:p w:rsidR="005961E6" w:rsidRDefault="005961E6">
            <w:pPr>
              <w:jc w:val="center"/>
              <w:rPr>
                <w:rFonts w:cs="Arial"/>
              </w:rPr>
            </w:pPr>
          </w:p>
        </w:tc>
      </w:tr>
      <w:tr w:rsidR="005961E6">
        <w:tblPrEx>
          <w:tblCellMar>
            <w:top w:w="0" w:type="dxa"/>
            <w:bottom w:w="0" w:type="dxa"/>
          </w:tblCellMar>
        </w:tblPrEx>
        <w:tc>
          <w:tcPr>
            <w:tcW w:w="7588" w:type="dxa"/>
          </w:tcPr>
          <w:p w:rsidR="005961E6" w:rsidRDefault="005961E6" w:rsidP="00793290">
            <w:pPr>
              <w:tabs>
                <w:tab w:val="left" w:pos="720"/>
              </w:tabs>
              <w:ind w:left="720" w:right="332" w:hanging="720"/>
              <w:jc w:val="left"/>
              <w:rPr>
                <w:rFonts w:cs="Arial"/>
                <w:b/>
              </w:rPr>
            </w:pPr>
            <w:r>
              <w:rPr>
                <w:rFonts w:cs="Arial"/>
                <w:b/>
              </w:rPr>
              <w:t>1.</w:t>
            </w:r>
            <w:r>
              <w:rPr>
                <w:rFonts w:cs="Arial"/>
                <w:b/>
              </w:rPr>
              <w:tab/>
              <w:t xml:space="preserve">Overview of the current framework </w:t>
            </w:r>
            <w:r w:rsidR="00793290">
              <w:rPr>
                <w:rFonts w:cs="Arial"/>
                <w:b/>
              </w:rPr>
              <w:t xml:space="preserve">of public </w:t>
            </w:r>
            <w:r>
              <w:rPr>
                <w:rFonts w:cs="Arial"/>
                <w:b/>
              </w:rPr>
              <w:t>records management in Hong Kong</w:t>
            </w:r>
          </w:p>
        </w:tc>
        <w:tc>
          <w:tcPr>
            <w:tcW w:w="774" w:type="dxa"/>
          </w:tcPr>
          <w:p w:rsidR="005961E6" w:rsidRDefault="00A723E5">
            <w:pPr>
              <w:jc w:val="center"/>
              <w:rPr>
                <w:rFonts w:cs="Arial"/>
                <w:lang w:val="en-US"/>
              </w:rPr>
            </w:pPr>
            <w:r>
              <w:rPr>
                <w:rFonts w:cs="Arial"/>
                <w:lang w:val="en-US"/>
              </w:rPr>
              <w:t>10</w:t>
            </w:r>
          </w:p>
        </w:tc>
      </w:tr>
      <w:tr w:rsidR="005961E6">
        <w:tblPrEx>
          <w:tblCellMar>
            <w:top w:w="0" w:type="dxa"/>
            <w:bottom w:w="0" w:type="dxa"/>
          </w:tblCellMar>
        </w:tblPrEx>
        <w:tc>
          <w:tcPr>
            <w:tcW w:w="7588" w:type="dxa"/>
          </w:tcPr>
          <w:p w:rsidR="005961E6" w:rsidRDefault="005961E6">
            <w:pPr>
              <w:tabs>
                <w:tab w:val="left" w:pos="720"/>
              </w:tabs>
              <w:ind w:right="332"/>
              <w:rPr>
                <w:rFonts w:cs="Arial"/>
              </w:rPr>
            </w:pPr>
          </w:p>
        </w:tc>
        <w:tc>
          <w:tcPr>
            <w:tcW w:w="774" w:type="dxa"/>
          </w:tcPr>
          <w:p w:rsidR="005961E6" w:rsidRDefault="005961E6">
            <w:pPr>
              <w:jc w:val="center"/>
              <w:rPr>
                <w:rFonts w:cs="Arial"/>
              </w:rPr>
            </w:pPr>
          </w:p>
        </w:tc>
      </w:tr>
      <w:tr w:rsidR="005961E6">
        <w:tblPrEx>
          <w:tblCellMar>
            <w:top w:w="0" w:type="dxa"/>
            <w:bottom w:w="0" w:type="dxa"/>
          </w:tblCellMar>
        </w:tblPrEx>
        <w:tc>
          <w:tcPr>
            <w:tcW w:w="7588" w:type="dxa"/>
          </w:tcPr>
          <w:p w:rsidR="005961E6" w:rsidRDefault="005961E6">
            <w:pPr>
              <w:tabs>
                <w:tab w:val="left" w:pos="720"/>
              </w:tabs>
              <w:ind w:left="240" w:right="332" w:hanging="240"/>
              <w:rPr>
                <w:rFonts w:cs="Arial"/>
              </w:rPr>
            </w:pPr>
            <w:r>
              <w:rPr>
                <w:rFonts w:cs="Arial" w:hint="eastAsia"/>
              </w:rPr>
              <w:t>Introduction</w:t>
            </w:r>
          </w:p>
        </w:tc>
        <w:tc>
          <w:tcPr>
            <w:tcW w:w="774" w:type="dxa"/>
          </w:tcPr>
          <w:p w:rsidR="005961E6" w:rsidRDefault="00CB20EC">
            <w:pPr>
              <w:jc w:val="center"/>
              <w:rPr>
                <w:rFonts w:cs="Arial"/>
                <w:lang w:val="en-US"/>
              </w:rPr>
            </w:pPr>
            <w:r>
              <w:rPr>
                <w:rFonts w:cs="Arial"/>
                <w:lang w:val="en-US"/>
              </w:rPr>
              <w:t>10</w:t>
            </w:r>
          </w:p>
        </w:tc>
      </w:tr>
      <w:tr w:rsidR="005961E6">
        <w:tblPrEx>
          <w:tblCellMar>
            <w:top w:w="0" w:type="dxa"/>
            <w:bottom w:w="0" w:type="dxa"/>
          </w:tblCellMar>
        </w:tblPrEx>
        <w:tc>
          <w:tcPr>
            <w:tcW w:w="7588" w:type="dxa"/>
          </w:tcPr>
          <w:p w:rsidR="005961E6" w:rsidRDefault="005961E6">
            <w:pPr>
              <w:tabs>
                <w:tab w:val="left" w:pos="720"/>
              </w:tabs>
              <w:ind w:right="331"/>
              <w:rPr>
                <w:rFonts w:cs="Arial"/>
              </w:rPr>
            </w:pPr>
            <w:r>
              <w:rPr>
                <w:rFonts w:cs="Arial"/>
              </w:rPr>
              <w:t>Administrative scheme</w:t>
            </w:r>
          </w:p>
        </w:tc>
        <w:tc>
          <w:tcPr>
            <w:tcW w:w="774" w:type="dxa"/>
          </w:tcPr>
          <w:p w:rsidR="005961E6" w:rsidRDefault="00CB20EC">
            <w:pPr>
              <w:jc w:val="center"/>
              <w:rPr>
                <w:rFonts w:cs="Arial"/>
                <w:lang w:val="en-US"/>
              </w:rPr>
            </w:pPr>
            <w:r>
              <w:rPr>
                <w:rFonts w:cs="Arial"/>
                <w:lang w:val="en-US"/>
              </w:rPr>
              <w:t>10</w:t>
            </w:r>
          </w:p>
        </w:tc>
      </w:tr>
      <w:tr w:rsidR="005961E6">
        <w:tblPrEx>
          <w:tblCellMar>
            <w:top w:w="0" w:type="dxa"/>
            <w:bottom w:w="0" w:type="dxa"/>
          </w:tblCellMar>
        </w:tblPrEx>
        <w:tc>
          <w:tcPr>
            <w:tcW w:w="7588" w:type="dxa"/>
          </w:tcPr>
          <w:p w:rsidR="005961E6" w:rsidRDefault="005961E6">
            <w:pPr>
              <w:tabs>
                <w:tab w:val="left" w:pos="720"/>
              </w:tabs>
              <w:ind w:left="240" w:right="332" w:hanging="240"/>
              <w:rPr>
                <w:rFonts w:cs="Arial"/>
              </w:rPr>
            </w:pPr>
            <w:r>
              <w:rPr>
                <w:rFonts w:cs="Arial"/>
              </w:rPr>
              <w:t>Scope of application</w:t>
            </w:r>
          </w:p>
        </w:tc>
        <w:tc>
          <w:tcPr>
            <w:tcW w:w="774" w:type="dxa"/>
          </w:tcPr>
          <w:p w:rsidR="005961E6" w:rsidRDefault="003850FF" w:rsidP="00CB20EC">
            <w:pPr>
              <w:jc w:val="center"/>
              <w:rPr>
                <w:rFonts w:cs="Arial"/>
                <w:lang w:val="en-US"/>
              </w:rPr>
            </w:pPr>
            <w:r>
              <w:rPr>
                <w:rFonts w:cs="Arial" w:hint="eastAsia"/>
                <w:lang w:val="en-US"/>
              </w:rPr>
              <w:t>1</w:t>
            </w:r>
            <w:r w:rsidR="00CB20EC">
              <w:rPr>
                <w:rFonts w:cs="Arial"/>
                <w:lang w:val="en-US"/>
              </w:rPr>
              <w:t>2</w:t>
            </w:r>
          </w:p>
        </w:tc>
      </w:tr>
      <w:tr w:rsidR="005961E6">
        <w:tblPrEx>
          <w:tblCellMar>
            <w:top w:w="0" w:type="dxa"/>
            <w:bottom w:w="0" w:type="dxa"/>
          </w:tblCellMar>
        </w:tblPrEx>
        <w:tc>
          <w:tcPr>
            <w:tcW w:w="7588" w:type="dxa"/>
          </w:tcPr>
          <w:p w:rsidR="005961E6" w:rsidRDefault="005961E6">
            <w:pPr>
              <w:tabs>
                <w:tab w:val="left" w:pos="720"/>
              </w:tabs>
              <w:ind w:left="240" w:right="332" w:hanging="240"/>
              <w:rPr>
                <w:rFonts w:cs="Arial"/>
              </w:rPr>
            </w:pPr>
            <w:r>
              <w:rPr>
                <w:rFonts w:cs="Arial"/>
              </w:rPr>
              <w:t>Background of establishment of the GRS</w:t>
            </w:r>
          </w:p>
        </w:tc>
        <w:tc>
          <w:tcPr>
            <w:tcW w:w="774" w:type="dxa"/>
          </w:tcPr>
          <w:p w:rsidR="005961E6" w:rsidRDefault="003850FF">
            <w:pPr>
              <w:jc w:val="center"/>
              <w:rPr>
                <w:rFonts w:cs="Arial"/>
                <w:lang w:val="en-US"/>
              </w:rPr>
            </w:pPr>
            <w:r>
              <w:rPr>
                <w:rFonts w:cs="Arial" w:hint="eastAsia"/>
                <w:lang w:val="en-US"/>
              </w:rPr>
              <w:t>1</w:t>
            </w:r>
            <w:r w:rsidR="00CB20EC">
              <w:rPr>
                <w:rFonts w:cs="Arial"/>
                <w:lang w:val="en-US"/>
              </w:rPr>
              <w:t>2</w:t>
            </w:r>
          </w:p>
        </w:tc>
      </w:tr>
      <w:tr w:rsidR="005961E6">
        <w:tblPrEx>
          <w:tblCellMar>
            <w:top w:w="0" w:type="dxa"/>
            <w:bottom w:w="0" w:type="dxa"/>
          </w:tblCellMar>
        </w:tblPrEx>
        <w:tc>
          <w:tcPr>
            <w:tcW w:w="7588" w:type="dxa"/>
          </w:tcPr>
          <w:p w:rsidR="005961E6" w:rsidRDefault="005961E6">
            <w:pPr>
              <w:tabs>
                <w:tab w:val="left" w:pos="720"/>
              </w:tabs>
              <w:ind w:left="240" w:right="332" w:hanging="240"/>
              <w:rPr>
                <w:rFonts w:cs="Arial"/>
              </w:rPr>
            </w:pPr>
            <w:r>
              <w:rPr>
                <w:rFonts w:cs="Arial"/>
              </w:rPr>
              <w:t>Roles and functions of the GRS and its offices</w:t>
            </w:r>
          </w:p>
        </w:tc>
        <w:tc>
          <w:tcPr>
            <w:tcW w:w="774" w:type="dxa"/>
          </w:tcPr>
          <w:p w:rsidR="005961E6" w:rsidRDefault="003850FF">
            <w:pPr>
              <w:jc w:val="center"/>
              <w:rPr>
                <w:rFonts w:cs="Arial"/>
                <w:lang w:val="en-US"/>
              </w:rPr>
            </w:pPr>
            <w:r>
              <w:rPr>
                <w:rFonts w:cs="Arial" w:hint="eastAsia"/>
                <w:lang w:val="en-US"/>
              </w:rPr>
              <w:t>1</w:t>
            </w:r>
            <w:r w:rsidR="00CB20EC">
              <w:rPr>
                <w:rFonts w:cs="Arial"/>
                <w:lang w:val="en-US"/>
              </w:rPr>
              <w:t>2</w:t>
            </w:r>
          </w:p>
        </w:tc>
      </w:tr>
      <w:tr w:rsidR="005961E6">
        <w:tblPrEx>
          <w:tblCellMar>
            <w:top w:w="0" w:type="dxa"/>
            <w:bottom w:w="0" w:type="dxa"/>
          </w:tblCellMar>
        </w:tblPrEx>
        <w:tc>
          <w:tcPr>
            <w:tcW w:w="7588" w:type="dxa"/>
          </w:tcPr>
          <w:p w:rsidR="005961E6" w:rsidRDefault="005961E6">
            <w:pPr>
              <w:tabs>
                <w:tab w:val="left" w:pos="720"/>
              </w:tabs>
              <w:ind w:left="240" w:right="332" w:hanging="240"/>
              <w:rPr>
                <w:rFonts w:cs="Arial"/>
              </w:rPr>
            </w:pPr>
            <w:r>
              <w:rPr>
                <w:rFonts w:cs="Arial"/>
              </w:rPr>
              <w:t>Staffing in GRS</w:t>
            </w:r>
          </w:p>
        </w:tc>
        <w:tc>
          <w:tcPr>
            <w:tcW w:w="774" w:type="dxa"/>
          </w:tcPr>
          <w:p w:rsidR="005961E6" w:rsidRDefault="00CB20EC">
            <w:pPr>
              <w:jc w:val="center"/>
              <w:rPr>
                <w:rFonts w:cs="Arial"/>
              </w:rPr>
            </w:pPr>
            <w:r>
              <w:rPr>
                <w:rFonts w:cs="Arial"/>
              </w:rPr>
              <w:t>14</w:t>
            </w:r>
          </w:p>
        </w:tc>
      </w:tr>
      <w:tr w:rsidR="005961E6">
        <w:tblPrEx>
          <w:tblCellMar>
            <w:top w:w="0" w:type="dxa"/>
            <w:bottom w:w="0" w:type="dxa"/>
          </w:tblCellMar>
        </w:tblPrEx>
        <w:tc>
          <w:tcPr>
            <w:tcW w:w="7588" w:type="dxa"/>
          </w:tcPr>
          <w:p w:rsidR="005961E6" w:rsidRDefault="005961E6">
            <w:pPr>
              <w:tabs>
                <w:tab w:val="left" w:pos="720"/>
              </w:tabs>
              <w:ind w:right="331"/>
              <w:rPr>
                <w:rFonts w:cs="Arial"/>
              </w:rPr>
            </w:pPr>
            <w:r>
              <w:rPr>
                <w:rFonts w:cs="Arial" w:hint="eastAsia"/>
              </w:rPr>
              <w:tab/>
              <w:t>Staff qualifications</w:t>
            </w:r>
          </w:p>
        </w:tc>
        <w:tc>
          <w:tcPr>
            <w:tcW w:w="774" w:type="dxa"/>
          </w:tcPr>
          <w:p w:rsidR="005961E6" w:rsidRDefault="003850FF">
            <w:pPr>
              <w:jc w:val="center"/>
              <w:rPr>
                <w:rFonts w:cs="Arial"/>
                <w:lang w:val="en-US"/>
              </w:rPr>
            </w:pPr>
            <w:r>
              <w:rPr>
                <w:rFonts w:cs="Arial" w:hint="eastAsia"/>
                <w:lang w:val="en-US"/>
              </w:rPr>
              <w:t>1</w:t>
            </w:r>
            <w:r w:rsidR="00CB20EC">
              <w:rPr>
                <w:rFonts w:cs="Arial"/>
                <w:lang w:val="en-US"/>
              </w:rPr>
              <w:t>4</w:t>
            </w:r>
          </w:p>
        </w:tc>
      </w:tr>
      <w:tr w:rsidR="005961E6">
        <w:tblPrEx>
          <w:tblCellMar>
            <w:top w:w="0" w:type="dxa"/>
            <w:bottom w:w="0" w:type="dxa"/>
          </w:tblCellMar>
        </w:tblPrEx>
        <w:tc>
          <w:tcPr>
            <w:tcW w:w="7588" w:type="dxa"/>
          </w:tcPr>
          <w:p w:rsidR="005961E6" w:rsidRDefault="005961E6">
            <w:pPr>
              <w:tabs>
                <w:tab w:val="left" w:pos="720"/>
              </w:tabs>
              <w:ind w:right="331"/>
              <w:rPr>
                <w:rFonts w:cs="Arial"/>
              </w:rPr>
            </w:pPr>
            <w:r>
              <w:rPr>
                <w:rFonts w:cs="Arial" w:hint="eastAsia"/>
              </w:rPr>
              <w:tab/>
              <w:t>Staff training</w:t>
            </w:r>
          </w:p>
        </w:tc>
        <w:tc>
          <w:tcPr>
            <w:tcW w:w="774" w:type="dxa"/>
          </w:tcPr>
          <w:p w:rsidR="005961E6" w:rsidRDefault="003850FF">
            <w:pPr>
              <w:jc w:val="center"/>
              <w:rPr>
                <w:rFonts w:cs="Arial"/>
                <w:lang w:val="en-US"/>
              </w:rPr>
            </w:pPr>
            <w:r>
              <w:rPr>
                <w:rFonts w:cs="Arial" w:hint="eastAsia"/>
                <w:lang w:val="en-US"/>
              </w:rPr>
              <w:t>1</w:t>
            </w:r>
            <w:r w:rsidR="00CB20EC">
              <w:rPr>
                <w:rFonts w:cs="Arial"/>
                <w:lang w:val="en-US"/>
              </w:rPr>
              <w:t>5</w:t>
            </w:r>
          </w:p>
        </w:tc>
      </w:tr>
      <w:tr w:rsidR="005961E6">
        <w:tblPrEx>
          <w:tblCellMar>
            <w:top w:w="0" w:type="dxa"/>
            <w:bottom w:w="0" w:type="dxa"/>
          </w:tblCellMar>
        </w:tblPrEx>
        <w:tc>
          <w:tcPr>
            <w:tcW w:w="7588" w:type="dxa"/>
          </w:tcPr>
          <w:p w:rsidR="005961E6" w:rsidRDefault="005961E6">
            <w:pPr>
              <w:tabs>
                <w:tab w:val="left" w:pos="720"/>
              </w:tabs>
              <w:ind w:left="240" w:right="332" w:hanging="240"/>
              <w:rPr>
                <w:rFonts w:cs="Arial"/>
              </w:rPr>
            </w:pPr>
            <w:r>
              <w:rPr>
                <w:rFonts w:cs="Arial"/>
              </w:rPr>
              <w:t>Facilities in GRS</w:t>
            </w:r>
          </w:p>
        </w:tc>
        <w:tc>
          <w:tcPr>
            <w:tcW w:w="774" w:type="dxa"/>
          </w:tcPr>
          <w:p w:rsidR="005961E6" w:rsidRDefault="003850FF">
            <w:pPr>
              <w:jc w:val="center"/>
              <w:rPr>
                <w:rFonts w:cs="Arial"/>
                <w:lang w:val="en-US"/>
              </w:rPr>
            </w:pPr>
            <w:r>
              <w:rPr>
                <w:rFonts w:cs="Arial" w:hint="eastAsia"/>
                <w:lang w:val="en-US"/>
              </w:rPr>
              <w:t>1</w:t>
            </w:r>
            <w:r w:rsidR="00CB20EC">
              <w:rPr>
                <w:rFonts w:cs="Arial"/>
                <w:lang w:val="en-US"/>
              </w:rPr>
              <w:t>6</w:t>
            </w:r>
          </w:p>
        </w:tc>
      </w:tr>
      <w:tr w:rsidR="005961E6">
        <w:tblPrEx>
          <w:tblCellMar>
            <w:top w:w="0" w:type="dxa"/>
            <w:bottom w:w="0" w:type="dxa"/>
          </w:tblCellMar>
        </w:tblPrEx>
        <w:tc>
          <w:tcPr>
            <w:tcW w:w="7588" w:type="dxa"/>
          </w:tcPr>
          <w:p w:rsidR="005961E6" w:rsidRDefault="008E39A6">
            <w:pPr>
              <w:tabs>
                <w:tab w:val="left" w:pos="720"/>
              </w:tabs>
              <w:ind w:left="240" w:right="332" w:hanging="240"/>
              <w:rPr>
                <w:rFonts w:cs="Arial"/>
              </w:rPr>
            </w:pPr>
            <w:r>
              <w:rPr>
                <w:rFonts w:cs="Arial" w:hint="eastAsia"/>
              </w:rPr>
              <w:t>Comments</w:t>
            </w:r>
          </w:p>
        </w:tc>
        <w:tc>
          <w:tcPr>
            <w:tcW w:w="774" w:type="dxa"/>
          </w:tcPr>
          <w:p w:rsidR="005961E6" w:rsidRDefault="003850FF">
            <w:pPr>
              <w:jc w:val="center"/>
              <w:rPr>
                <w:rFonts w:cs="Arial"/>
                <w:lang w:val="en-US"/>
              </w:rPr>
            </w:pPr>
            <w:r>
              <w:rPr>
                <w:rFonts w:cs="Arial" w:hint="eastAsia"/>
                <w:lang w:val="en-US"/>
              </w:rPr>
              <w:t>1</w:t>
            </w:r>
            <w:r w:rsidR="00CB20EC">
              <w:rPr>
                <w:rFonts w:cs="Arial"/>
                <w:lang w:val="en-US"/>
              </w:rPr>
              <w:t>6</w:t>
            </w:r>
          </w:p>
        </w:tc>
      </w:tr>
      <w:tr w:rsidR="005961E6">
        <w:tblPrEx>
          <w:tblCellMar>
            <w:top w:w="0" w:type="dxa"/>
            <w:bottom w:w="0" w:type="dxa"/>
          </w:tblCellMar>
        </w:tblPrEx>
        <w:tc>
          <w:tcPr>
            <w:tcW w:w="7588" w:type="dxa"/>
          </w:tcPr>
          <w:p w:rsidR="005961E6" w:rsidRDefault="005961E6">
            <w:pPr>
              <w:tabs>
                <w:tab w:val="left" w:pos="720"/>
              </w:tabs>
              <w:ind w:right="332"/>
              <w:rPr>
                <w:rFonts w:cs="Arial"/>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tabs>
                <w:tab w:val="left" w:pos="720"/>
              </w:tabs>
              <w:ind w:right="332"/>
              <w:rPr>
                <w:rFonts w:cs="Arial"/>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tabs>
                <w:tab w:val="left" w:pos="720"/>
              </w:tabs>
              <w:ind w:left="720" w:right="332" w:hanging="720"/>
              <w:jc w:val="left"/>
              <w:rPr>
                <w:rFonts w:cs="Arial"/>
                <w:lang w:val="en-US"/>
              </w:rPr>
            </w:pPr>
            <w:r>
              <w:rPr>
                <w:rFonts w:cs="Arial" w:hint="eastAsia"/>
                <w:b/>
                <w:lang w:val="en-US"/>
              </w:rPr>
              <w:lastRenderedPageBreak/>
              <w:t>2.</w:t>
            </w:r>
            <w:r>
              <w:rPr>
                <w:rFonts w:cs="Arial"/>
                <w:lang w:val="en-US"/>
              </w:rPr>
              <w:tab/>
            </w:r>
            <w:r>
              <w:rPr>
                <w:rFonts w:cs="Arial"/>
                <w:b/>
              </w:rPr>
              <w:t>Overview of records</w:t>
            </w:r>
            <w:r>
              <w:rPr>
                <w:rFonts w:cs="Arial" w:hint="eastAsia"/>
                <w:b/>
              </w:rPr>
              <w:t xml:space="preserve"> </w:t>
            </w:r>
            <w:r>
              <w:rPr>
                <w:rFonts w:cs="Arial"/>
                <w:b/>
              </w:rPr>
              <w:t>management</w:t>
            </w:r>
            <w:r>
              <w:rPr>
                <w:rFonts w:cs="Arial" w:hint="eastAsia"/>
                <w:b/>
              </w:rPr>
              <w:t xml:space="preserve"> cycle and its related </w:t>
            </w:r>
            <w:r>
              <w:rPr>
                <w:rFonts w:cs="Arial"/>
                <w:b/>
              </w:rPr>
              <w:t>rules, guidelines</w:t>
            </w:r>
            <w:r>
              <w:rPr>
                <w:rFonts w:cs="Arial" w:hint="eastAsia"/>
                <w:b/>
              </w:rPr>
              <w:t xml:space="preserve"> </w:t>
            </w:r>
            <w:r>
              <w:rPr>
                <w:rFonts w:cs="Arial"/>
                <w:b/>
              </w:rPr>
              <w:t>and publications</w:t>
            </w:r>
          </w:p>
        </w:tc>
        <w:tc>
          <w:tcPr>
            <w:tcW w:w="774" w:type="dxa"/>
          </w:tcPr>
          <w:p w:rsidR="005961E6" w:rsidRDefault="003850FF" w:rsidP="00CB20EC">
            <w:pPr>
              <w:jc w:val="center"/>
              <w:rPr>
                <w:rFonts w:cs="Arial"/>
                <w:lang w:val="en-US"/>
              </w:rPr>
            </w:pPr>
            <w:r>
              <w:rPr>
                <w:rFonts w:cs="Arial" w:hint="eastAsia"/>
                <w:lang w:val="en-US"/>
              </w:rPr>
              <w:t>1</w:t>
            </w:r>
            <w:r w:rsidR="00CB20EC">
              <w:rPr>
                <w:rFonts w:cs="Arial"/>
                <w:lang w:val="en-US"/>
              </w:rPr>
              <w:t>9</w:t>
            </w:r>
          </w:p>
        </w:tc>
      </w:tr>
      <w:tr w:rsidR="005961E6">
        <w:tblPrEx>
          <w:tblCellMar>
            <w:top w:w="0" w:type="dxa"/>
            <w:bottom w:w="0" w:type="dxa"/>
          </w:tblCellMar>
        </w:tblPrEx>
        <w:tc>
          <w:tcPr>
            <w:tcW w:w="7588" w:type="dxa"/>
          </w:tcPr>
          <w:p w:rsidR="005961E6" w:rsidRDefault="005961E6">
            <w:pPr>
              <w:tabs>
                <w:tab w:val="left" w:pos="720"/>
              </w:tabs>
              <w:ind w:right="332"/>
              <w:rPr>
                <w:rFonts w:cs="Arial"/>
                <w:lang w:val="en-US"/>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tabs>
                <w:tab w:val="left" w:pos="720"/>
              </w:tabs>
              <w:ind w:right="332"/>
              <w:rPr>
                <w:rFonts w:cs="Arial"/>
                <w:lang w:val="en-US"/>
              </w:rPr>
            </w:pPr>
            <w:r>
              <w:rPr>
                <w:rFonts w:cs="Arial"/>
              </w:rPr>
              <w:t>Introduction</w:t>
            </w:r>
          </w:p>
        </w:tc>
        <w:tc>
          <w:tcPr>
            <w:tcW w:w="774" w:type="dxa"/>
          </w:tcPr>
          <w:p w:rsidR="005961E6" w:rsidRDefault="00CB20EC">
            <w:pPr>
              <w:jc w:val="center"/>
              <w:rPr>
                <w:rFonts w:cs="Arial"/>
                <w:lang w:val="en-US"/>
              </w:rPr>
            </w:pPr>
            <w:r>
              <w:rPr>
                <w:rFonts w:cs="Arial"/>
                <w:lang w:val="en-US"/>
              </w:rPr>
              <w:t>19</w:t>
            </w:r>
          </w:p>
        </w:tc>
      </w:tr>
      <w:tr w:rsidR="005961E6">
        <w:tblPrEx>
          <w:tblCellMar>
            <w:top w:w="0" w:type="dxa"/>
            <w:bottom w:w="0" w:type="dxa"/>
          </w:tblCellMar>
        </w:tblPrEx>
        <w:tc>
          <w:tcPr>
            <w:tcW w:w="7588" w:type="dxa"/>
          </w:tcPr>
          <w:p w:rsidR="005961E6" w:rsidRDefault="005961E6">
            <w:pPr>
              <w:tabs>
                <w:tab w:val="left" w:pos="720"/>
              </w:tabs>
              <w:ind w:right="332"/>
              <w:rPr>
                <w:rFonts w:cs="Arial"/>
                <w:lang w:val="en-US"/>
              </w:rPr>
            </w:pPr>
            <w:r>
              <w:rPr>
                <w:rFonts w:cs="Arial"/>
              </w:rPr>
              <w:t>Terminology</w:t>
            </w:r>
          </w:p>
        </w:tc>
        <w:tc>
          <w:tcPr>
            <w:tcW w:w="774" w:type="dxa"/>
          </w:tcPr>
          <w:p w:rsidR="005961E6" w:rsidRDefault="00CB20EC">
            <w:pPr>
              <w:jc w:val="center"/>
              <w:rPr>
                <w:rFonts w:cs="Arial"/>
                <w:lang w:val="en-US"/>
              </w:rPr>
            </w:pPr>
            <w:r>
              <w:rPr>
                <w:rFonts w:cs="Arial"/>
                <w:lang w:val="en-US"/>
              </w:rPr>
              <w:t>19</w:t>
            </w:r>
          </w:p>
        </w:tc>
      </w:tr>
      <w:tr w:rsidR="005961E6">
        <w:tblPrEx>
          <w:tblCellMar>
            <w:top w:w="0" w:type="dxa"/>
            <w:bottom w:w="0" w:type="dxa"/>
          </w:tblCellMar>
        </w:tblPrEx>
        <w:tc>
          <w:tcPr>
            <w:tcW w:w="7588" w:type="dxa"/>
          </w:tcPr>
          <w:p w:rsidR="005961E6" w:rsidRDefault="005961E6">
            <w:pPr>
              <w:tabs>
                <w:tab w:val="clear" w:pos="1418"/>
                <w:tab w:val="left" w:pos="960"/>
              </w:tabs>
              <w:ind w:left="720" w:right="331"/>
              <w:rPr>
                <w:rFonts w:cs="Arial"/>
              </w:rPr>
            </w:pPr>
            <w:r>
              <w:rPr>
                <w:rFonts w:cs="Arial" w:hint="eastAsia"/>
              </w:rPr>
              <w:t>"</w:t>
            </w:r>
            <w:r>
              <w:rPr>
                <w:rFonts w:cs="Arial"/>
              </w:rPr>
              <w:t>Record", "Government record", "Electronic records"</w:t>
            </w:r>
          </w:p>
        </w:tc>
        <w:tc>
          <w:tcPr>
            <w:tcW w:w="774" w:type="dxa"/>
          </w:tcPr>
          <w:p w:rsidR="005961E6" w:rsidRDefault="00CB20EC">
            <w:pPr>
              <w:jc w:val="center"/>
              <w:rPr>
                <w:rFonts w:cs="Arial"/>
                <w:lang w:val="en-US"/>
              </w:rPr>
            </w:pPr>
            <w:r>
              <w:rPr>
                <w:rFonts w:cs="Arial"/>
                <w:lang w:val="en-US"/>
              </w:rPr>
              <w:t>20</w:t>
            </w:r>
          </w:p>
        </w:tc>
      </w:tr>
      <w:tr w:rsidR="005961E6">
        <w:tblPrEx>
          <w:tblCellMar>
            <w:top w:w="0" w:type="dxa"/>
            <w:bottom w:w="0" w:type="dxa"/>
          </w:tblCellMar>
        </w:tblPrEx>
        <w:tc>
          <w:tcPr>
            <w:tcW w:w="7588" w:type="dxa"/>
          </w:tcPr>
          <w:p w:rsidR="005961E6" w:rsidRDefault="005961E6">
            <w:pPr>
              <w:tabs>
                <w:tab w:val="left" w:pos="720"/>
              </w:tabs>
              <w:ind w:left="720" w:right="331"/>
              <w:rPr>
                <w:rFonts w:cs="Arial"/>
                <w:lang w:val="en-US"/>
              </w:rPr>
            </w:pPr>
            <w:r>
              <w:rPr>
                <w:rFonts w:cs="Arial"/>
              </w:rPr>
              <w:t>"Programme records" vs "administrative records"</w:t>
            </w:r>
          </w:p>
        </w:tc>
        <w:tc>
          <w:tcPr>
            <w:tcW w:w="774" w:type="dxa"/>
          </w:tcPr>
          <w:p w:rsidR="005961E6" w:rsidRDefault="00CB20EC">
            <w:pPr>
              <w:jc w:val="center"/>
              <w:rPr>
                <w:rFonts w:cs="Arial"/>
                <w:lang w:val="en-US"/>
              </w:rPr>
            </w:pPr>
            <w:r>
              <w:rPr>
                <w:rFonts w:cs="Arial"/>
                <w:lang w:val="en-US"/>
              </w:rPr>
              <w:t>20</w:t>
            </w:r>
          </w:p>
        </w:tc>
      </w:tr>
      <w:tr w:rsidR="005961E6">
        <w:tblPrEx>
          <w:tblCellMar>
            <w:top w:w="0" w:type="dxa"/>
            <w:bottom w:w="0" w:type="dxa"/>
          </w:tblCellMar>
        </w:tblPrEx>
        <w:tc>
          <w:tcPr>
            <w:tcW w:w="7588" w:type="dxa"/>
          </w:tcPr>
          <w:p w:rsidR="005961E6" w:rsidRDefault="005961E6">
            <w:pPr>
              <w:tabs>
                <w:tab w:val="clear" w:pos="1418"/>
                <w:tab w:val="left" w:pos="720"/>
                <w:tab w:val="left" w:pos="1430"/>
              </w:tabs>
              <w:ind w:left="720" w:right="331"/>
              <w:rPr>
                <w:rFonts w:cs="Arial"/>
                <w:lang w:val="en-US"/>
              </w:rPr>
            </w:pPr>
            <w:r>
              <w:rPr>
                <w:rFonts w:cs="Arial"/>
              </w:rPr>
              <w:t>"Archives"</w:t>
            </w:r>
          </w:p>
        </w:tc>
        <w:tc>
          <w:tcPr>
            <w:tcW w:w="774" w:type="dxa"/>
          </w:tcPr>
          <w:p w:rsidR="005961E6" w:rsidRDefault="00CB20EC">
            <w:pPr>
              <w:jc w:val="center"/>
              <w:rPr>
                <w:rFonts w:cs="Arial"/>
                <w:lang w:val="en-US"/>
              </w:rPr>
            </w:pPr>
            <w:r>
              <w:rPr>
                <w:rFonts w:cs="Arial"/>
                <w:lang w:val="en-US"/>
              </w:rPr>
              <w:t>20</w:t>
            </w:r>
          </w:p>
        </w:tc>
      </w:tr>
      <w:tr w:rsidR="005961E6">
        <w:tblPrEx>
          <w:tblCellMar>
            <w:top w:w="0" w:type="dxa"/>
            <w:bottom w:w="0" w:type="dxa"/>
          </w:tblCellMar>
        </w:tblPrEx>
        <w:tc>
          <w:tcPr>
            <w:tcW w:w="7588" w:type="dxa"/>
          </w:tcPr>
          <w:p w:rsidR="005961E6" w:rsidRDefault="005961E6">
            <w:pPr>
              <w:keepNext/>
              <w:keepLines/>
              <w:tabs>
                <w:tab w:val="left" w:pos="720"/>
              </w:tabs>
              <w:ind w:left="720" w:right="331"/>
              <w:jc w:val="left"/>
              <w:rPr>
                <w:rFonts w:cs="Arial"/>
              </w:rPr>
            </w:pPr>
            <w:r>
              <w:rPr>
                <w:rFonts w:cs="Arial"/>
              </w:rPr>
              <w:t>"Records management"</w:t>
            </w:r>
          </w:p>
        </w:tc>
        <w:tc>
          <w:tcPr>
            <w:tcW w:w="774" w:type="dxa"/>
          </w:tcPr>
          <w:p w:rsidR="005961E6" w:rsidRDefault="00CB20EC">
            <w:pPr>
              <w:jc w:val="center"/>
              <w:rPr>
                <w:rFonts w:cs="Arial"/>
                <w:lang w:val="en-US"/>
              </w:rPr>
            </w:pPr>
            <w:r>
              <w:rPr>
                <w:rFonts w:cs="Arial"/>
                <w:lang w:val="en-US"/>
              </w:rPr>
              <w:t>20</w:t>
            </w:r>
          </w:p>
        </w:tc>
      </w:tr>
      <w:tr w:rsidR="005961E6">
        <w:tblPrEx>
          <w:tblCellMar>
            <w:top w:w="0" w:type="dxa"/>
            <w:bottom w:w="0" w:type="dxa"/>
          </w:tblCellMar>
        </w:tblPrEx>
        <w:tc>
          <w:tcPr>
            <w:tcW w:w="7588" w:type="dxa"/>
          </w:tcPr>
          <w:p w:rsidR="005961E6" w:rsidRDefault="005961E6">
            <w:pPr>
              <w:tabs>
                <w:tab w:val="left" w:pos="720"/>
              </w:tabs>
              <w:ind w:right="332"/>
              <w:rPr>
                <w:rFonts w:cs="Arial"/>
                <w:i/>
                <w:lang w:val="en-US"/>
              </w:rPr>
            </w:pPr>
            <w:r>
              <w:rPr>
                <w:rFonts w:cs="Arial" w:hint="eastAsia"/>
                <w:lang w:val="en-US"/>
              </w:rPr>
              <w:t>Summary of r</w:t>
            </w:r>
            <w:r>
              <w:rPr>
                <w:rFonts w:cs="Arial"/>
                <w:lang w:val="en-US"/>
              </w:rPr>
              <w:t xml:space="preserve">ecords </w:t>
            </w:r>
            <w:r>
              <w:rPr>
                <w:rFonts w:cs="Arial" w:hint="eastAsia"/>
                <w:lang w:val="en-US"/>
              </w:rPr>
              <w:t>m</w:t>
            </w:r>
            <w:r>
              <w:rPr>
                <w:rFonts w:cs="Arial"/>
                <w:lang w:val="en-US"/>
              </w:rPr>
              <w:t xml:space="preserve">anagement </w:t>
            </w:r>
            <w:r>
              <w:rPr>
                <w:rFonts w:cs="Arial" w:hint="eastAsia"/>
                <w:lang w:val="en-US"/>
              </w:rPr>
              <w:t>p</w:t>
            </w:r>
            <w:r>
              <w:rPr>
                <w:rFonts w:cs="Arial"/>
                <w:lang w:val="en-US"/>
              </w:rPr>
              <w:t xml:space="preserve">rocesses and the </w:t>
            </w:r>
            <w:r>
              <w:rPr>
                <w:rFonts w:cs="Arial" w:hint="eastAsia"/>
                <w:lang w:val="en-US"/>
              </w:rPr>
              <w:t>c</w:t>
            </w:r>
            <w:r>
              <w:rPr>
                <w:rFonts w:cs="Arial"/>
                <w:lang w:val="en-US"/>
              </w:rPr>
              <w:t xml:space="preserve">orresponding </w:t>
            </w:r>
            <w:r>
              <w:rPr>
                <w:rFonts w:cs="Arial" w:hint="eastAsia"/>
                <w:lang w:val="en-US"/>
              </w:rPr>
              <w:t>r</w:t>
            </w:r>
            <w:r>
              <w:rPr>
                <w:rFonts w:cs="Arial"/>
                <w:lang w:val="en-US"/>
              </w:rPr>
              <w:t xml:space="preserve">ules, </w:t>
            </w:r>
            <w:r>
              <w:rPr>
                <w:rFonts w:cs="Arial" w:hint="eastAsia"/>
                <w:lang w:val="en-US"/>
              </w:rPr>
              <w:t>g</w:t>
            </w:r>
            <w:r>
              <w:rPr>
                <w:rFonts w:cs="Arial"/>
                <w:lang w:val="en-US"/>
              </w:rPr>
              <w:t xml:space="preserve">uidelines and </w:t>
            </w:r>
            <w:r>
              <w:rPr>
                <w:rFonts w:cs="Arial" w:hint="eastAsia"/>
                <w:lang w:val="en-US"/>
              </w:rPr>
              <w:t>p</w:t>
            </w:r>
            <w:r>
              <w:rPr>
                <w:rFonts w:cs="Arial"/>
                <w:lang w:val="en-US"/>
              </w:rPr>
              <w:t>ublications</w:t>
            </w:r>
          </w:p>
        </w:tc>
        <w:tc>
          <w:tcPr>
            <w:tcW w:w="774" w:type="dxa"/>
          </w:tcPr>
          <w:p w:rsidR="005961E6" w:rsidRDefault="003850FF" w:rsidP="00CB20EC">
            <w:pPr>
              <w:jc w:val="center"/>
              <w:rPr>
                <w:rFonts w:cs="Arial"/>
                <w:lang w:val="en-US"/>
              </w:rPr>
            </w:pPr>
            <w:r>
              <w:rPr>
                <w:rFonts w:cs="Arial" w:hint="eastAsia"/>
                <w:lang w:val="en-US"/>
              </w:rPr>
              <w:t>2</w:t>
            </w:r>
            <w:r w:rsidR="00CB20EC">
              <w:rPr>
                <w:rFonts w:cs="Arial"/>
                <w:lang w:val="en-US"/>
              </w:rPr>
              <w:t>1</w:t>
            </w:r>
          </w:p>
        </w:tc>
      </w:tr>
      <w:tr w:rsidR="005961E6">
        <w:tblPrEx>
          <w:tblCellMar>
            <w:top w:w="0" w:type="dxa"/>
            <w:bottom w:w="0" w:type="dxa"/>
          </w:tblCellMar>
        </w:tblPrEx>
        <w:tc>
          <w:tcPr>
            <w:tcW w:w="7588" w:type="dxa"/>
          </w:tcPr>
          <w:p w:rsidR="005961E6" w:rsidRDefault="005961E6" w:rsidP="008E39A6">
            <w:pPr>
              <w:tabs>
                <w:tab w:val="clear" w:pos="1418"/>
              </w:tabs>
              <w:ind w:left="1440" w:right="331" w:hanging="720"/>
              <w:jc w:val="left"/>
              <w:rPr>
                <w:rFonts w:cs="Arial" w:hint="eastAsia"/>
              </w:rPr>
            </w:pPr>
            <w:r>
              <w:rPr>
                <w:rFonts w:cs="Arial" w:hint="eastAsia"/>
              </w:rPr>
              <w:t>(a)</w:t>
            </w:r>
            <w:r>
              <w:rPr>
                <w:rFonts w:cs="Arial"/>
              </w:rPr>
              <w:tab/>
            </w:r>
            <w:r>
              <w:rPr>
                <w:rFonts w:cs="Arial" w:hint="eastAsia"/>
              </w:rPr>
              <w:t>Establishment of comprehensive records management programme</w:t>
            </w:r>
          </w:p>
        </w:tc>
        <w:tc>
          <w:tcPr>
            <w:tcW w:w="774" w:type="dxa"/>
          </w:tcPr>
          <w:p w:rsidR="005961E6" w:rsidRDefault="003850FF" w:rsidP="00CB20EC">
            <w:pPr>
              <w:jc w:val="center"/>
              <w:rPr>
                <w:rFonts w:cs="Arial"/>
                <w:lang w:val="en-US"/>
              </w:rPr>
            </w:pPr>
            <w:r>
              <w:rPr>
                <w:rFonts w:cs="Arial" w:hint="eastAsia"/>
                <w:lang w:val="en-US"/>
              </w:rPr>
              <w:t>2</w:t>
            </w:r>
            <w:r w:rsidR="00CB20EC">
              <w:rPr>
                <w:rFonts w:cs="Arial"/>
                <w:lang w:val="en-US"/>
              </w:rPr>
              <w:t>1</w:t>
            </w:r>
          </w:p>
        </w:tc>
      </w:tr>
      <w:tr w:rsidR="005961E6">
        <w:tblPrEx>
          <w:tblCellMar>
            <w:top w:w="0" w:type="dxa"/>
            <w:bottom w:w="0" w:type="dxa"/>
          </w:tblCellMar>
        </w:tblPrEx>
        <w:tc>
          <w:tcPr>
            <w:tcW w:w="7588" w:type="dxa"/>
          </w:tcPr>
          <w:p w:rsidR="005961E6" w:rsidRDefault="005961E6" w:rsidP="008E39A6">
            <w:pPr>
              <w:tabs>
                <w:tab w:val="clear" w:pos="1418"/>
              </w:tabs>
              <w:ind w:left="1440" w:right="331" w:hanging="720"/>
              <w:jc w:val="left"/>
              <w:rPr>
                <w:rFonts w:cs="Arial"/>
              </w:rPr>
            </w:pPr>
            <w:r>
              <w:rPr>
                <w:rFonts w:cs="Arial" w:hint="eastAsia"/>
              </w:rPr>
              <w:t>(b)</w:t>
            </w:r>
            <w:r>
              <w:rPr>
                <w:rFonts w:cs="Arial"/>
              </w:rPr>
              <w:tab/>
            </w:r>
            <w:r>
              <w:rPr>
                <w:rFonts w:cs="Arial" w:hint="eastAsia"/>
              </w:rPr>
              <w:t>Designation of a directorate officer to oversee records management in B/Ds, a</w:t>
            </w:r>
            <w:r>
              <w:rPr>
                <w:rFonts w:cs="Arial"/>
              </w:rPr>
              <w:t xml:space="preserve">ppointment of </w:t>
            </w:r>
            <w:r>
              <w:rPr>
                <w:rFonts w:cs="Arial" w:hint="eastAsia"/>
              </w:rPr>
              <w:t xml:space="preserve">a </w:t>
            </w:r>
            <w:r>
              <w:rPr>
                <w:rFonts w:cs="Arial"/>
              </w:rPr>
              <w:t>Department</w:t>
            </w:r>
            <w:r>
              <w:rPr>
                <w:rFonts w:cs="Arial" w:hint="eastAsia"/>
                <w:lang w:eastAsia="zh-HK"/>
              </w:rPr>
              <w:t>al</w:t>
            </w:r>
            <w:r>
              <w:rPr>
                <w:rFonts w:cs="Arial"/>
              </w:rPr>
              <w:t xml:space="preserve"> Records Manager (</w:t>
            </w:r>
            <w:r>
              <w:rPr>
                <w:rFonts w:cs="Arial" w:hint="eastAsia"/>
              </w:rPr>
              <w:t>"</w:t>
            </w:r>
            <w:r>
              <w:rPr>
                <w:rFonts w:cs="Arial"/>
              </w:rPr>
              <w:t>DRM</w:t>
            </w:r>
            <w:r>
              <w:rPr>
                <w:rFonts w:cs="Arial" w:hint="eastAsia"/>
              </w:rPr>
              <w:t>"</w:t>
            </w:r>
            <w:r>
              <w:rPr>
                <w:rFonts w:cs="Arial"/>
              </w:rPr>
              <w:t>) and implementation of records management programme</w:t>
            </w:r>
          </w:p>
        </w:tc>
        <w:tc>
          <w:tcPr>
            <w:tcW w:w="774" w:type="dxa"/>
          </w:tcPr>
          <w:p w:rsidR="005961E6" w:rsidRDefault="003850FF" w:rsidP="00CB20EC">
            <w:pPr>
              <w:jc w:val="center"/>
              <w:rPr>
                <w:rFonts w:cs="Arial"/>
                <w:lang w:val="en-US"/>
              </w:rPr>
            </w:pPr>
            <w:r>
              <w:rPr>
                <w:rFonts w:cs="Arial" w:hint="eastAsia"/>
                <w:lang w:val="en-US"/>
              </w:rPr>
              <w:t>2</w:t>
            </w:r>
            <w:r w:rsidR="00CB20EC">
              <w:rPr>
                <w:rFonts w:cs="Arial"/>
                <w:lang w:val="en-US"/>
              </w:rPr>
              <w:t>2</w:t>
            </w:r>
          </w:p>
        </w:tc>
      </w:tr>
      <w:tr w:rsidR="005961E6">
        <w:tblPrEx>
          <w:tblCellMar>
            <w:top w:w="0" w:type="dxa"/>
            <w:bottom w:w="0" w:type="dxa"/>
          </w:tblCellMar>
        </w:tblPrEx>
        <w:tc>
          <w:tcPr>
            <w:tcW w:w="7588" w:type="dxa"/>
          </w:tcPr>
          <w:p w:rsidR="005961E6" w:rsidRDefault="005961E6">
            <w:pPr>
              <w:tabs>
                <w:tab w:val="left" w:pos="720"/>
              </w:tabs>
              <w:ind w:left="1440" w:right="331" w:hanging="720"/>
              <w:rPr>
                <w:rFonts w:cs="Arial"/>
              </w:rPr>
            </w:pPr>
            <w:r>
              <w:rPr>
                <w:rFonts w:cs="Arial"/>
              </w:rPr>
              <w:t>(</w:t>
            </w:r>
            <w:r>
              <w:rPr>
                <w:rFonts w:cs="Arial" w:hint="eastAsia"/>
              </w:rPr>
              <w:t>c</w:t>
            </w:r>
            <w:r>
              <w:rPr>
                <w:rFonts w:cs="Arial"/>
              </w:rPr>
              <w:t>)</w:t>
            </w:r>
            <w:r>
              <w:rPr>
                <w:rFonts w:cs="Arial" w:hint="eastAsia"/>
              </w:rPr>
              <w:tab/>
            </w:r>
            <w:r>
              <w:rPr>
                <w:rFonts w:cs="Arial"/>
              </w:rPr>
              <w:t>Creation and collection of records by B/Ds</w:t>
            </w:r>
          </w:p>
        </w:tc>
        <w:tc>
          <w:tcPr>
            <w:tcW w:w="774" w:type="dxa"/>
          </w:tcPr>
          <w:p w:rsidR="005961E6" w:rsidRDefault="003850FF" w:rsidP="00CB20EC">
            <w:pPr>
              <w:jc w:val="center"/>
              <w:rPr>
                <w:rFonts w:cs="Arial"/>
                <w:lang w:val="en-US"/>
              </w:rPr>
            </w:pPr>
            <w:r>
              <w:rPr>
                <w:rFonts w:cs="Arial" w:hint="eastAsia"/>
                <w:lang w:val="en-US"/>
              </w:rPr>
              <w:t>2</w:t>
            </w:r>
            <w:r w:rsidR="00CB20EC">
              <w:rPr>
                <w:rFonts w:cs="Arial"/>
                <w:lang w:val="en-US"/>
              </w:rPr>
              <w:t>2</w:t>
            </w:r>
          </w:p>
        </w:tc>
      </w:tr>
      <w:tr w:rsidR="005961E6">
        <w:tblPrEx>
          <w:tblCellMar>
            <w:top w:w="0" w:type="dxa"/>
            <w:bottom w:w="0" w:type="dxa"/>
          </w:tblCellMar>
        </w:tblPrEx>
        <w:tc>
          <w:tcPr>
            <w:tcW w:w="7588" w:type="dxa"/>
          </w:tcPr>
          <w:p w:rsidR="005961E6" w:rsidRDefault="005961E6">
            <w:pPr>
              <w:tabs>
                <w:tab w:val="left" w:pos="720"/>
              </w:tabs>
              <w:ind w:left="1440" w:right="331" w:hanging="720"/>
              <w:rPr>
                <w:rFonts w:cs="Arial"/>
              </w:rPr>
            </w:pPr>
            <w:r>
              <w:rPr>
                <w:rFonts w:cs="Arial"/>
              </w:rPr>
              <w:t>(</w:t>
            </w:r>
            <w:r>
              <w:rPr>
                <w:rFonts w:cs="Arial" w:hint="eastAsia"/>
              </w:rPr>
              <w:t>d</w:t>
            </w:r>
            <w:r>
              <w:rPr>
                <w:rFonts w:cs="Arial"/>
              </w:rPr>
              <w:t>)</w:t>
            </w:r>
            <w:r>
              <w:rPr>
                <w:rFonts w:cs="Arial" w:hint="eastAsia"/>
              </w:rPr>
              <w:tab/>
            </w:r>
            <w:r>
              <w:rPr>
                <w:rFonts w:cs="Arial"/>
              </w:rPr>
              <w:t>Maintenance of accurate records inventory in B/Ds for tracking of records</w:t>
            </w:r>
          </w:p>
        </w:tc>
        <w:tc>
          <w:tcPr>
            <w:tcW w:w="774" w:type="dxa"/>
          </w:tcPr>
          <w:p w:rsidR="005961E6" w:rsidRDefault="003850FF" w:rsidP="00CB20EC">
            <w:pPr>
              <w:jc w:val="center"/>
              <w:rPr>
                <w:rFonts w:cs="Arial"/>
                <w:lang w:val="en-US"/>
              </w:rPr>
            </w:pPr>
            <w:r>
              <w:rPr>
                <w:rFonts w:cs="Arial" w:hint="eastAsia"/>
                <w:lang w:val="en-US"/>
              </w:rPr>
              <w:t>2</w:t>
            </w:r>
            <w:r w:rsidR="00CB20EC">
              <w:rPr>
                <w:rFonts w:cs="Arial"/>
                <w:lang w:val="en-US"/>
              </w:rPr>
              <w:t>3</w:t>
            </w:r>
          </w:p>
        </w:tc>
      </w:tr>
      <w:tr w:rsidR="005961E6">
        <w:tblPrEx>
          <w:tblCellMar>
            <w:top w:w="0" w:type="dxa"/>
            <w:bottom w:w="0" w:type="dxa"/>
          </w:tblCellMar>
        </w:tblPrEx>
        <w:tc>
          <w:tcPr>
            <w:tcW w:w="7588" w:type="dxa"/>
          </w:tcPr>
          <w:p w:rsidR="005961E6" w:rsidRDefault="005961E6" w:rsidP="00286CCD">
            <w:pPr>
              <w:tabs>
                <w:tab w:val="left" w:pos="720"/>
              </w:tabs>
              <w:ind w:left="1440" w:right="331" w:hanging="720"/>
              <w:rPr>
                <w:rFonts w:cs="Arial"/>
              </w:rPr>
            </w:pPr>
            <w:r>
              <w:rPr>
                <w:rFonts w:cs="Arial"/>
              </w:rPr>
              <w:t>(</w:t>
            </w:r>
            <w:r>
              <w:rPr>
                <w:rFonts w:cs="Arial" w:hint="eastAsia"/>
              </w:rPr>
              <w:t>e</w:t>
            </w:r>
            <w:r>
              <w:rPr>
                <w:rFonts w:cs="Arial"/>
              </w:rPr>
              <w:t>)</w:t>
            </w:r>
            <w:r>
              <w:rPr>
                <w:rFonts w:cs="Arial" w:hint="eastAsia"/>
              </w:rPr>
              <w:tab/>
            </w:r>
            <w:r>
              <w:rPr>
                <w:rFonts w:cs="Arial"/>
              </w:rPr>
              <w:t>Content classification</w:t>
            </w:r>
          </w:p>
        </w:tc>
        <w:tc>
          <w:tcPr>
            <w:tcW w:w="774" w:type="dxa"/>
          </w:tcPr>
          <w:p w:rsidR="005961E6" w:rsidRDefault="003850FF" w:rsidP="00100AD4">
            <w:pPr>
              <w:jc w:val="center"/>
              <w:rPr>
                <w:rFonts w:cs="Arial"/>
                <w:lang w:val="en-US"/>
              </w:rPr>
            </w:pPr>
            <w:r>
              <w:rPr>
                <w:rFonts w:cs="Arial" w:hint="eastAsia"/>
                <w:lang w:val="en-US"/>
              </w:rPr>
              <w:t>2</w:t>
            </w:r>
            <w:r w:rsidR="00100AD4">
              <w:rPr>
                <w:rFonts w:cs="Arial"/>
                <w:lang w:val="en-US"/>
              </w:rPr>
              <w:t>4</w:t>
            </w:r>
          </w:p>
        </w:tc>
      </w:tr>
      <w:tr w:rsidR="005961E6">
        <w:tblPrEx>
          <w:tblCellMar>
            <w:top w:w="0" w:type="dxa"/>
            <w:bottom w:w="0" w:type="dxa"/>
          </w:tblCellMar>
        </w:tblPrEx>
        <w:tc>
          <w:tcPr>
            <w:tcW w:w="7588" w:type="dxa"/>
          </w:tcPr>
          <w:p w:rsidR="005961E6" w:rsidRDefault="005961E6" w:rsidP="003850FF">
            <w:pPr>
              <w:tabs>
                <w:tab w:val="left" w:pos="720"/>
              </w:tabs>
              <w:ind w:left="1440" w:right="331" w:hanging="720"/>
              <w:rPr>
                <w:rFonts w:cs="Arial"/>
              </w:rPr>
            </w:pPr>
            <w:r>
              <w:rPr>
                <w:rFonts w:cs="Arial"/>
              </w:rPr>
              <w:t>(</w:t>
            </w:r>
            <w:r>
              <w:rPr>
                <w:rFonts w:cs="Arial" w:hint="eastAsia"/>
              </w:rPr>
              <w:t>f</w:t>
            </w:r>
            <w:r>
              <w:rPr>
                <w:rFonts w:cs="Arial"/>
              </w:rPr>
              <w:t>)</w:t>
            </w:r>
            <w:r>
              <w:rPr>
                <w:rFonts w:cs="Arial" w:hint="eastAsia"/>
              </w:rPr>
              <w:tab/>
            </w:r>
            <w:r>
              <w:rPr>
                <w:rFonts w:cs="Arial"/>
              </w:rPr>
              <w:t>Records scheduling and disposal</w:t>
            </w:r>
          </w:p>
        </w:tc>
        <w:tc>
          <w:tcPr>
            <w:tcW w:w="774" w:type="dxa"/>
          </w:tcPr>
          <w:p w:rsidR="005961E6" w:rsidRDefault="003850FF">
            <w:pPr>
              <w:jc w:val="center"/>
              <w:rPr>
                <w:rFonts w:cs="Arial"/>
                <w:lang w:val="en-US"/>
              </w:rPr>
            </w:pPr>
            <w:r>
              <w:rPr>
                <w:rFonts w:cs="Arial" w:hint="eastAsia"/>
                <w:lang w:val="en-US"/>
              </w:rPr>
              <w:t>2</w:t>
            </w:r>
            <w:r w:rsidR="00100AD4">
              <w:rPr>
                <w:rFonts w:cs="Arial"/>
                <w:lang w:val="en-US"/>
              </w:rPr>
              <w:t>5</w:t>
            </w:r>
          </w:p>
        </w:tc>
      </w:tr>
      <w:tr w:rsidR="005961E6">
        <w:tblPrEx>
          <w:tblCellMar>
            <w:top w:w="0" w:type="dxa"/>
            <w:bottom w:w="0" w:type="dxa"/>
          </w:tblCellMar>
        </w:tblPrEx>
        <w:tc>
          <w:tcPr>
            <w:tcW w:w="7588" w:type="dxa"/>
          </w:tcPr>
          <w:p w:rsidR="005961E6" w:rsidRDefault="005961E6">
            <w:pPr>
              <w:tabs>
                <w:tab w:val="clear" w:pos="1418"/>
                <w:tab w:val="left" w:pos="1800"/>
              </w:tabs>
              <w:ind w:left="1440" w:right="331" w:hanging="720"/>
              <w:rPr>
                <w:rFonts w:cs="Arial"/>
              </w:rPr>
            </w:pPr>
            <w:r>
              <w:rPr>
                <w:rFonts w:cs="Arial"/>
              </w:rPr>
              <w:t>(</w:t>
            </w:r>
            <w:r>
              <w:rPr>
                <w:rFonts w:cs="Arial" w:hint="eastAsia"/>
              </w:rPr>
              <w:t>g</w:t>
            </w:r>
            <w:r>
              <w:rPr>
                <w:rFonts w:cs="Arial"/>
              </w:rPr>
              <w:t>)</w:t>
            </w:r>
            <w:r>
              <w:rPr>
                <w:rFonts w:cs="Arial" w:hint="eastAsia"/>
              </w:rPr>
              <w:tab/>
            </w:r>
            <w:r>
              <w:rPr>
                <w:rFonts w:cs="Arial"/>
              </w:rPr>
              <w:t>Use, custody and storage of records in B/Ds</w:t>
            </w:r>
          </w:p>
        </w:tc>
        <w:tc>
          <w:tcPr>
            <w:tcW w:w="774" w:type="dxa"/>
          </w:tcPr>
          <w:p w:rsidR="005961E6" w:rsidRDefault="003850FF">
            <w:pPr>
              <w:jc w:val="center"/>
              <w:rPr>
                <w:rFonts w:cs="Arial"/>
                <w:lang w:val="en-US"/>
              </w:rPr>
            </w:pPr>
            <w:r>
              <w:rPr>
                <w:rFonts w:cs="Arial" w:hint="eastAsia"/>
                <w:lang w:val="en-US"/>
              </w:rPr>
              <w:t>2</w:t>
            </w:r>
            <w:r w:rsidR="00100AD4">
              <w:rPr>
                <w:rFonts w:cs="Arial"/>
                <w:lang w:val="en-US"/>
              </w:rPr>
              <w:t>6</w:t>
            </w:r>
          </w:p>
        </w:tc>
      </w:tr>
      <w:tr w:rsidR="005961E6">
        <w:tblPrEx>
          <w:tblCellMar>
            <w:top w:w="0" w:type="dxa"/>
            <w:bottom w:w="0" w:type="dxa"/>
          </w:tblCellMar>
        </w:tblPrEx>
        <w:tc>
          <w:tcPr>
            <w:tcW w:w="7588" w:type="dxa"/>
          </w:tcPr>
          <w:p w:rsidR="005961E6" w:rsidRDefault="005961E6" w:rsidP="008E39A6">
            <w:pPr>
              <w:tabs>
                <w:tab w:val="left" w:pos="720"/>
              </w:tabs>
              <w:ind w:left="1440" w:right="331" w:hanging="720"/>
              <w:jc w:val="left"/>
              <w:rPr>
                <w:rFonts w:cs="Arial"/>
              </w:rPr>
            </w:pPr>
            <w:r>
              <w:rPr>
                <w:rFonts w:cs="Arial"/>
              </w:rPr>
              <w:t>(</w:t>
            </w:r>
            <w:r>
              <w:rPr>
                <w:rFonts w:cs="Arial" w:hint="eastAsia"/>
              </w:rPr>
              <w:t>h</w:t>
            </w:r>
            <w:r>
              <w:rPr>
                <w:rFonts w:cs="Arial"/>
              </w:rPr>
              <w:t>)</w:t>
            </w:r>
            <w:r>
              <w:rPr>
                <w:rFonts w:cs="Arial" w:hint="eastAsia"/>
              </w:rPr>
              <w:tab/>
            </w:r>
            <w:r>
              <w:rPr>
                <w:rFonts w:cs="Arial"/>
              </w:rPr>
              <w:t>Vital records protection within B/Ds</w:t>
            </w:r>
          </w:p>
        </w:tc>
        <w:tc>
          <w:tcPr>
            <w:tcW w:w="774" w:type="dxa"/>
          </w:tcPr>
          <w:p w:rsidR="005961E6" w:rsidRDefault="003850FF">
            <w:pPr>
              <w:jc w:val="center"/>
              <w:rPr>
                <w:rFonts w:cs="Arial"/>
              </w:rPr>
            </w:pPr>
            <w:r>
              <w:rPr>
                <w:rFonts w:cs="Arial" w:hint="eastAsia"/>
              </w:rPr>
              <w:t>2</w:t>
            </w:r>
            <w:r w:rsidR="00100AD4">
              <w:rPr>
                <w:rFonts w:cs="Arial"/>
              </w:rPr>
              <w:t>7</w:t>
            </w:r>
          </w:p>
        </w:tc>
      </w:tr>
      <w:tr w:rsidR="005961E6">
        <w:tblPrEx>
          <w:tblCellMar>
            <w:top w:w="0" w:type="dxa"/>
            <w:bottom w:w="0" w:type="dxa"/>
          </w:tblCellMar>
        </w:tblPrEx>
        <w:tc>
          <w:tcPr>
            <w:tcW w:w="7588" w:type="dxa"/>
          </w:tcPr>
          <w:p w:rsidR="005961E6" w:rsidRDefault="005961E6" w:rsidP="008E39A6">
            <w:pPr>
              <w:widowControl/>
              <w:tabs>
                <w:tab w:val="left" w:pos="720"/>
              </w:tabs>
              <w:ind w:left="1440" w:right="331" w:hanging="720"/>
              <w:jc w:val="left"/>
              <w:rPr>
                <w:rFonts w:cs="Arial"/>
              </w:rPr>
            </w:pPr>
            <w:r>
              <w:rPr>
                <w:rFonts w:cs="Arial"/>
              </w:rPr>
              <w:t>(</w:t>
            </w:r>
            <w:r>
              <w:rPr>
                <w:rFonts w:cs="Arial" w:hint="eastAsia"/>
              </w:rPr>
              <w:t>i</w:t>
            </w:r>
            <w:r>
              <w:rPr>
                <w:rFonts w:cs="Arial"/>
              </w:rPr>
              <w:t>)</w:t>
            </w:r>
            <w:r>
              <w:rPr>
                <w:rFonts w:cs="Arial" w:hint="eastAsia"/>
              </w:rPr>
              <w:tab/>
            </w:r>
            <w:r>
              <w:rPr>
                <w:rFonts w:cs="Arial"/>
              </w:rPr>
              <w:t>Appraisal of records and transfer of records having archival value to the GRS</w:t>
            </w:r>
          </w:p>
        </w:tc>
        <w:tc>
          <w:tcPr>
            <w:tcW w:w="774" w:type="dxa"/>
          </w:tcPr>
          <w:p w:rsidR="005961E6" w:rsidRDefault="003850FF">
            <w:pPr>
              <w:jc w:val="center"/>
              <w:rPr>
                <w:rFonts w:cs="Arial"/>
              </w:rPr>
            </w:pPr>
            <w:r>
              <w:rPr>
                <w:rFonts w:cs="Arial" w:hint="eastAsia"/>
              </w:rPr>
              <w:t>2</w:t>
            </w:r>
            <w:r w:rsidR="00100AD4">
              <w:rPr>
                <w:rFonts w:cs="Arial"/>
              </w:rPr>
              <w:t>7</w:t>
            </w:r>
          </w:p>
        </w:tc>
      </w:tr>
      <w:tr w:rsidR="005961E6">
        <w:tblPrEx>
          <w:tblCellMar>
            <w:top w:w="0" w:type="dxa"/>
            <w:bottom w:w="0" w:type="dxa"/>
          </w:tblCellMar>
        </w:tblPrEx>
        <w:tc>
          <w:tcPr>
            <w:tcW w:w="7588" w:type="dxa"/>
          </w:tcPr>
          <w:p w:rsidR="005961E6" w:rsidRDefault="005961E6" w:rsidP="008E39A6">
            <w:pPr>
              <w:keepNext/>
              <w:keepLines/>
              <w:tabs>
                <w:tab w:val="left" w:pos="720"/>
              </w:tabs>
              <w:ind w:left="1440" w:right="331" w:hanging="720"/>
              <w:jc w:val="left"/>
              <w:rPr>
                <w:rFonts w:cs="Arial" w:hint="eastAsia"/>
                <w:lang w:eastAsia="zh-HK"/>
              </w:rPr>
            </w:pPr>
            <w:r>
              <w:rPr>
                <w:rFonts w:cs="Arial"/>
              </w:rPr>
              <w:t>(</w:t>
            </w:r>
            <w:r>
              <w:rPr>
                <w:rFonts w:cs="Arial" w:hint="eastAsia"/>
              </w:rPr>
              <w:t>j</w:t>
            </w:r>
            <w:r>
              <w:rPr>
                <w:rFonts w:cs="Arial"/>
              </w:rPr>
              <w:t>)</w:t>
            </w:r>
            <w:r>
              <w:rPr>
                <w:rFonts w:cs="Arial" w:hint="eastAsia"/>
              </w:rPr>
              <w:tab/>
            </w:r>
            <w:r>
              <w:rPr>
                <w:rFonts w:cs="Arial"/>
              </w:rPr>
              <w:t>Protection and preservation of archives in GRS</w:t>
            </w:r>
          </w:p>
        </w:tc>
        <w:tc>
          <w:tcPr>
            <w:tcW w:w="774" w:type="dxa"/>
          </w:tcPr>
          <w:p w:rsidR="005961E6" w:rsidRDefault="003850FF">
            <w:pPr>
              <w:jc w:val="center"/>
              <w:rPr>
                <w:rFonts w:cs="Arial"/>
                <w:lang w:val="en-US" w:eastAsia="zh-HK"/>
              </w:rPr>
            </w:pPr>
            <w:r>
              <w:rPr>
                <w:rFonts w:cs="Arial" w:hint="eastAsia"/>
                <w:lang w:val="en-US" w:eastAsia="zh-HK"/>
              </w:rPr>
              <w:t>2</w:t>
            </w:r>
            <w:r w:rsidR="00100AD4">
              <w:rPr>
                <w:rFonts w:cs="Arial"/>
                <w:lang w:val="en-US" w:eastAsia="zh-HK"/>
              </w:rPr>
              <w:t>9</w:t>
            </w:r>
          </w:p>
        </w:tc>
      </w:tr>
      <w:tr w:rsidR="008E39A6">
        <w:tblPrEx>
          <w:tblCellMar>
            <w:top w:w="0" w:type="dxa"/>
            <w:bottom w:w="0" w:type="dxa"/>
          </w:tblCellMar>
        </w:tblPrEx>
        <w:tc>
          <w:tcPr>
            <w:tcW w:w="7588" w:type="dxa"/>
          </w:tcPr>
          <w:p w:rsidR="008E39A6" w:rsidRDefault="008E39A6" w:rsidP="008E39A6">
            <w:pPr>
              <w:keepNext/>
              <w:keepLines/>
              <w:tabs>
                <w:tab w:val="left" w:pos="720"/>
              </w:tabs>
              <w:ind w:left="1440" w:right="331" w:hanging="720"/>
              <w:jc w:val="left"/>
              <w:rPr>
                <w:rFonts w:cs="Arial"/>
              </w:rPr>
            </w:pPr>
            <w:r>
              <w:rPr>
                <w:rFonts w:cs="Arial" w:hint="eastAsia"/>
                <w:lang w:eastAsia="zh-HK"/>
              </w:rPr>
              <w:t>(k)</w:t>
            </w:r>
            <w:r>
              <w:rPr>
                <w:rFonts w:cs="Arial"/>
                <w:lang w:eastAsia="zh-HK"/>
              </w:rPr>
              <w:tab/>
            </w:r>
            <w:r w:rsidRPr="006E02C0">
              <w:rPr>
                <w:rFonts w:cs="Arial"/>
                <w:lang w:eastAsia="zh-HK"/>
              </w:rPr>
              <w:t xml:space="preserve">Archives accessioning, description and </w:t>
            </w:r>
            <w:r>
              <w:rPr>
                <w:rFonts w:cs="Arial"/>
                <w:lang w:eastAsia="zh-HK"/>
              </w:rPr>
              <w:t>arrangement</w:t>
            </w:r>
          </w:p>
        </w:tc>
        <w:tc>
          <w:tcPr>
            <w:tcW w:w="774" w:type="dxa"/>
          </w:tcPr>
          <w:p w:rsidR="008E39A6" w:rsidRDefault="003850FF">
            <w:pPr>
              <w:jc w:val="center"/>
              <w:rPr>
                <w:rFonts w:cs="Arial"/>
                <w:lang w:val="en-US" w:eastAsia="zh-HK"/>
              </w:rPr>
            </w:pPr>
            <w:r>
              <w:rPr>
                <w:rFonts w:cs="Arial" w:hint="eastAsia"/>
                <w:lang w:val="en-US" w:eastAsia="zh-HK"/>
              </w:rPr>
              <w:t>2</w:t>
            </w:r>
            <w:r w:rsidR="00100AD4">
              <w:rPr>
                <w:rFonts w:cs="Arial"/>
                <w:lang w:val="en-US" w:eastAsia="zh-HK"/>
              </w:rPr>
              <w:t>9</w:t>
            </w:r>
          </w:p>
        </w:tc>
      </w:tr>
      <w:tr w:rsidR="008E39A6">
        <w:tblPrEx>
          <w:tblCellMar>
            <w:top w:w="0" w:type="dxa"/>
            <w:bottom w:w="0" w:type="dxa"/>
          </w:tblCellMar>
        </w:tblPrEx>
        <w:tc>
          <w:tcPr>
            <w:tcW w:w="7588" w:type="dxa"/>
          </w:tcPr>
          <w:p w:rsidR="008E39A6" w:rsidRDefault="008E39A6">
            <w:pPr>
              <w:keepNext/>
              <w:keepLines/>
              <w:tabs>
                <w:tab w:val="left" w:pos="720"/>
              </w:tabs>
              <w:ind w:left="1440" w:right="331" w:hanging="720"/>
              <w:jc w:val="left"/>
              <w:rPr>
                <w:rFonts w:cs="Arial"/>
              </w:rPr>
            </w:pPr>
            <w:r>
              <w:rPr>
                <w:rFonts w:cs="Arial" w:hint="eastAsia"/>
                <w:lang w:eastAsia="zh-HK"/>
              </w:rPr>
              <w:t>(l)</w:t>
            </w:r>
            <w:r>
              <w:rPr>
                <w:rFonts w:cs="Arial"/>
                <w:lang w:eastAsia="zh-HK"/>
              </w:rPr>
              <w:tab/>
            </w:r>
            <w:r w:rsidRPr="006E02C0">
              <w:rPr>
                <w:rFonts w:cs="Arial"/>
                <w:lang w:eastAsia="zh-HK"/>
              </w:rPr>
              <w:t>Public access to archival records kept by GRS</w:t>
            </w:r>
          </w:p>
        </w:tc>
        <w:tc>
          <w:tcPr>
            <w:tcW w:w="774" w:type="dxa"/>
          </w:tcPr>
          <w:p w:rsidR="008E39A6" w:rsidRDefault="00100AD4" w:rsidP="00100AD4">
            <w:pPr>
              <w:jc w:val="center"/>
              <w:rPr>
                <w:rFonts w:cs="Arial"/>
                <w:lang w:val="en-US" w:eastAsia="zh-HK"/>
              </w:rPr>
            </w:pPr>
            <w:r>
              <w:rPr>
                <w:rFonts w:cs="Arial"/>
                <w:lang w:val="en-US" w:eastAsia="zh-HK"/>
              </w:rPr>
              <w:t>30</w:t>
            </w:r>
          </w:p>
        </w:tc>
      </w:tr>
      <w:tr w:rsidR="005961E6">
        <w:tblPrEx>
          <w:tblCellMar>
            <w:top w:w="0" w:type="dxa"/>
            <w:bottom w:w="0" w:type="dxa"/>
          </w:tblCellMar>
        </w:tblPrEx>
        <w:tc>
          <w:tcPr>
            <w:tcW w:w="7588" w:type="dxa"/>
          </w:tcPr>
          <w:p w:rsidR="005961E6" w:rsidRDefault="005961E6">
            <w:pPr>
              <w:tabs>
                <w:tab w:val="clear" w:pos="1418"/>
                <w:tab w:val="left" w:pos="720"/>
                <w:tab w:val="left" w:pos="1430"/>
              </w:tabs>
              <w:ind w:right="332"/>
              <w:rPr>
                <w:rFonts w:cs="Arial"/>
                <w:i/>
                <w:lang w:val="en-US"/>
              </w:rPr>
            </w:pPr>
            <w:r>
              <w:rPr>
                <w:rFonts w:cs="Arial"/>
              </w:rPr>
              <w:t>Management of electronic records</w:t>
            </w:r>
          </w:p>
        </w:tc>
        <w:tc>
          <w:tcPr>
            <w:tcW w:w="774" w:type="dxa"/>
          </w:tcPr>
          <w:p w:rsidR="005961E6" w:rsidRDefault="00100AD4">
            <w:pPr>
              <w:jc w:val="center"/>
              <w:rPr>
                <w:rFonts w:cs="Arial"/>
                <w:lang w:val="en-US"/>
              </w:rPr>
            </w:pPr>
            <w:r>
              <w:rPr>
                <w:rFonts w:cs="Arial"/>
                <w:lang w:val="en-US"/>
              </w:rPr>
              <w:t>30</w:t>
            </w:r>
          </w:p>
        </w:tc>
      </w:tr>
      <w:tr w:rsidR="005961E6">
        <w:tblPrEx>
          <w:tblCellMar>
            <w:top w:w="0" w:type="dxa"/>
            <w:bottom w:w="0" w:type="dxa"/>
          </w:tblCellMar>
        </w:tblPrEx>
        <w:tc>
          <w:tcPr>
            <w:tcW w:w="7588" w:type="dxa"/>
          </w:tcPr>
          <w:p w:rsidR="005961E6" w:rsidRDefault="005961E6">
            <w:pPr>
              <w:keepNext/>
              <w:keepLines/>
              <w:tabs>
                <w:tab w:val="left" w:pos="720"/>
              </w:tabs>
              <w:ind w:left="1440" w:right="331" w:hanging="720"/>
              <w:jc w:val="left"/>
              <w:rPr>
                <w:rFonts w:cs="Arial"/>
              </w:rPr>
            </w:pPr>
            <w:r>
              <w:rPr>
                <w:rFonts w:cs="Arial" w:hint="eastAsia"/>
              </w:rPr>
              <w:t>(a)</w:t>
            </w:r>
            <w:r>
              <w:rPr>
                <w:rFonts w:cs="Arial"/>
              </w:rPr>
              <w:tab/>
              <w:t>Preservation of electronic records</w:t>
            </w:r>
          </w:p>
        </w:tc>
        <w:tc>
          <w:tcPr>
            <w:tcW w:w="774" w:type="dxa"/>
          </w:tcPr>
          <w:p w:rsidR="005961E6" w:rsidRDefault="003850FF" w:rsidP="002535D5">
            <w:pPr>
              <w:jc w:val="center"/>
              <w:rPr>
                <w:rFonts w:cs="Arial"/>
                <w:lang w:val="en-US"/>
              </w:rPr>
            </w:pPr>
            <w:r>
              <w:rPr>
                <w:rFonts w:cs="Arial" w:hint="eastAsia"/>
                <w:lang w:val="en-US"/>
              </w:rPr>
              <w:t>3</w:t>
            </w:r>
            <w:r w:rsidR="002535D5">
              <w:rPr>
                <w:rFonts w:cs="Arial"/>
                <w:lang w:val="en-US"/>
              </w:rPr>
              <w:t>2</w:t>
            </w:r>
          </w:p>
        </w:tc>
      </w:tr>
      <w:tr w:rsidR="005961E6">
        <w:tblPrEx>
          <w:tblCellMar>
            <w:top w:w="0" w:type="dxa"/>
            <w:bottom w:w="0" w:type="dxa"/>
          </w:tblCellMar>
        </w:tblPrEx>
        <w:tc>
          <w:tcPr>
            <w:tcW w:w="7588" w:type="dxa"/>
          </w:tcPr>
          <w:p w:rsidR="005961E6" w:rsidRDefault="005961E6">
            <w:pPr>
              <w:keepNext/>
              <w:keepLines/>
              <w:tabs>
                <w:tab w:val="left" w:pos="720"/>
              </w:tabs>
              <w:ind w:left="1440" w:right="331" w:hanging="720"/>
              <w:jc w:val="left"/>
              <w:rPr>
                <w:rFonts w:cs="Arial"/>
              </w:rPr>
            </w:pPr>
            <w:r>
              <w:rPr>
                <w:rFonts w:cs="Arial" w:hint="eastAsia"/>
              </w:rPr>
              <w:t>(b)</w:t>
            </w:r>
            <w:r>
              <w:rPr>
                <w:rFonts w:cs="Arial"/>
              </w:rPr>
              <w:tab/>
              <w:t>Management of email records</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2</w:t>
            </w:r>
          </w:p>
        </w:tc>
      </w:tr>
      <w:tr w:rsidR="005961E6">
        <w:tblPrEx>
          <w:tblCellMar>
            <w:top w:w="0" w:type="dxa"/>
            <w:bottom w:w="0" w:type="dxa"/>
          </w:tblCellMar>
        </w:tblPrEx>
        <w:tc>
          <w:tcPr>
            <w:tcW w:w="7588" w:type="dxa"/>
          </w:tcPr>
          <w:p w:rsidR="005961E6" w:rsidRDefault="005961E6">
            <w:pPr>
              <w:tabs>
                <w:tab w:val="left" w:pos="720"/>
              </w:tabs>
              <w:ind w:right="332"/>
              <w:rPr>
                <w:rFonts w:cs="Arial"/>
              </w:rPr>
            </w:pPr>
            <w:r>
              <w:rPr>
                <w:rFonts w:cs="Arial"/>
              </w:rPr>
              <w:t>Compliance and enforcement</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3</w:t>
            </w:r>
          </w:p>
        </w:tc>
      </w:tr>
      <w:tr w:rsidR="005961E6">
        <w:tblPrEx>
          <w:tblCellMar>
            <w:top w:w="0" w:type="dxa"/>
            <w:bottom w:w="0" w:type="dxa"/>
          </w:tblCellMar>
        </w:tblPrEx>
        <w:tc>
          <w:tcPr>
            <w:tcW w:w="7588" w:type="dxa"/>
          </w:tcPr>
          <w:p w:rsidR="005961E6" w:rsidRDefault="005961E6">
            <w:pPr>
              <w:keepNext/>
              <w:keepLines/>
              <w:tabs>
                <w:tab w:val="left" w:pos="720"/>
              </w:tabs>
              <w:ind w:left="1440" w:right="331" w:hanging="720"/>
              <w:jc w:val="left"/>
              <w:rPr>
                <w:rFonts w:cs="Arial"/>
              </w:rPr>
            </w:pPr>
            <w:r>
              <w:rPr>
                <w:rFonts w:cs="Arial" w:hint="eastAsia"/>
              </w:rPr>
              <w:t>(a)</w:t>
            </w:r>
            <w:r>
              <w:rPr>
                <w:rFonts w:cs="Arial"/>
              </w:rPr>
              <w:tab/>
              <w:t>Compliance with standards and guidelines</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3</w:t>
            </w:r>
          </w:p>
        </w:tc>
      </w:tr>
      <w:tr w:rsidR="005961E6">
        <w:tblPrEx>
          <w:tblCellMar>
            <w:top w:w="0" w:type="dxa"/>
            <w:bottom w:w="0" w:type="dxa"/>
          </w:tblCellMar>
        </w:tblPrEx>
        <w:tc>
          <w:tcPr>
            <w:tcW w:w="7588" w:type="dxa"/>
          </w:tcPr>
          <w:p w:rsidR="005961E6" w:rsidRDefault="005961E6">
            <w:pPr>
              <w:keepNext/>
              <w:keepLines/>
              <w:tabs>
                <w:tab w:val="left" w:pos="720"/>
              </w:tabs>
              <w:ind w:left="1440" w:right="331" w:hanging="720"/>
              <w:jc w:val="left"/>
              <w:rPr>
                <w:rFonts w:cs="Arial"/>
              </w:rPr>
            </w:pPr>
            <w:r>
              <w:rPr>
                <w:rFonts w:cs="Arial" w:hint="eastAsia"/>
              </w:rPr>
              <w:t>(b)</w:t>
            </w:r>
            <w:r>
              <w:rPr>
                <w:rFonts w:cs="Arial"/>
              </w:rPr>
              <w:tab/>
              <w:t>Enforcement and sanctions</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4</w:t>
            </w:r>
          </w:p>
        </w:tc>
      </w:tr>
      <w:tr w:rsidR="005961E6">
        <w:tblPrEx>
          <w:tblCellMar>
            <w:top w:w="0" w:type="dxa"/>
            <w:bottom w:w="0" w:type="dxa"/>
          </w:tblCellMar>
        </w:tblPrEx>
        <w:tc>
          <w:tcPr>
            <w:tcW w:w="7588" w:type="dxa"/>
          </w:tcPr>
          <w:p w:rsidR="005961E6" w:rsidRDefault="005961E6">
            <w:pPr>
              <w:tabs>
                <w:tab w:val="left" w:pos="720"/>
              </w:tabs>
              <w:ind w:right="332"/>
              <w:rPr>
                <w:rFonts w:cs="Arial" w:hint="eastAsia"/>
                <w:b/>
                <w:i/>
                <w:lang w:val="en-US" w:eastAsia="zh-HK"/>
              </w:rPr>
            </w:pPr>
            <w:r w:rsidRPr="006E02C0">
              <w:rPr>
                <w:rFonts w:cs="Arial" w:hint="eastAsia"/>
              </w:rPr>
              <w:t>Training</w:t>
            </w:r>
          </w:p>
        </w:tc>
        <w:tc>
          <w:tcPr>
            <w:tcW w:w="774" w:type="dxa"/>
          </w:tcPr>
          <w:p w:rsidR="005961E6" w:rsidRDefault="003850FF">
            <w:pPr>
              <w:jc w:val="center"/>
              <w:rPr>
                <w:rFonts w:cs="Arial" w:hint="eastAsia"/>
                <w:lang w:val="en-US" w:eastAsia="zh-HK"/>
              </w:rPr>
            </w:pPr>
            <w:r>
              <w:rPr>
                <w:rFonts w:cs="Arial" w:hint="eastAsia"/>
                <w:lang w:val="en-US" w:eastAsia="zh-HK"/>
              </w:rPr>
              <w:t>3</w:t>
            </w:r>
            <w:r w:rsidR="002535D5">
              <w:rPr>
                <w:rFonts w:cs="Arial"/>
                <w:lang w:val="en-US" w:eastAsia="zh-HK"/>
              </w:rPr>
              <w:t>4</w:t>
            </w:r>
          </w:p>
        </w:tc>
      </w:tr>
      <w:tr w:rsidR="005961E6">
        <w:tblPrEx>
          <w:tblCellMar>
            <w:top w:w="0" w:type="dxa"/>
            <w:bottom w:w="0" w:type="dxa"/>
          </w:tblCellMar>
        </w:tblPrEx>
        <w:tc>
          <w:tcPr>
            <w:tcW w:w="7588" w:type="dxa"/>
          </w:tcPr>
          <w:p w:rsidR="006A5929" w:rsidRDefault="006A5929">
            <w:pPr>
              <w:tabs>
                <w:tab w:val="left" w:pos="720"/>
              </w:tabs>
              <w:ind w:left="960" w:right="332" w:hanging="240"/>
              <w:rPr>
                <w:rFonts w:cs="Arial"/>
                <w:b/>
                <w:i/>
                <w:lang w:val="en-US"/>
              </w:rPr>
            </w:pPr>
          </w:p>
        </w:tc>
        <w:tc>
          <w:tcPr>
            <w:tcW w:w="774" w:type="dxa"/>
          </w:tcPr>
          <w:p w:rsidR="005961E6" w:rsidRDefault="005961E6">
            <w:pPr>
              <w:jc w:val="center"/>
              <w:rPr>
                <w:rFonts w:cs="Arial"/>
                <w:lang w:val="en-US"/>
              </w:rPr>
            </w:pPr>
          </w:p>
        </w:tc>
      </w:tr>
      <w:tr w:rsidR="008E39A6">
        <w:tblPrEx>
          <w:tblCellMar>
            <w:top w:w="0" w:type="dxa"/>
            <w:bottom w:w="0" w:type="dxa"/>
          </w:tblCellMar>
        </w:tblPrEx>
        <w:tc>
          <w:tcPr>
            <w:tcW w:w="7588" w:type="dxa"/>
          </w:tcPr>
          <w:p w:rsidR="008E39A6" w:rsidRDefault="008E39A6">
            <w:pPr>
              <w:tabs>
                <w:tab w:val="left" w:pos="720"/>
              </w:tabs>
              <w:ind w:left="960" w:right="332" w:hanging="240"/>
              <w:rPr>
                <w:rFonts w:cs="Arial"/>
                <w:b/>
                <w:i/>
                <w:lang w:val="en-US"/>
              </w:rPr>
            </w:pPr>
          </w:p>
        </w:tc>
        <w:tc>
          <w:tcPr>
            <w:tcW w:w="774" w:type="dxa"/>
          </w:tcPr>
          <w:p w:rsidR="008E39A6" w:rsidRDefault="008E39A6">
            <w:pPr>
              <w:jc w:val="center"/>
              <w:rPr>
                <w:rFonts w:cs="Arial"/>
                <w:lang w:val="en-US"/>
              </w:rPr>
            </w:pPr>
          </w:p>
        </w:tc>
      </w:tr>
      <w:tr w:rsidR="005961E6">
        <w:tblPrEx>
          <w:tblCellMar>
            <w:top w:w="0" w:type="dxa"/>
            <w:bottom w:w="0" w:type="dxa"/>
          </w:tblCellMar>
        </w:tblPrEx>
        <w:tc>
          <w:tcPr>
            <w:tcW w:w="7588" w:type="dxa"/>
          </w:tcPr>
          <w:p w:rsidR="005961E6" w:rsidRDefault="005961E6">
            <w:pPr>
              <w:tabs>
                <w:tab w:val="left" w:pos="720"/>
              </w:tabs>
              <w:ind w:left="720" w:right="332" w:hanging="720"/>
              <w:jc w:val="left"/>
              <w:rPr>
                <w:rFonts w:cs="Arial"/>
                <w:b/>
                <w:lang w:val="en-US"/>
              </w:rPr>
            </w:pPr>
            <w:r>
              <w:rPr>
                <w:rFonts w:cs="Arial" w:hint="eastAsia"/>
                <w:b/>
                <w:lang w:val="en-US"/>
              </w:rPr>
              <w:t>3.</w:t>
            </w:r>
            <w:r>
              <w:rPr>
                <w:rFonts w:cs="Arial"/>
                <w:b/>
                <w:lang w:val="en-US"/>
              </w:rPr>
              <w:tab/>
            </w:r>
            <w:r>
              <w:rPr>
                <w:rFonts w:cs="Arial"/>
                <w:b/>
              </w:rPr>
              <w:t>Overview of records and archives management legislation in other jurisdictions</w:t>
            </w:r>
          </w:p>
        </w:tc>
        <w:tc>
          <w:tcPr>
            <w:tcW w:w="774" w:type="dxa"/>
          </w:tcPr>
          <w:p w:rsidR="005961E6" w:rsidRDefault="003850FF" w:rsidP="002535D5">
            <w:pPr>
              <w:jc w:val="center"/>
              <w:rPr>
                <w:rFonts w:cs="Arial"/>
                <w:lang w:val="en-US"/>
              </w:rPr>
            </w:pPr>
            <w:r>
              <w:rPr>
                <w:rFonts w:cs="Arial" w:hint="eastAsia"/>
                <w:lang w:val="en-US"/>
              </w:rPr>
              <w:t>3</w:t>
            </w:r>
            <w:r w:rsidR="002535D5">
              <w:rPr>
                <w:rFonts w:cs="Arial"/>
                <w:lang w:val="en-US"/>
              </w:rPr>
              <w:t>5</w:t>
            </w:r>
          </w:p>
        </w:tc>
      </w:tr>
      <w:tr w:rsidR="005961E6">
        <w:tblPrEx>
          <w:tblCellMar>
            <w:top w:w="0" w:type="dxa"/>
            <w:bottom w:w="0" w:type="dxa"/>
          </w:tblCellMar>
        </w:tblPrEx>
        <w:tc>
          <w:tcPr>
            <w:tcW w:w="7588" w:type="dxa"/>
          </w:tcPr>
          <w:p w:rsidR="005961E6" w:rsidRDefault="005961E6">
            <w:pPr>
              <w:tabs>
                <w:tab w:val="left" w:pos="720"/>
              </w:tabs>
              <w:ind w:right="332"/>
              <w:rPr>
                <w:rFonts w:cs="Arial"/>
                <w:b/>
                <w:lang w:val="en-US"/>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tabs>
                <w:tab w:val="left" w:pos="720"/>
              </w:tabs>
              <w:ind w:right="332"/>
              <w:rPr>
                <w:rFonts w:cs="Arial"/>
              </w:rPr>
            </w:pPr>
            <w:r>
              <w:rPr>
                <w:rFonts w:cs="Arial"/>
              </w:rPr>
              <w:t>Introduction</w:t>
            </w:r>
          </w:p>
        </w:tc>
        <w:tc>
          <w:tcPr>
            <w:tcW w:w="774" w:type="dxa"/>
          </w:tcPr>
          <w:p w:rsidR="005961E6" w:rsidRDefault="003850FF" w:rsidP="002535D5">
            <w:pPr>
              <w:jc w:val="center"/>
              <w:rPr>
                <w:rFonts w:cs="Arial"/>
              </w:rPr>
            </w:pPr>
            <w:r>
              <w:rPr>
                <w:rFonts w:cs="Arial" w:hint="eastAsia"/>
              </w:rPr>
              <w:t>3</w:t>
            </w:r>
            <w:r w:rsidR="002535D5">
              <w:rPr>
                <w:rFonts w:cs="Arial"/>
              </w:rPr>
              <w:t>5</w:t>
            </w:r>
          </w:p>
        </w:tc>
      </w:tr>
      <w:tr w:rsidR="005961E6">
        <w:tblPrEx>
          <w:tblCellMar>
            <w:top w:w="0" w:type="dxa"/>
            <w:bottom w:w="0" w:type="dxa"/>
          </w:tblCellMar>
        </w:tblPrEx>
        <w:tc>
          <w:tcPr>
            <w:tcW w:w="7588" w:type="dxa"/>
          </w:tcPr>
          <w:p w:rsidR="005961E6" w:rsidRDefault="005961E6" w:rsidP="00C152D3">
            <w:pPr>
              <w:tabs>
                <w:tab w:val="left" w:pos="720"/>
              </w:tabs>
              <w:ind w:right="332"/>
              <w:rPr>
                <w:rFonts w:cs="Arial"/>
              </w:rPr>
            </w:pPr>
            <w:r>
              <w:rPr>
                <w:rFonts w:cs="Arial"/>
              </w:rPr>
              <w:t>Australia</w:t>
            </w:r>
          </w:p>
        </w:tc>
        <w:tc>
          <w:tcPr>
            <w:tcW w:w="774" w:type="dxa"/>
          </w:tcPr>
          <w:p w:rsidR="005961E6" w:rsidRDefault="003850FF" w:rsidP="002535D5">
            <w:pPr>
              <w:jc w:val="center"/>
              <w:rPr>
                <w:rFonts w:cs="Arial"/>
              </w:rPr>
            </w:pPr>
            <w:r>
              <w:rPr>
                <w:rFonts w:cs="Arial" w:hint="eastAsia"/>
              </w:rPr>
              <w:t>3</w:t>
            </w:r>
            <w:r w:rsidR="002535D5">
              <w:rPr>
                <w:rFonts w:cs="Arial"/>
              </w:rPr>
              <w:t>6</w:t>
            </w:r>
          </w:p>
        </w:tc>
      </w:tr>
      <w:tr w:rsidR="005961E6">
        <w:tblPrEx>
          <w:tblCellMar>
            <w:top w:w="0" w:type="dxa"/>
            <w:bottom w:w="0" w:type="dxa"/>
          </w:tblCellMar>
        </w:tblPrEx>
        <w:tc>
          <w:tcPr>
            <w:tcW w:w="7588" w:type="dxa"/>
          </w:tcPr>
          <w:p w:rsidR="005961E6" w:rsidRDefault="005961E6">
            <w:pPr>
              <w:keepNext/>
              <w:keepLines/>
              <w:tabs>
                <w:tab w:val="left" w:pos="720"/>
              </w:tabs>
              <w:ind w:left="720" w:right="331"/>
              <w:jc w:val="left"/>
              <w:rPr>
                <w:rFonts w:cs="Arial"/>
              </w:rPr>
            </w:pPr>
            <w:r>
              <w:rPr>
                <w:rFonts w:cs="Arial"/>
              </w:rPr>
              <w:t>Background</w:t>
            </w:r>
          </w:p>
        </w:tc>
        <w:tc>
          <w:tcPr>
            <w:tcW w:w="774" w:type="dxa"/>
          </w:tcPr>
          <w:p w:rsidR="005961E6" w:rsidRDefault="003850FF">
            <w:pPr>
              <w:jc w:val="center"/>
              <w:rPr>
                <w:rFonts w:cs="Arial"/>
              </w:rPr>
            </w:pPr>
            <w:r>
              <w:rPr>
                <w:rFonts w:cs="Arial" w:hint="eastAsia"/>
              </w:rPr>
              <w:t>3</w:t>
            </w:r>
            <w:r w:rsidR="002535D5">
              <w:rPr>
                <w:rFonts w:cs="Arial"/>
              </w:rPr>
              <w:t>6</w:t>
            </w:r>
          </w:p>
        </w:tc>
      </w:tr>
      <w:tr w:rsidR="005961E6">
        <w:tblPrEx>
          <w:tblCellMar>
            <w:top w:w="0" w:type="dxa"/>
            <w:bottom w:w="0" w:type="dxa"/>
          </w:tblCellMar>
        </w:tblPrEx>
        <w:tc>
          <w:tcPr>
            <w:tcW w:w="7588" w:type="dxa"/>
          </w:tcPr>
          <w:p w:rsidR="005961E6" w:rsidRDefault="005961E6" w:rsidP="00C152D3">
            <w:pPr>
              <w:widowControl/>
              <w:ind w:left="720" w:right="331"/>
              <w:rPr>
                <w:rFonts w:cs="Arial"/>
              </w:rPr>
            </w:pPr>
            <w:r>
              <w:rPr>
                <w:rFonts w:cs="Arial"/>
              </w:rPr>
              <w:t xml:space="preserve">An </w:t>
            </w:r>
            <w:r>
              <w:rPr>
                <w:rFonts w:cs="Arial" w:hint="eastAsia"/>
              </w:rPr>
              <w:t>o</w:t>
            </w:r>
            <w:r>
              <w:rPr>
                <w:rFonts w:cs="Arial"/>
              </w:rPr>
              <w:t>verview of the Archives Act 1983</w:t>
            </w:r>
          </w:p>
        </w:tc>
        <w:tc>
          <w:tcPr>
            <w:tcW w:w="774" w:type="dxa"/>
          </w:tcPr>
          <w:p w:rsidR="005961E6" w:rsidRDefault="003850FF" w:rsidP="002535D5">
            <w:pPr>
              <w:jc w:val="center"/>
              <w:rPr>
                <w:rFonts w:cs="Arial"/>
              </w:rPr>
            </w:pPr>
            <w:r>
              <w:rPr>
                <w:rFonts w:cs="Arial" w:hint="eastAsia"/>
              </w:rPr>
              <w:t>3</w:t>
            </w:r>
            <w:r w:rsidR="002535D5">
              <w:rPr>
                <w:rFonts w:cs="Arial"/>
              </w:rPr>
              <w:t>7</w:t>
            </w:r>
          </w:p>
        </w:tc>
      </w:tr>
      <w:tr w:rsidR="005961E6">
        <w:tblPrEx>
          <w:tblCellMar>
            <w:top w:w="0" w:type="dxa"/>
            <w:bottom w:w="0" w:type="dxa"/>
          </w:tblCellMar>
        </w:tblPrEx>
        <w:tc>
          <w:tcPr>
            <w:tcW w:w="7588" w:type="dxa"/>
          </w:tcPr>
          <w:p w:rsidR="005961E6" w:rsidRDefault="005961E6">
            <w:pPr>
              <w:tabs>
                <w:tab w:val="left" w:pos="720"/>
              </w:tabs>
              <w:ind w:right="332"/>
              <w:rPr>
                <w:rFonts w:cs="Arial"/>
                <w:b/>
              </w:rPr>
            </w:pPr>
            <w:r>
              <w:rPr>
                <w:rFonts w:cs="Arial"/>
              </w:rPr>
              <w:t>England</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8</w:t>
            </w:r>
          </w:p>
        </w:tc>
      </w:tr>
      <w:tr w:rsidR="005961E6">
        <w:tblPrEx>
          <w:tblCellMar>
            <w:top w:w="0" w:type="dxa"/>
            <w:bottom w:w="0" w:type="dxa"/>
          </w:tblCellMar>
        </w:tblPrEx>
        <w:tc>
          <w:tcPr>
            <w:tcW w:w="7588" w:type="dxa"/>
          </w:tcPr>
          <w:p w:rsidR="005961E6" w:rsidRDefault="005961E6">
            <w:pPr>
              <w:widowControl/>
              <w:ind w:left="720" w:right="331"/>
              <w:rPr>
                <w:rFonts w:cs="Arial"/>
              </w:rPr>
            </w:pPr>
            <w:r>
              <w:rPr>
                <w:rFonts w:cs="Arial"/>
              </w:rPr>
              <w:t>Background</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8</w:t>
            </w:r>
          </w:p>
        </w:tc>
      </w:tr>
      <w:tr w:rsidR="005961E6">
        <w:tblPrEx>
          <w:tblCellMar>
            <w:top w:w="0" w:type="dxa"/>
            <w:bottom w:w="0" w:type="dxa"/>
          </w:tblCellMar>
        </w:tblPrEx>
        <w:tc>
          <w:tcPr>
            <w:tcW w:w="7588" w:type="dxa"/>
          </w:tcPr>
          <w:p w:rsidR="005961E6" w:rsidRDefault="005961E6" w:rsidP="00C152D3">
            <w:pPr>
              <w:widowControl/>
              <w:ind w:left="720" w:right="331"/>
              <w:rPr>
                <w:rFonts w:cs="Arial"/>
              </w:rPr>
            </w:pPr>
            <w:r>
              <w:rPr>
                <w:rFonts w:cs="Arial"/>
              </w:rPr>
              <w:t>An overview of the 1958 Act</w:t>
            </w:r>
          </w:p>
        </w:tc>
        <w:tc>
          <w:tcPr>
            <w:tcW w:w="774" w:type="dxa"/>
          </w:tcPr>
          <w:p w:rsidR="005961E6" w:rsidRDefault="003850FF">
            <w:pPr>
              <w:jc w:val="center"/>
              <w:rPr>
                <w:rFonts w:cs="Arial"/>
                <w:lang w:val="en-US"/>
              </w:rPr>
            </w:pPr>
            <w:r>
              <w:rPr>
                <w:rFonts w:cs="Arial" w:hint="eastAsia"/>
                <w:lang w:val="en-US"/>
              </w:rPr>
              <w:t>3</w:t>
            </w:r>
            <w:r w:rsidR="002535D5">
              <w:rPr>
                <w:rFonts w:cs="Arial"/>
                <w:lang w:val="en-US"/>
              </w:rPr>
              <w:t>9</w:t>
            </w:r>
          </w:p>
        </w:tc>
      </w:tr>
      <w:tr w:rsidR="005961E6">
        <w:tblPrEx>
          <w:tblCellMar>
            <w:top w:w="0" w:type="dxa"/>
            <w:bottom w:w="0" w:type="dxa"/>
          </w:tblCellMar>
        </w:tblPrEx>
        <w:tc>
          <w:tcPr>
            <w:tcW w:w="7588" w:type="dxa"/>
          </w:tcPr>
          <w:p w:rsidR="005961E6" w:rsidRDefault="005961E6">
            <w:pPr>
              <w:tabs>
                <w:tab w:val="left" w:pos="720"/>
              </w:tabs>
              <w:ind w:right="332"/>
              <w:rPr>
                <w:rFonts w:cs="Arial"/>
                <w:b/>
              </w:rPr>
            </w:pPr>
            <w:r>
              <w:rPr>
                <w:rFonts w:cs="Arial"/>
              </w:rPr>
              <w:lastRenderedPageBreak/>
              <w:t>Ireland</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1</w:t>
            </w:r>
          </w:p>
        </w:tc>
      </w:tr>
      <w:tr w:rsidR="005961E6">
        <w:tblPrEx>
          <w:tblCellMar>
            <w:top w:w="0" w:type="dxa"/>
            <w:bottom w:w="0" w:type="dxa"/>
          </w:tblCellMar>
        </w:tblPrEx>
        <w:tc>
          <w:tcPr>
            <w:tcW w:w="7588" w:type="dxa"/>
          </w:tcPr>
          <w:p w:rsidR="005961E6" w:rsidRDefault="005961E6">
            <w:pPr>
              <w:tabs>
                <w:tab w:val="clear" w:pos="1418"/>
                <w:tab w:val="left" w:pos="1820"/>
              </w:tabs>
              <w:ind w:left="720" w:right="331"/>
              <w:rPr>
                <w:rFonts w:cs="Arial"/>
              </w:rPr>
            </w:pPr>
            <w:r>
              <w:rPr>
                <w:rFonts w:cs="Arial"/>
              </w:rPr>
              <w:t>Background</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1</w:t>
            </w:r>
          </w:p>
        </w:tc>
      </w:tr>
      <w:tr w:rsidR="005961E6">
        <w:tblPrEx>
          <w:tblCellMar>
            <w:top w:w="0" w:type="dxa"/>
            <w:bottom w:w="0" w:type="dxa"/>
          </w:tblCellMar>
        </w:tblPrEx>
        <w:tc>
          <w:tcPr>
            <w:tcW w:w="7588" w:type="dxa"/>
          </w:tcPr>
          <w:p w:rsidR="005961E6" w:rsidRDefault="005961E6">
            <w:pPr>
              <w:widowControl/>
              <w:ind w:left="720" w:right="331"/>
              <w:rPr>
                <w:rFonts w:cs="Arial"/>
              </w:rPr>
            </w:pPr>
            <w:r>
              <w:rPr>
                <w:rFonts w:cs="Arial"/>
              </w:rPr>
              <w:t xml:space="preserve">An </w:t>
            </w:r>
            <w:r>
              <w:rPr>
                <w:rFonts w:cs="Arial" w:hint="eastAsia"/>
              </w:rPr>
              <w:t>o</w:t>
            </w:r>
            <w:r>
              <w:rPr>
                <w:rFonts w:cs="Arial"/>
              </w:rPr>
              <w:t>verview of the 1986</w:t>
            </w:r>
            <w:r>
              <w:rPr>
                <w:rFonts w:cs="Arial" w:hint="eastAsia"/>
              </w:rPr>
              <w:t xml:space="preserve"> </w:t>
            </w:r>
            <w:r>
              <w:rPr>
                <w:rFonts w:cs="Arial"/>
              </w:rPr>
              <w:t xml:space="preserve">Act </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1</w:t>
            </w:r>
          </w:p>
        </w:tc>
      </w:tr>
      <w:tr w:rsidR="005961E6">
        <w:tblPrEx>
          <w:tblCellMar>
            <w:top w:w="0" w:type="dxa"/>
            <w:bottom w:w="0" w:type="dxa"/>
          </w:tblCellMar>
        </w:tblPrEx>
        <w:tc>
          <w:tcPr>
            <w:tcW w:w="7588" w:type="dxa"/>
          </w:tcPr>
          <w:p w:rsidR="005961E6" w:rsidRDefault="005961E6">
            <w:pPr>
              <w:tabs>
                <w:tab w:val="left" w:pos="720"/>
              </w:tabs>
              <w:ind w:right="332"/>
              <w:rPr>
                <w:rFonts w:cs="Arial"/>
                <w:b/>
              </w:rPr>
            </w:pPr>
            <w:r>
              <w:rPr>
                <w:rFonts w:cs="Arial"/>
              </w:rPr>
              <w:t>New Zealand</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3</w:t>
            </w:r>
          </w:p>
        </w:tc>
      </w:tr>
      <w:tr w:rsidR="005961E6">
        <w:tblPrEx>
          <w:tblCellMar>
            <w:top w:w="0" w:type="dxa"/>
            <w:bottom w:w="0" w:type="dxa"/>
          </w:tblCellMar>
        </w:tblPrEx>
        <w:tc>
          <w:tcPr>
            <w:tcW w:w="7588" w:type="dxa"/>
          </w:tcPr>
          <w:p w:rsidR="005961E6" w:rsidRDefault="005961E6">
            <w:pPr>
              <w:widowControl/>
              <w:ind w:left="720" w:right="331"/>
              <w:rPr>
                <w:rFonts w:cs="Arial"/>
              </w:rPr>
            </w:pPr>
            <w:r>
              <w:rPr>
                <w:rFonts w:cs="Arial"/>
              </w:rPr>
              <w:t>Background</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3</w:t>
            </w:r>
          </w:p>
        </w:tc>
      </w:tr>
      <w:tr w:rsidR="005961E6">
        <w:tblPrEx>
          <w:tblCellMar>
            <w:top w:w="0" w:type="dxa"/>
            <w:bottom w:w="0" w:type="dxa"/>
          </w:tblCellMar>
        </w:tblPrEx>
        <w:tc>
          <w:tcPr>
            <w:tcW w:w="7588" w:type="dxa"/>
          </w:tcPr>
          <w:p w:rsidR="005961E6" w:rsidRDefault="005961E6">
            <w:pPr>
              <w:widowControl/>
              <w:ind w:left="720" w:right="331"/>
              <w:rPr>
                <w:rFonts w:cs="Arial"/>
              </w:rPr>
            </w:pPr>
            <w:r>
              <w:rPr>
                <w:rFonts w:cs="Arial"/>
              </w:rPr>
              <w:t xml:space="preserve">An </w:t>
            </w:r>
            <w:r>
              <w:rPr>
                <w:rFonts w:cs="Arial" w:hint="eastAsia"/>
              </w:rPr>
              <w:t>o</w:t>
            </w:r>
            <w:r>
              <w:rPr>
                <w:rFonts w:cs="Arial"/>
              </w:rPr>
              <w:t>verview of the Public Records Act 2005</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4</w:t>
            </w:r>
          </w:p>
        </w:tc>
      </w:tr>
      <w:tr w:rsidR="005961E6">
        <w:tblPrEx>
          <w:tblCellMar>
            <w:top w:w="0" w:type="dxa"/>
            <w:bottom w:w="0" w:type="dxa"/>
          </w:tblCellMar>
        </w:tblPrEx>
        <w:tc>
          <w:tcPr>
            <w:tcW w:w="7588" w:type="dxa"/>
          </w:tcPr>
          <w:p w:rsidR="005961E6" w:rsidRDefault="005961E6">
            <w:pPr>
              <w:keepNext/>
              <w:tabs>
                <w:tab w:val="left" w:pos="720"/>
              </w:tabs>
              <w:ind w:right="332"/>
              <w:rPr>
                <w:rFonts w:cs="Arial"/>
                <w:b/>
              </w:rPr>
            </w:pPr>
            <w:r>
              <w:rPr>
                <w:rFonts w:cs="Arial"/>
              </w:rPr>
              <w:t>Singapore</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6</w:t>
            </w:r>
          </w:p>
        </w:tc>
      </w:tr>
      <w:tr w:rsidR="005961E6">
        <w:tblPrEx>
          <w:tblCellMar>
            <w:top w:w="0" w:type="dxa"/>
            <w:bottom w:w="0" w:type="dxa"/>
          </w:tblCellMar>
        </w:tblPrEx>
        <w:tc>
          <w:tcPr>
            <w:tcW w:w="7588" w:type="dxa"/>
          </w:tcPr>
          <w:p w:rsidR="005961E6" w:rsidRDefault="005961E6">
            <w:pPr>
              <w:widowControl/>
              <w:ind w:left="720" w:right="331"/>
              <w:rPr>
                <w:rFonts w:cs="Arial"/>
              </w:rPr>
            </w:pPr>
            <w:r>
              <w:rPr>
                <w:rFonts w:cs="Arial"/>
              </w:rPr>
              <w:t xml:space="preserve">Background </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6</w:t>
            </w:r>
          </w:p>
        </w:tc>
      </w:tr>
      <w:tr w:rsidR="005961E6">
        <w:tblPrEx>
          <w:tblCellMar>
            <w:top w:w="0" w:type="dxa"/>
            <w:bottom w:w="0" w:type="dxa"/>
          </w:tblCellMar>
        </w:tblPrEx>
        <w:tc>
          <w:tcPr>
            <w:tcW w:w="7588" w:type="dxa"/>
          </w:tcPr>
          <w:p w:rsidR="005961E6" w:rsidRDefault="005961E6">
            <w:pPr>
              <w:widowControl/>
              <w:ind w:left="720" w:right="331"/>
              <w:rPr>
                <w:rFonts w:cs="Arial"/>
              </w:rPr>
            </w:pPr>
            <w:r>
              <w:rPr>
                <w:rFonts w:cs="Arial"/>
              </w:rPr>
              <w:t xml:space="preserve">An </w:t>
            </w:r>
            <w:r>
              <w:rPr>
                <w:rFonts w:cs="Arial" w:hint="eastAsia"/>
              </w:rPr>
              <w:t>o</w:t>
            </w:r>
            <w:r>
              <w:rPr>
                <w:rFonts w:cs="Arial"/>
              </w:rPr>
              <w:t>verview of the NLBA</w:t>
            </w:r>
          </w:p>
        </w:tc>
        <w:tc>
          <w:tcPr>
            <w:tcW w:w="774" w:type="dxa"/>
          </w:tcPr>
          <w:p w:rsidR="005961E6" w:rsidRDefault="003850FF">
            <w:pPr>
              <w:jc w:val="center"/>
              <w:rPr>
                <w:rFonts w:cs="Arial"/>
                <w:lang w:val="en-US"/>
              </w:rPr>
            </w:pPr>
            <w:r>
              <w:rPr>
                <w:rFonts w:cs="Arial" w:hint="eastAsia"/>
                <w:lang w:val="en-US"/>
              </w:rPr>
              <w:t>4</w:t>
            </w:r>
            <w:r w:rsidR="002535D5">
              <w:rPr>
                <w:rFonts w:cs="Arial"/>
                <w:lang w:val="en-US"/>
              </w:rPr>
              <w:t>7</w:t>
            </w:r>
          </w:p>
        </w:tc>
      </w:tr>
      <w:tr w:rsidR="005961E6">
        <w:tblPrEx>
          <w:tblCellMar>
            <w:top w:w="0" w:type="dxa"/>
            <w:bottom w:w="0" w:type="dxa"/>
          </w:tblCellMar>
        </w:tblPrEx>
        <w:tc>
          <w:tcPr>
            <w:tcW w:w="7588" w:type="dxa"/>
          </w:tcPr>
          <w:p w:rsidR="006A5929" w:rsidRPr="006A5929" w:rsidRDefault="006A5929">
            <w:pPr>
              <w:tabs>
                <w:tab w:val="left" w:pos="720"/>
              </w:tabs>
              <w:ind w:left="960" w:right="332" w:hanging="240"/>
              <w:rPr>
                <w:rFonts w:cs="Arial"/>
                <w:i/>
                <w:lang w:val="en-US"/>
              </w:rPr>
            </w:pPr>
          </w:p>
        </w:tc>
        <w:tc>
          <w:tcPr>
            <w:tcW w:w="774" w:type="dxa"/>
          </w:tcPr>
          <w:p w:rsidR="005961E6" w:rsidRDefault="005961E6">
            <w:pPr>
              <w:jc w:val="center"/>
              <w:rPr>
                <w:rFonts w:cs="Arial"/>
                <w:lang w:val="en-US"/>
              </w:rPr>
            </w:pPr>
          </w:p>
        </w:tc>
      </w:tr>
      <w:tr w:rsidR="008E39A6">
        <w:tblPrEx>
          <w:tblCellMar>
            <w:top w:w="0" w:type="dxa"/>
            <w:bottom w:w="0" w:type="dxa"/>
          </w:tblCellMar>
        </w:tblPrEx>
        <w:tc>
          <w:tcPr>
            <w:tcW w:w="7588" w:type="dxa"/>
          </w:tcPr>
          <w:p w:rsidR="008E39A6" w:rsidRPr="006A5929" w:rsidRDefault="008E39A6">
            <w:pPr>
              <w:tabs>
                <w:tab w:val="left" w:pos="720"/>
              </w:tabs>
              <w:ind w:left="960" w:right="332" w:hanging="240"/>
              <w:rPr>
                <w:rFonts w:cs="Arial"/>
                <w:i/>
                <w:lang w:val="en-US"/>
              </w:rPr>
            </w:pPr>
          </w:p>
        </w:tc>
        <w:tc>
          <w:tcPr>
            <w:tcW w:w="774" w:type="dxa"/>
          </w:tcPr>
          <w:p w:rsidR="008E39A6" w:rsidRDefault="008E39A6">
            <w:pPr>
              <w:jc w:val="center"/>
              <w:rPr>
                <w:rFonts w:cs="Arial"/>
                <w:lang w:val="en-US"/>
              </w:rPr>
            </w:pPr>
          </w:p>
        </w:tc>
      </w:tr>
      <w:tr w:rsidR="006A5929" w:rsidTr="002C2972">
        <w:tblPrEx>
          <w:tblCellMar>
            <w:top w:w="0" w:type="dxa"/>
            <w:bottom w:w="0" w:type="dxa"/>
          </w:tblCellMar>
        </w:tblPrEx>
        <w:tc>
          <w:tcPr>
            <w:tcW w:w="7588" w:type="dxa"/>
          </w:tcPr>
          <w:p w:rsidR="006A5929" w:rsidRDefault="006A5929" w:rsidP="002C2972">
            <w:pPr>
              <w:widowControl/>
              <w:tabs>
                <w:tab w:val="clear" w:pos="1418"/>
              </w:tabs>
              <w:rPr>
                <w:rFonts w:cs="Arial"/>
                <w:b/>
                <w:szCs w:val="28"/>
              </w:rPr>
            </w:pPr>
            <w:r>
              <w:rPr>
                <w:rFonts w:cs="Arial"/>
                <w:b/>
                <w:szCs w:val="28"/>
              </w:rPr>
              <w:t>4</w:t>
            </w:r>
            <w:r>
              <w:rPr>
                <w:rFonts w:cs="Arial" w:hint="eastAsia"/>
                <w:b/>
                <w:szCs w:val="28"/>
              </w:rPr>
              <w:t>.</w:t>
            </w:r>
            <w:r>
              <w:rPr>
                <w:rFonts w:cs="Arial"/>
                <w:b/>
                <w:szCs w:val="28"/>
              </w:rPr>
              <w:tab/>
            </w:r>
            <w:r>
              <w:rPr>
                <w:rFonts w:cs="Arial"/>
                <w:b/>
                <w:shd w:val="clear" w:color="auto" w:fill="FFFFFF"/>
              </w:rPr>
              <w:t>Governance of GRS</w:t>
            </w:r>
          </w:p>
        </w:tc>
        <w:tc>
          <w:tcPr>
            <w:tcW w:w="774" w:type="dxa"/>
          </w:tcPr>
          <w:p w:rsidR="006A5929" w:rsidRDefault="003850FF" w:rsidP="002C2972">
            <w:pPr>
              <w:jc w:val="center"/>
              <w:rPr>
                <w:rFonts w:cs="Arial"/>
                <w:lang w:val="en-US"/>
              </w:rPr>
            </w:pPr>
            <w:r>
              <w:rPr>
                <w:rFonts w:cs="Arial" w:hint="eastAsia"/>
                <w:lang w:val="en-US"/>
              </w:rPr>
              <w:t>4</w:t>
            </w:r>
            <w:r w:rsidR="00CC2688">
              <w:rPr>
                <w:rFonts w:cs="Arial"/>
                <w:lang w:val="en-US"/>
              </w:rPr>
              <w:t>9</w:t>
            </w:r>
          </w:p>
        </w:tc>
      </w:tr>
      <w:tr w:rsidR="006A5929" w:rsidTr="002C2972">
        <w:tblPrEx>
          <w:tblCellMar>
            <w:top w:w="0" w:type="dxa"/>
            <w:bottom w:w="0" w:type="dxa"/>
          </w:tblCellMar>
        </w:tblPrEx>
        <w:tc>
          <w:tcPr>
            <w:tcW w:w="7588" w:type="dxa"/>
          </w:tcPr>
          <w:p w:rsidR="006A5929" w:rsidRDefault="006A5929" w:rsidP="002C2972">
            <w:pPr>
              <w:rPr>
                <w:rFonts w:cs="Arial"/>
                <w:b/>
                <w:i/>
                <w:szCs w:val="28"/>
              </w:rPr>
            </w:pPr>
          </w:p>
        </w:tc>
        <w:tc>
          <w:tcPr>
            <w:tcW w:w="774" w:type="dxa"/>
          </w:tcPr>
          <w:p w:rsidR="006A5929" w:rsidRDefault="006A5929" w:rsidP="002C2972">
            <w:pPr>
              <w:jc w:val="center"/>
              <w:rPr>
                <w:rFonts w:cs="Arial"/>
                <w:lang w:val="en-US"/>
              </w:rPr>
            </w:pPr>
          </w:p>
        </w:tc>
      </w:tr>
      <w:tr w:rsidR="006A5929" w:rsidTr="002C2972">
        <w:tblPrEx>
          <w:tblCellMar>
            <w:top w:w="0" w:type="dxa"/>
            <w:bottom w:w="0" w:type="dxa"/>
          </w:tblCellMar>
        </w:tblPrEx>
        <w:tc>
          <w:tcPr>
            <w:tcW w:w="7588" w:type="dxa"/>
          </w:tcPr>
          <w:p w:rsidR="006A5929" w:rsidRDefault="006A5929" w:rsidP="002C2972">
            <w:pPr>
              <w:rPr>
                <w:rFonts w:cs="Arial"/>
                <w:i/>
              </w:rPr>
            </w:pPr>
            <w:r>
              <w:rPr>
                <w:rFonts w:cs="Arial"/>
              </w:rPr>
              <w:t>Introduction</w:t>
            </w:r>
          </w:p>
        </w:tc>
        <w:tc>
          <w:tcPr>
            <w:tcW w:w="774" w:type="dxa"/>
          </w:tcPr>
          <w:p w:rsidR="006A5929" w:rsidRDefault="003850FF" w:rsidP="002535D5">
            <w:pPr>
              <w:jc w:val="center"/>
              <w:rPr>
                <w:rFonts w:cs="Arial"/>
                <w:lang w:val="en-US"/>
              </w:rPr>
            </w:pPr>
            <w:r>
              <w:rPr>
                <w:rFonts w:cs="Arial" w:hint="eastAsia"/>
                <w:lang w:val="en-US"/>
              </w:rPr>
              <w:t>4</w:t>
            </w:r>
            <w:r w:rsidR="002535D5">
              <w:rPr>
                <w:rFonts w:cs="Arial"/>
                <w:lang w:val="en-US"/>
              </w:rPr>
              <w:t>9</w:t>
            </w:r>
          </w:p>
        </w:tc>
      </w:tr>
      <w:tr w:rsidR="006A5929" w:rsidTr="002C2972">
        <w:tblPrEx>
          <w:tblCellMar>
            <w:top w:w="0" w:type="dxa"/>
            <w:bottom w:w="0" w:type="dxa"/>
          </w:tblCellMar>
        </w:tblPrEx>
        <w:tc>
          <w:tcPr>
            <w:tcW w:w="7588" w:type="dxa"/>
          </w:tcPr>
          <w:p w:rsidR="006A5929" w:rsidRDefault="008E39A6" w:rsidP="002C2972">
            <w:pPr>
              <w:tabs>
                <w:tab w:val="left" w:pos="720"/>
              </w:tabs>
              <w:ind w:right="332"/>
              <w:rPr>
                <w:rFonts w:cs="Arial"/>
              </w:rPr>
            </w:pPr>
            <w:r>
              <w:rPr>
                <w:rFonts w:cs="Arial" w:hint="eastAsia"/>
              </w:rPr>
              <w:t xml:space="preserve">Comments on </w:t>
            </w:r>
            <w:r w:rsidR="006A5929">
              <w:rPr>
                <w:rFonts w:cs="Arial" w:hint="eastAsia"/>
              </w:rPr>
              <w:t>the governance of the GRS</w:t>
            </w:r>
          </w:p>
        </w:tc>
        <w:tc>
          <w:tcPr>
            <w:tcW w:w="774" w:type="dxa"/>
          </w:tcPr>
          <w:p w:rsidR="006A5929" w:rsidRDefault="003850FF" w:rsidP="002C2972">
            <w:pPr>
              <w:jc w:val="center"/>
              <w:rPr>
                <w:rFonts w:cs="Arial"/>
                <w:lang w:val="en-US"/>
              </w:rPr>
            </w:pPr>
            <w:r>
              <w:rPr>
                <w:rFonts w:cs="Arial" w:hint="eastAsia"/>
                <w:lang w:val="en-US"/>
              </w:rPr>
              <w:t>4</w:t>
            </w:r>
            <w:r w:rsidR="002535D5">
              <w:rPr>
                <w:rFonts w:cs="Arial"/>
                <w:lang w:val="en-US"/>
              </w:rPr>
              <w:t>9</w:t>
            </w:r>
          </w:p>
        </w:tc>
      </w:tr>
      <w:tr w:rsidR="006A5929" w:rsidTr="002C2972">
        <w:tblPrEx>
          <w:tblCellMar>
            <w:top w:w="0" w:type="dxa"/>
            <w:bottom w:w="0" w:type="dxa"/>
          </w:tblCellMar>
        </w:tblPrEx>
        <w:tc>
          <w:tcPr>
            <w:tcW w:w="7588" w:type="dxa"/>
          </w:tcPr>
          <w:p w:rsidR="006A5929" w:rsidRDefault="006A5929" w:rsidP="002C2972">
            <w:pPr>
              <w:tabs>
                <w:tab w:val="left" w:pos="720"/>
              </w:tabs>
              <w:ind w:right="332"/>
              <w:rPr>
                <w:rFonts w:cs="Arial"/>
                <w:i/>
              </w:rPr>
            </w:pPr>
            <w:r>
              <w:rPr>
                <w:rFonts w:cs="Arial"/>
              </w:rPr>
              <w:t xml:space="preserve">Other </w:t>
            </w:r>
            <w:r>
              <w:rPr>
                <w:rFonts w:cs="Arial" w:hint="eastAsia"/>
              </w:rPr>
              <w:t>j</w:t>
            </w:r>
            <w:r>
              <w:rPr>
                <w:rFonts w:cs="Arial"/>
              </w:rPr>
              <w:t>urisdictions</w:t>
            </w:r>
          </w:p>
        </w:tc>
        <w:tc>
          <w:tcPr>
            <w:tcW w:w="774" w:type="dxa"/>
          </w:tcPr>
          <w:p w:rsidR="006A5929" w:rsidRDefault="002535D5" w:rsidP="002C2972">
            <w:pPr>
              <w:jc w:val="center"/>
              <w:rPr>
                <w:rFonts w:cs="Arial"/>
                <w:lang w:val="en-US"/>
              </w:rPr>
            </w:pPr>
            <w:r>
              <w:rPr>
                <w:rFonts w:cs="Arial"/>
                <w:lang w:val="en-US"/>
              </w:rPr>
              <w:t>50</w:t>
            </w:r>
          </w:p>
        </w:tc>
      </w:tr>
      <w:tr w:rsidR="006A5929" w:rsidTr="002C2972">
        <w:tblPrEx>
          <w:tblCellMar>
            <w:top w:w="0" w:type="dxa"/>
            <w:bottom w:w="0" w:type="dxa"/>
          </w:tblCellMar>
        </w:tblPrEx>
        <w:tc>
          <w:tcPr>
            <w:tcW w:w="7588" w:type="dxa"/>
          </w:tcPr>
          <w:p w:rsidR="006A5929" w:rsidRDefault="006A5929" w:rsidP="00C152D3">
            <w:pPr>
              <w:ind w:left="720"/>
              <w:rPr>
                <w:rFonts w:cs="Arial"/>
                <w:szCs w:val="28"/>
              </w:rPr>
            </w:pPr>
            <w:r>
              <w:rPr>
                <w:rFonts w:cs="Arial" w:hint="eastAsia"/>
              </w:rPr>
              <w:t>Australia</w:t>
            </w:r>
          </w:p>
        </w:tc>
        <w:tc>
          <w:tcPr>
            <w:tcW w:w="774" w:type="dxa"/>
          </w:tcPr>
          <w:p w:rsidR="006A5929" w:rsidRDefault="002535D5" w:rsidP="002C2972">
            <w:pPr>
              <w:jc w:val="center"/>
              <w:rPr>
                <w:rFonts w:cs="Arial"/>
                <w:lang w:val="en-US"/>
              </w:rPr>
            </w:pPr>
            <w:r>
              <w:rPr>
                <w:rFonts w:cs="Arial"/>
                <w:lang w:val="en-US"/>
              </w:rPr>
              <w:t>50</w:t>
            </w:r>
          </w:p>
        </w:tc>
      </w:tr>
      <w:tr w:rsidR="006A5929" w:rsidTr="002C2972">
        <w:tblPrEx>
          <w:tblCellMar>
            <w:top w:w="0" w:type="dxa"/>
            <w:bottom w:w="0" w:type="dxa"/>
          </w:tblCellMar>
        </w:tblPrEx>
        <w:tc>
          <w:tcPr>
            <w:tcW w:w="7588" w:type="dxa"/>
          </w:tcPr>
          <w:p w:rsidR="006A5929" w:rsidRDefault="006A5929" w:rsidP="002C2972">
            <w:pPr>
              <w:ind w:left="720"/>
              <w:rPr>
                <w:rFonts w:cs="Arial"/>
                <w:szCs w:val="28"/>
              </w:rPr>
            </w:pPr>
            <w:r>
              <w:rPr>
                <w:rFonts w:cs="Arial" w:hint="eastAsia"/>
              </w:rPr>
              <w:t>England</w:t>
            </w:r>
          </w:p>
        </w:tc>
        <w:tc>
          <w:tcPr>
            <w:tcW w:w="774" w:type="dxa"/>
          </w:tcPr>
          <w:p w:rsidR="006A5929" w:rsidRDefault="002535D5" w:rsidP="002C2972">
            <w:pPr>
              <w:jc w:val="center"/>
              <w:rPr>
                <w:rFonts w:cs="Arial"/>
                <w:lang w:val="en-US"/>
              </w:rPr>
            </w:pPr>
            <w:r>
              <w:rPr>
                <w:rFonts w:cs="Arial"/>
                <w:lang w:val="en-US"/>
              </w:rPr>
              <w:t>50</w:t>
            </w:r>
          </w:p>
        </w:tc>
      </w:tr>
      <w:tr w:rsidR="006A5929" w:rsidTr="002C2972">
        <w:tblPrEx>
          <w:tblCellMar>
            <w:top w:w="0" w:type="dxa"/>
            <w:bottom w:w="0" w:type="dxa"/>
          </w:tblCellMar>
        </w:tblPrEx>
        <w:tc>
          <w:tcPr>
            <w:tcW w:w="7588" w:type="dxa"/>
          </w:tcPr>
          <w:p w:rsidR="006A5929" w:rsidRDefault="006A5929" w:rsidP="002C2972">
            <w:pPr>
              <w:ind w:left="720"/>
              <w:rPr>
                <w:rFonts w:cs="Arial" w:hint="eastAsia"/>
              </w:rPr>
            </w:pPr>
            <w:r>
              <w:rPr>
                <w:rFonts w:cs="Arial" w:hint="eastAsia"/>
              </w:rPr>
              <w:t>Ireland</w:t>
            </w:r>
          </w:p>
        </w:tc>
        <w:tc>
          <w:tcPr>
            <w:tcW w:w="774" w:type="dxa"/>
          </w:tcPr>
          <w:p w:rsidR="006A5929" w:rsidRDefault="003850FF" w:rsidP="002535D5">
            <w:pPr>
              <w:jc w:val="center"/>
              <w:rPr>
                <w:rFonts w:cs="Arial"/>
                <w:lang w:val="en-US"/>
              </w:rPr>
            </w:pPr>
            <w:r>
              <w:rPr>
                <w:rFonts w:cs="Arial" w:hint="eastAsia"/>
                <w:lang w:val="en-US"/>
              </w:rPr>
              <w:t>5</w:t>
            </w:r>
            <w:r w:rsidR="002535D5">
              <w:rPr>
                <w:rFonts w:cs="Arial"/>
                <w:lang w:val="en-US"/>
              </w:rPr>
              <w:t>2</w:t>
            </w:r>
          </w:p>
        </w:tc>
      </w:tr>
      <w:tr w:rsidR="006A5929" w:rsidTr="002C2972">
        <w:tblPrEx>
          <w:tblCellMar>
            <w:top w:w="0" w:type="dxa"/>
            <w:bottom w:w="0" w:type="dxa"/>
          </w:tblCellMar>
        </w:tblPrEx>
        <w:tc>
          <w:tcPr>
            <w:tcW w:w="7588" w:type="dxa"/>
          </w:tcPr>
          <w:p w:rsidR="006A5929" w:rsidRDefault="006A5929" w:rsidP="002C2972">
            <w:pPr>
              <w:ind w:left="720"/>
              <w:rPr>
                <w:rFonts w:cs="Arial" w:hint="eastAsia"/>
              </w:rPr>
            </w:pPr>
            <w:r>
              <w:rPr>
                <w:rFonts w:cs="Arial" w:hint="eastAsia"/>
              </w:rPr>
              <w:t>New Zealand</w:t>
            </w:r>
          </w:p>
        </w:tc>
        <w:tc>
          <w:tcPr>
            <w:tcW w:w="774" w:type="dxa"/>
          </w:tcPr>
          <w:p w:rsidR="006A5929" w:rsidRDefault="003850FF" w:rsidP="002C2972">
            <w:pPr>
              <w:jc w:val="center"/>
              <w:rPr>
                <w:rFonts w:cs="Arial"/>
                <w:lang w:val="en-US"/>
              </w:rPr>
            </w:pPr>
            <w:r>
              <w:rPr>
                <w:rFonts w:cs="Arial" w:hint="eastAsia"/>
                <w:lang w:val="en-US"/>
              </w:rPr>
              <w:t>5</w:t>
            </w:r>
            <w:r w:rsidR="002535D5">
              <w:rPr>
                <w:rFonts w:cs="Arial"/>
                <w:lang w:val="en-US"/>
              </w:rPr>
              <w:t>2</w:t>
            </w:r>
          </w:p>
        </w:tc>
      </w:tr>
      <w:tr w:rsidR="006A5929" w:rsidTr="002C2972">
        <w:tblPrEx>
          <w:tblCellMar>
            <w:top w:w="0" w:type="dxa"/>
            <w:bottom w:w="0" w:type="dxa"/>
          </w:tblCellMar>
        </w:tblPrEx>
        <w:tc>
          <w:tcPr>
            <w:tcW w:w="7588" w:type="dxa"/>
          </w:tcPr>
          <w:p w:rsidR="006A5929" w:rsidRDefault="006A5929" w:rsidP="002C2972">
            <w:pPr>
              <w:ind w:left="720"/>
              <w:rPr>
                <w:rFonts w:cs="Arial" w:hint="eastAsia"/>
              </w:rPr>
            </w:pPr>
            <w:r>
              <w:rPr>
                <w:rFonts w:cs="Arial" w:hint="eastAsia"/>
              </w:rPr>
              <w:t>Singapore</w:t>
            </w:r>
          </w:p>
        </w:tc>
        <w:tc>
          <w:tcPr>
            <w:tcW w:w="774" w:type="dxa"/>
          </w:tcPr>
          <w:p w:rsidR="006A5929" w:rsidRDefault="003850FF" w:rsidP="002C2972">
            <w:pPr>
              <w:jc w:val="center"/>
              <w:rPr>
                <w:rFonts w:cs="Arial"/>
                <w:lang w:val="en-US"/>
              </w:rPr>
            </w:pPr>
            <w:r>
              <w:rPr>
                <w:rFonts w:cs="Arial" w:hint="eastAsia"/>
                <w:lang w:val="en-US"/>
              </w:rPr>
              <w:t>5</w:t>
            </w:r>
            <w:r w:rsidR="002535D5">
              <w:rPr>
                <w:rFonts w:cs="Arial"/>
                <w:lang w:val="en-US"/>
              </w:rPr>
              <w:t>3</w:t>
            </w:r>
          </w:p>
        </w:tc>
      </w:tr>
      <w:tr w:rsidR="006A5929" w:rsidTr="002C2972">
        <w:tblPrEx>
          <w:tblCellMar>
            <w:top w:w="0" w:type="dxa"/>
            <w:bottom w:w="0" w:type="dxa"/>
          </w:tblCellMar>
        </w:tblPrEx>
        <w:tc>
          <w:tcPr>
            <w:tcW w:w="7588" w:type="dxa"/>
          </w:tcPr>
          <w:p w:rsidR="006A5929" w:rsidRDefault="006A5929" w:rsidP="002C2972">
            <w:pPr>
              <w:rPr>
                <w:rFonts w:cs="Arial"/>
                <w:i/>
              </w:rPr>
            </w:pPr>
            <w:r>
              <w:rPr>
                <w:rFonts w:cs="Arial"/>
              </w:rPr>
              <w:t xml:space="preserve">Summary of approaches in </w:t>
            </w:r>
            <w:r>
              <w:rPr>
                <w:rFonts w:cs="Arial" w:hint="eastAsia"/>
              </w:rPr>
              <w:t>other</w:t>
            </w:r>
            <w:r>
              <w:rPr>
                <w:rFonts w:cs="Arial"/>
              </w:rPr>
              <w:t xml:space="preserve"> jurisdictions</w:t>
            </w:r>
          </w:p>
        </w:tc>
        <w:tc>
          <w:tcPr>
            <w:tcW w:w="774" w:type="dxa"/>
          </w:tcPr>
          <w:p w:rsidR="006A5929" w:rsidRDefault="003850FF" w:rsidP="002C2972">
            <w:pPr>
              <w:jc w:val="center"/>
              <w:rPr>
                <w:rFonts w:cs="Arial"/>
                <w:lang w:val="en-US"/>
              </w:rPr>
            </w:pPr>
            <w:r>
              <w:rPr>
                <w:rFonts w:cs="Arial" w:hint="eastAsia"/>
                <w:lang w:val="en-US"/>
              </w:rPr>
              <w:t>5</w:t>
            </w:r>
            <w:r w:rsidR="002535D5">
              <w:rPr>
                <w:rFonts w:cs="Arial"/>
                <w:lang w:val="en-US"/>
              </w:rPr>
              <w:t>4</w:t>
            </w:r>
          </w:p>
        </w:tc>
      </w:tr>
      <w:tr w:rsidR="006A5929" w:rsidTr="002C2972">
        <w:tblPrEx>
          <w:tblCellMar>
            <w:top w:w="0" w:type="dxa"/>
            <w:bottom w:w="0" w:type="dxa"/>
          </w:tblCellMar>
        </w:tblPrEx>
        <w:tc>
          <w:tcPr>
            <w:tcW w:w="7588" w:type="dxa"/>
          </w:tcPr>
          <w:p w:rsidR="006A5929" w:rsidRDefault="006A5929" w:rsidP="002C2972">
            <w:pPr>
              <w:keepNext/>
              <w:widowControl/>
              <w:rPr>
                <w:rFonts w:cs="Arial"/>
                <w:i/>
              </w:rPr>
            </w:pPr>
            <w:r>
              <w:rPr>
                <w:rFonts w:cs="Arial"/>
              </w:rPr>
              <w:t xml:space="preserve">Issues for </w:t>
            </w:r>
            <w:r>
              <w:rPr>
                <w:rFonts w:cs="Arial" w:hint="eastAsia"/>
              </w:rPr>
              <w:t>p</w:t>
            </w:r>
            <w:r>
              <w:rPr>
                <w:rFonts w:cs="Arial"/>
              </w:rPr>
              <w:t xml:space="preserve">ublic </w:t>
            </w:r>
            <w:r>
              <w:rPr>
                <w:rFonts w:cs="Arial" w:hint="eastAsia"/>
              </w:rPr>
              <w:t>c</w:t>
            </w:r>
            <w:r>
              <w:rPr>
                <w:rFonts w:cs="Arial"/>
              </w:rPr>
              <w:t>onsultation</w:t>
            </w:r>
          </w:p>
        </w:tc>
        <w:tc>
          <w:tcPr>
            <w:tcW w:w="774" w:type="dxa"/>
          </w:tcPr>
          <w:p w:rsidR="006A5929" w:rsidRDefault="003850FF" w:rsidP="002C2972">
            <w:pPr>
              <w:jc w:val="center"/>
              <w:rPr>
                <w:rFonts w:cs="Arial"/>
                <w:lang w:val="en-US"/>
              </w:rPr>
            </w:pPr>
            <w:r>
              <w:rPr>
                <w:rFonts w:cs="Arial" w:hint="eastAsia"/>
                <w:lang w:val="en-US"/>
              </w:rPr>
              <w:t>5</w:t>
            </w:r>
            <w:r w:rsidR="002535D5">
              <w:rPr>
                <w:rFonts w:cs="Arial"/>
                <w:lang w:val="en-US"/>
              </w:rPr>
              <w:t>6</w:t>
            </w:r>
          </w:p>
        </w:tc>
      </w:tr>
      <w:tr w:rsidR="00071C3B" w:rsidTr="002C2972">
        <w:tblPrEx>
          <w:tblCellMar>
            <w:top w:w="0" w:type="dxa"/>
            <w:bottom w:w="0" w:type="dxa"/>
          </w:tblCellMar>
        </w:tblPrEx>
        <w:tc>
          <w:tcPr>
            <w:tcW w:w="7588" w:type="dxa"/>
          </w:tcPr>
          <w:p w:rsidR="00071C3B" w:rsidRDefault="00071C3B" w:rsidP="002C2972">
            <w:pPr>
              <w:keepNext/>
              <w:widowControl/>
              <w:rPr>
                <w:rFonts w:cs="Arial"/>
              </w:rPr>
            </w:pPr>
          </w:p>
        </w:tc>
        <w:tc>
          <w:tcPr>
            <w:tcW w:w="774" w:type="dxa"/>
          </w:tcPr>
          <w:p w:rsidR="00071C3B" w:rsidRDefault="00071C3B" w:rsidP="002C2972">
            <w:pPr>
              <w:jc w:val="center"/>
              <w:rPr>
                <w:rFonts w:cs="Arial"/>
                <w:lang w:val="en-US"/>
              </w:rPr>
            </w:pPr>
          </w:p>
        </w:tc>
      </w:tr>
      <w:tr w:rsidR="00071C3B" w:rsidTr="002C2972">
        <w:tblPrEx>
          <w:tblCellMar>
            <w:top w:w="0" w:type="dxa"/>
            <w:bottom w:w="0" w:type="dxa"/>
          </w:tblCellMar>
        </w:tblPrEx>
        <w:tc>
          <w:tcPr>
            <w:tcW w:w="7588" w:type="dxa"/>
          </w:tcPr>
          <w:p w:rsidR="00071C3B" w:rsidRDefault="00071C3B" w:rsidP="002C2972">
            <w:pPr>
              <w:keepNext/>
              <w:widowControl/>
              <w:rPr>
                <w:rFonts w:cs="Arial"/>
              </w:rPr>
            </w:pPr>
          </w:p>
        </w:tc>
        <w:tc>
          <w:tcPr>
            <w:tcW w:w="774" w:type="dxa"/>
          </w:tcPr>
          <w:p w:rsidR="00071C3B" w:rsidRDefault="00071C3B" w:rsidP="002C2972">
            <w:pPr>
              <w:jc w:val="center"/>
              <w:rPr>
                <w:rFonts w:cs="Arial"/>
                <w:lang w:val="en-US"/>
              </w:rPr>
            </w:pPr>
          </w:p>
        </w:tc>
      </w:tr>
      <w:tr w:rsidR="00D65634" w:rsidTr="002C2972">
        <w:tblPrEx>
          <w:tblCellMar>
            <w:top w:w="0" w:type="dxa"/>
            <w:bottom w:w="0" w:type="dxa"/>
          </w:tblCellMar>
        </w:tblPrEx>
        <w:tc>
          <w:tcPr>
            <w:tcW w:w="7588" w:type="dxa"/>
          </w:tcPr>
          <w:p w:rsidR="00D65634" w:rsidRDefault="00D65634" w:rsidP="002C2972">
            <w:pPr>
              <w:tabs>
                <w:tab w:val="left" w:pos="720"/>
              </w:tabs>
              <w:ind w:left="720" w:right="332" w:hanging="720"/>
              <w:jc w:val="left"/>
              <w:rPr>
                <w:rFonts w:cs="Arial"/>
                <w:b/>
                <w:szCs w:val="28"/>
              </w:rPr>
            </w:pPr>
            <w:r>
              <w:rPr>
                <w:rFonts w:cs="Arial"/>
                <w:b/>
                <w:szCs w:val="28"/>
              </w:rPr>
              <w:t>5</w:t>
            </w:r>
            <w:r>
              <w:rPr>
                <w:rFonts w:cs="Arial" w:hint="eastAsia"/>
                <w:b/>
                <w:szCs w:val="28"/>
              </w:rPr>
              <w:t>.</w:t>
            </w:r>
            <w:r>
              <w:rPr>
                <w:rFonts w:cs="Arial"/>
                <w:b/>
                <w:szCs w:val="28"/>
              </w:rPr>
              <w:tab/>
            </w:r>
            <w:r>
              <w:rPr>
                <w:rFonts w:cs="Arial" w:hint="eastAsia"/>
                <w:b/>
                <w:szCs w:val="28"/>
              </w:rPr>
              <w:t>Administration and operations of the GRS</w:t>
            </w:r>
          </w:p>
        </w:tc>
        <w:tc>
          <w:tcPr>
            <w:tcW w:w="774" w:type="dxa"/>
          </w:tcPr>
          <w:p w:rsidR="00D65634" w:rsidRDefault="003850FF" w:rsidP="002C2972">
            <w:pPr>
              <w:jc w:val="center"/>
              <w:rPr>
                <w:rFonts w:cs="Arial"/>
                <w:lang w:val="en-US"/>
              </w:rPr>
            </w:pPr>
            <w:r>
              <w:rPr>
                <w:rFonts w:cs="Arial" w:hint="eastAsia"/>
                <w:lang w:val="en-US"/>
              </w:rPr>
              <w:t>5</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2C2972">
            <w:pPr>
              <w:rPr>
                <w:rFonts w:cs="Arial"/>
                <w:b/>
                <w:i/>
                <w:szCs w:val="28"/>
              </w:rPr>
            </w:pPr>
          </w:p>
        </w:tc>
        <w:tc>
          <w:tcPr>
            <w:tcW w:w="774" w:type="dxa"/>
          </w:tcPr>
          <w:p w:rsidR="00D65634" w:rsidRDefault="00D65634" w:rsidP="002C2972">
            <w:pPr>
              <w:jc w:val="center"/>
              <w:rPr>
                <w:rFonts w:cs="Arial"/>
                <w:lang w:val="en-US"/>
              </w:rPr>
            </w:pPr>
          </w:p>
        </w:tc>
      </w:tr>
      <w:tr w:rsidR="00D65634" w:rsidTr="002C2972">
        <w:tblPrEx>
          <w:tblCellMar>
            <w:top w:w="0" w:type="dxa"/>
            <w:bottom w:w="0" w:type="dxa"/>
          </w:tblCellMar>
        </w:tblPrEx>
        <w:tc>
          <w:tcPr>
            <w:tcW w:w="7588" w:type="dxa"/>
          </w:tcPr>
          <w:p w:rsidR="00D65634" w:rsidRDefault="00D65634" w:rsidP="002C2972">
            <w:pPr>
              <w:rPr>
                <w:rFonts w:cs="Arial"/>
                <w:szCs w:val="28"/>
              </w:rPr>
            </w:pPr>
            <w:r>
              <w:rPr>
                <w:rFonts w:cs="Arial" w:hint="eastAsia"/>
                <w:szCs w:val="28"/>
              </w:rPr>
              <w:t>Introduction</w:t>
            </w:r>
          </w:p>
        </w:tc>
        <w:tc>
          <w:tcPr>
            <w:tcW w:w="774" w:type="dxa"/>
          </w:tcPr>
          <w:p w:rsidR="00D65634" w:rsidRDefault="003850FF" w:rsidP="002C2972">
            <w:pPr>
              <w:jc w:val="center"/>
              <w:rPr>
                <w:rFonts w:cs="Arial"/>
                <w:lang w:val="en-US"/>
              </w:rPr>
            </w:pPr>
            <w:r>
              <w:rPr>
                <w:rFonts w:cs="Arial" w:hint="eastAsia"/>
                <w:lang w:val="en-US"/>
              </w:rPr>
              <w:t>5</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71117B">
            <w:pPr>
              <w:tabs>
                <w:tab w:val="clear" w:pos="1418"/>
                <w:tab w:val="left" w:pos="720"/>
              </w:tabs>
              <w:ind w:left="720" w:hanging="720"/>
              <w:rPr>
                <w:rFonts w:cs="Arial"/>
                <w:szCs w:val="28"/>
              </w:rPr>
            </w:pPr>
            <w:r>
              <w:rPr>
                <w:rFonts w:cs="Arial" w:hint="eastAsia"/>
                <w:szCs w:val="28"/>
              </w:rPr>
              <w:t>(I)</w:t>
            </w:r>
            <w:r>
              <w:rPr>
                <w:rFonts w:cs="Arial"/>
                <w:szCs w:val="28"/>
              </w:rPr>
              <w:tab/>
            </w:r>
            <w:r>
              <w:rPr>
                <w:rFonts w:cs="Arial" w:hint="eastAsia"/>
                <w:szCs w:val="28"/>
              </w:rPr>
              <w:t>Dissemination of information about GRS' work</w:t>
            </w:r>
          </w:p>
        </w:tc>
        <w:tc>
          <w:tcPr>
            <w:tcW w:w="774" w:type="dxa"/>
          </w:tcPr>
          <w:p w:rsidR="00D65634" w:rsidRDefault="003850FF" w:rsidP="002C2972">
            <w:pPr>
              <w:jc w:val="center"/>
              <w:rPr>
                <w:rFonts w:cs="Arial"/>
                <w:lang w:val="en-US"/>
              </w:rPr>
            </w:pPr>
            <w:r>
              <w:rPr>
                <w:rFonts w:cs="Arial" w:hint="eastAsia"/>
                <w:lang w:val="en-US"/>
              </w:rPr>
              <w:t>5</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C152D3">
            <w:pPr>
              <w:tabs>
                <w:tab w:val="clear" w:pos="1418"/>
                <w:tab w:val="left" w:pos="720"/>
              </w:tabs>
              <w:ind w:left="1440" w:hanging="720"/>
              <w:rPr>
                <w:rFonts w:cs="Arial"/>
                <w:szCs w:val="28"/>
              </w:rPr>
            </w:pPr>
            <w:r>
              <w:rPr>
                <w:rFonts w:cs="Arial" w:hint="eastAsia"/>
                <w:szCs w:val="28"/>
              </w:rPr>
              <w:t>(a)</w:t>
            </w:r>
            <w:r>
              <w:rPr>
                <w:rFonts w:cs="Arial"/>
                <w:szCs w:val="28"/>
              </w:rPr>
              <w:tab/>
            </w:r>
            <w:r w:rsidR="008E39A6">
              <w:rPr>
                <w:rFonts w:cs="Arial" w:hint="eastAsia"/>
                <w:szCs w:val="28"/>
              </w:rPr>
              <w:t>Comments</w:t>
            </w:r>
          </w:p>
        </w:tc>
        <w:tc>
          <w:tcPr>
            <w:tcW w:w="774" w:type="dxa"/>
          </w:tcPr>
          <w:p w:rsidR="00D65634" w:rsidRDefault="003850FF" w:rsidP="002C2972">
            <w:pPr>
              <w:jc w:val="center"/>
              <w:rPr>
                <w:rFonts w:cs="Arial"/>
                <w:lang w:val="en-US"/>
              </w:rPr>
            </w:pPr>
            <w:r>
              <w:rPr>
                <w:rFonts w:cs="Arial" w:hint="eastAsia"/>
                <w:lang w:val="en-US"/>
              </w:rPr>
              <w:t>5</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(b)</w:t>
            </w:r>
            <w:r>
              <w:rPr>
                <w:rFonts w:cs="Arial"/>
                <w:szCs w:val="28"/>
              </w:rPr>
              <w:tab/>
            </w:r>
            <w:r>
              <w:rPr>
                <w:rFonts w:cs="Arial" w:hint="eastAsia"/>
                <w:szCs w:val="28"/>
              </w:rPr>
              <w:t>Government's stance or response</w:t>
            </w:r>
          </w:p>
        </w:tc>
        <w:tc>
          <w:tcPr>
            <w:tcW w:w="774" w:type="dxa"/>
          </w:tcPr>
          <w:p w:rsidR="00D65634" w:rsidRDefault="003850FF" w:rsidP="002C2972">
            <w:pPr>
              <w:jc w:val="center"/>
              <w:rPr>
                <w:rFonts w:cs="Arial"/>
                <w:lang w:val="en-US"/>
              </w:rPr>
            </w:pPr>
            <w:r>
              <w:rPr>
                <w:rFonts w:cs="Arial" w:hint="eastAsia"/>
                <w:lang w:val="en-US"/>
              </w:rPr>
              <w:t>5</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(c)</w:t>
            </w:r>
            <w:r>
              <w:rPr>
                <w:rFonts w:cs="Arial"/>
                <w:szCs w:val="28"/>
              </w:rPr>
              <w:tab/>
            </w:r>
            <w:r>
              <w:rPr>
                <w:rFonts w:cs="Arial" w:hint="eastAsia"/>
                <w:szCs w:val="28"/>
              </w:rPr>
              <w:t>Other jurisdictions</w:t>
            </w:r>
          </w:p>
        </w:tc>
        <w:tc>
          <w:tcPr>
            <w:tcW w:w="774" w:type="dxa"/>
          </w:tcPr>
          <w:p w:rsidR="00D65634" w:rsidRDefault="003850FF" w:rsidP="002C2972">
            <w:pPr>
              <w:jc w:val="center"/>
              <w:rPr>
                <w:rFonts w:cs="Arial"/>
                <w:lang w:val="en-US"/>
              </w:rPr>
            </w:pPr>
            <w:r>
              <w:rPr>
                <w:rFonts w:cs="Arial" w:hint="eastAsia"/>
                <w:lang w:val="en-US"/>
              </w:rPr>
              <w:t>5</w:t>
            </w:r>
            <w:r w:rsidR="002535D5">
              <w:rPr>
                <w:rFonts w:cs="Arial"/>
                <w:lang w:val="en-US"/>
              </w:rPr>
              <w:t>9</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t>Issues for public consultation</w:t>
            </w:r>
          </w:p>
        </w:tc>
        <w:tc>
          <w:tcPr>
            <w:tcW w:w="774" w:type="dxa"/>
          </w:tcPr>
          <w:p w:rsidR="00D65634" w:rsidRDefault="002535D5" w:rsidP="002C2972">
            <w:pPr>
              <w:jc w:val="center"/>
              <w:rPr>
                <w:rFonts w:cs="Arial"/>
                <w:lang w:val="en-US"/>
              </w:rPr>
            </w:pPr>
            <w:r>
              <w:rPr>
                <w:rFonts w:cs="Arial"/>
                <w:lang w:val="en-US"/>
              </w:rPr>
              <w:t>60</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t>(II)</w:t>
            </w:r>
            <w:r>
              <w:rPr>
                <w:rFonts w:cs="Arial"/>
                <w:szCs w:val="28"/>
              </w:rPr>
              <w:tab/>
            </w:r>
            <w:r>
              <w:rPr>
                <w:rFonts w:cs="Arial" w:hint="eastAsia"/>
                <w:szCs w:val="28"/>
              </w:rPr>
              <w:t>Creation of records</w:t>
            </w:r>
          </w:p>
        </w:tc>
        <w:tc>
          <w:tcPr>
            <w:tcW w:w="774" w:type="dxa"/>
          </w:tcPr>
          <w:p w:rsidR="00D65634" w:rsidRDefault="003850FF" w:rsidP="002535D5">
            <w:pPr>
              <w:jc w:val="center"/>
              <w:rPr>
                <w:rFonts w:cs="Arial"/>
                <w:lang w:val="en-US"/>
              </w:rPr>
            </w:pPr>
            <w:r>
              <w:rPr>
                <w:rFonts w:cs="Arial" w:hint="eastAsia"/>
                <w:lang w:val="en-US"/>
              </w:rPr>
              <w:t>6</w:t>
            </w:r>
            <w:r w:rsidR="002535D5">
              <w:rPr>
                <w:rFonts w:cs="Arial"/>
                <w:lang w:val="en-US"/>
              </w:rPr>
              <w:t>1</w:t>
            </w:r>
          </w:p>
        </w:tc>
      </w:tr>
      <w:tr w:rsidR="00D65634" w:rsidTr="002C2972">
        <w:tblPrEx>
          <w:tblCellMar>
            <w:top w:w="0" w:type="dxa"/>
            <w:bottom w:w="0" w:type="dxa"/>
          </w:tblCellMar>
        </w:tblPrEx>
        <w:tc>
          <w:tcPr>
            <w:tcW w:w="7588" w:type="dxa"/>
          </w:tcPr>
          <w:p w:rsidR="00D65634" w:rsidRDefault="00D65634" w:rsidP="00C152D3">
            <w:pPr>
              <w:tabs>
                <w:tab w:val="clear" w:pos="1418"/>
                <w:tab w:val="left" w:pos="720"/>
              </w:tabs>
              <w:ind w:left="1440" w:hanging="720"/>
              <w:rPr>
                <w:rFonts w:cs="Arial"/>
                <w:szCs w:val="28"/>
              </w:rPr>
            </w:pPr>
            <w:r>
              <w:rPr>
                <w:rFonts w:cs="Arial" w:hint="eastAsia"/>
                <w:szCs w:val="28"/>
              </w:rPr>
              <w:t>(a)</w:t>
            </w:r>
            <w:r>
              <w:rPr>
                <w:rFonts w:cs="Arial"/>
                <w:szCs w:val="28"/>
              </w:rPr>
              <w:tab/>
            </w:r>
            <w:r w:rsidR="008E39A6">
              <w:rPr>
                <w:rFonts w:cs="Arial" w:hint="eastAsia"/>
                <w:szCs w:val="28"/>
              </w:rPr>
              <w:t>Comments</w:t>
            </w:r>
          </w:p>
        </w:tc>
        <w:tc>
          <w:tcPr>
            <w:tcW w:w="774" w:type="dxa"/>
          </w:tcPr>
          <w:p w:rsidR="00D65634" w:rsidRDefault="003850FF" w:rsidP="002535D5">
            <w:pPr>
              <w:jc w:val="center"/>
              <w:rPr>
                <w:rFonts w:cs="Arial"/>
                <w:lang w:val="en-US"/>
              </w:rPr>
            </w:pPr>
            <w:r>
              <w:rPr>
                <w:rFonts w:cs="Arial" w:hint="eastAsia"/>
                <w:lang w:val="en-US"/>
              </w:rPr>
              <w:t>6</w:t>
            </w:r>
            <w:r w:rsidR="002535D5">
              <w:rPr>
                <w:rFonts w:cs="Arial"/>
                <w:lang w:val="en-US"/>
              </w:rPr>
              <w:t>1</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(b)</w:t>
            </w:r>
            <w:r>
              <w:rPr>
                <w:rFonts w:cs="Arial"/>
                <w:szCs w:val="28"/>
              </w:rPr>
              <w:tab/>
            </w:r>
            <w:r>
              <w:rPr>
                <w:rFonts w:cs="Arial" w:hint="eastAsia"/>
                <w:szCs w:val="28"/>
              </w:rPr>
              <w:t>Government's stance or response</w:t>
            </w:r>
          </w:p>
        </w:tc>
        <w:tc>
          <w:tcPr>
            <w:tcW w:w="774" w:type="dxa"/>
          </w:tcPr>
          <w:p w:rsidR="00D65634" w:rsidRDefault="003850FF" w:rsidP="002535D5">
            <w:pPr>
              <w:jc w:val="center"/>
              <w:rPr>
                <w:rFonts w:cs="Arial"/>
                <w:lang w:val="en-US"/>
              </w:rPr>
            </w:pPr>
            <w:r>
              <w:rPr>
                <w:rFonts w:cs="Arial" w:hint="eastAsia"/>
                <w:lang w:val="en-US"/>
              </w:rPr>
              <w:t>6</w:t>
            </w:r>
            <w:r w:rsidR="002535D5">
              <w:rPr>
                <w:rFonts w:cs="Arial"/>
                <w:lang w:val="en-US"/>
              </w:rPr>
              <w:t>2</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(c)</w:t>
            </w:r>
            <w:r>
              <w:rPr>
                <w:rFonts w:cs="Arial"/>
                <w:szCs w:val="28"/>
              </w:rPr>
              <w:tab/>
            </w:r>
            <w:r>
              <w:rPr>
                <w:rFonts w:cs="Arial" w:hint="eastAsia"/>
                <w:szCs w:val="28"/>
              </w:rPr>
              <w:t>Other jurisdictions</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3</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t>Issues for public consultation</w:t>
            </w:r>
          </w:p>
        </w:tc>
        <w:tc>
          <w:tcPr>
            <w:tcW w:w="774" w:type="dxa"/>
          </w:tcPr>
          <w:p w:rsidR="00D65634" w:rsidRDefault="003850FF" w:rsidP="003850FF">
            <w:pPr>
              <w:jc w:val="center"/>
              <w:rPr>
                <w:rFonts w:cs="Arial"/>
                <w:lang w:val="en-US"/>
              </w:rPr>
            </w:pPr>
            <w:r>
              <w:rPr>
                <w:rFonts w:cs="Arial" w:hint="eastAsia"/>
                <w:lang w:val="en-US"/>
              </w:rPr>
              <w:t>6</w:t>
            </w:r>
            <w:r w:rsidR="002535D5">
              <w:rPr>
                <w:rFonts w:cs="Arial"/>
                <w:lang w:val="en-US"/>
              </w:rPr>
              <w:t>4</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t>(III)</w:t>
            </w:r>
            <w:r>
              <w:rPr>
                <w:rFonts w:cs="Arial"/>
                <w:szCs w:val="28"/>
              </w:rPr>
              <w:tab/>
            </w:r>
            <w:r>
              <w:rPr>
                <w:rFonts w:cs="Arial" w:hint="eastAsia"/>
                <w:szCs w:val="28"/>
              </w:rPr>
              <w:t>Reviews of disposal schedules</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5</w:t>
            </w:r>
          </w:p>
        </w:tc>
      </w:tr>
      <w:tr w:rsidR="00D65634" w:rsidTr="002C2972">
        <w:tblPrEx>
          <w:tblCellMar>
            <w:top w:w="0" w:type="dxa"/>
            <w:bottom w:w="0" w:type="dxa"/>
          </w:tblCellMar>
        </w:tblPrEx>
        <w:tc>
          <w:tcPr>
            <w:tcW w:w="7588" w:type="dxa"/>
          </w:tcPr>
          <w:p w:rsidR="00D65634" w:rsidRDefault="00D65634" w:rsidP="00C152D3">
            <w:pPr>
              <w:tabs>
                <w:tab w:val="clear" w:pos="1418"/>
                <w:tab w:val="left" w:pos="720"/>
              </w:tabs>
              <w:ind w:left="1440" w:hanging="720"/>
              <w:rPr>
                <w:rFonts w:cs="Arial"/>
                <w:szCs w:val="28"/>
              </w:rPr>
            </w:pPr>
            <w:r>
              <w:rPr>
                <w:rFonts w:cs="Arial" w:hint="eastAsia"/>
                <w:szCs w:val="28"/>
              </w:rPr>
              <w:t>(a)</w:t>
            </w:r>
            <w:r>
              <w:rPr>
                <w:rFonts w:cs="Arial"/>
                <w:szCs w:val="28"/>
              </w:rPr>
              <w:tab/>
            </w:r>
            <w:r w:rsidR="008E39A6">
              <w:rPr>
                <w:rFonts w:cs="Arial" w:hint="eastAsia"/>
                <w:szCs w:val="28"/>
              </w:rPr>
              <w:t>Comments</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5</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(b)</w:t>
            </w:r>
            <w:r>
              <w:rPr>
                <w:rFonts w:cs="Arial"/>
                <w:szCs w:val="28"/>
              </w:rPr>
              <w:tab/>
            </w:r>
            <w:r>
              <w:rPr>
                <w:rFonts w:cs="Arial" w:hint="eastAsia"/>
                <w:szCs w:val="28"/>
              </w:rPr>
              <w:t>Government's stance or response</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6</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b/>
                <w:i/>
                <w:szCs w:val="28"/>
              </w:rPr>
            </w:pPr>
            <w:r>
              <w:rPr>
                <w:rFonts w:cs="Arial" w:hint="eastAsia"/>
                <w:szCs w:val="28"/>
              </w:rPr>
              <w:t>(c)</w:t>
            </w:r>
            <w:r>
              <w:rPr>
                <w:rFonts w:cs="Arial"/>
                <w:szCs w:val="28"/>
              </w:rPr>
              <w:tab/>
            </w:r>
            <w:r>
              <w:rPr>
                <w:rFonts w:cs="Arial" w:hint="eastAsia"/>
                <w:szCs w:val="28"/>
              </w:rPr>
              <w:t>Other jurisdictions</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6</w:t>
            </w:r>
          </w:p>
        </w:tc>
      </w:tr>
      <w:tr w:rsidR="00D65634" w:rsidTr="002C2972">
        <w:tblPrEx>
          <w:tblCellMar>
            <w:top w:w="0" w:type="dxa"/>
            <w:bottom w:w="0" w:type="dxa"/>
          </w:tblCellMar>
        </w:tblPrEx>
        <w:tc>
          <w:tcPr>
            <w:tcW w:w="7588" w:type="dxa"/>
          </w:tcPr>
          <w:p w:rsidR="00D65634" w:rsidRDefault="00D65634" w:rsidP="002C2972">
            <w:pPr>
              <w:rPr>
                <w:rFonts w:cs="Arial"/>
                <w:szCs w:val="28"/>
              </w:rPr>
            </w:pPr>
            <w:r>
              <w:rPr>
                <w:rFonts w:cs="Arial" w:hint="eastAsia"/>
                <w:szCs w:val="28"/>
              </w:rPr>
              <w:t>Issues for public consultation</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7</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t>(IV)</w:t>
            </w:r>
            <w:r>
              <w:rPr>
                <w:rFonts w:cs="Arial"/>
                <w:szCs w:val="28"/>
              </w:rPr>
              <w:tab/>
            </w:r>
            <w:r>
              <w:rPr>
                <w:rFonts w:cs="Arial" w:hint="eastAsia"/>
                <w:szCs w:val="28"/>
              </w:rPr>
              <w:t>Transfer of records to GRS</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C152D3">
            <w:pPr>
              <w:tabs>
                <w:tab w:val="clear" w:pos="1418"/>
                <w:tab w:val="left" w:pos="720"/>
              </w:tabs>
              <w:ind w:left="1440" w:hanging="720"/>
              <w:rPr>
                <w:rFonts w:cs="Arial"/>
                <w:szCs w:val="28"/>
              </w:rPr>
            </w:pPr>
            <w:r>
              <w:rPr>
                <w:rFonts w:cs="Arial" w:hint="eastAsia"/>
                <w:szCs w:val="28"/>
              </w:rPr>
              <w:t>(a)</w:t>
            </w:r>
            <w:r>
              <w:rPr>
                <w:rFonts w:cs="Arial"/>
                <w:szCs w:val="28"/>
              </w:rPr>
              <w:tab/>
            </w:r>
            <w:r w:rsidR="008E39A6">
              <w:rPr>
                <w:rFonts w:cs="Arial" w:hint="eastAsia"/>
                <w:szCs w:val="28"/>
              </w:rPr>
              <w:t>Comments</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(b)</w:t>
            </w:r>
            <w:r>
              <w:rPr>
                <w:rFonts w:cs="Arial"/>
                <w:szCs w:val="28"/>
              </w:rPr>
              <w:tab/>
            </w:r>
            <w:r>
              <w:rPr>
                <w:rFonts w:cs="Arial" w:hint="eastAsia"/>
                <w:szCs w:val="28"/>
              </w:rPr>
              <w:t>Government's stance or response</w:t>
            </w:r>
          </w:p>
        </w:tc>
        <w:tc>
          <w:tcPr>
            <w:tcW w:w="774" w:type="dxa"/>
          </w:tcPr>
          <w:p w:rsidR="00D65634" w:rsidRDefault="003850FF" w:rsidP="002C2972">
            <w:pPr>
              <w:jc w:val="center"/>
              <w:rPr>
                <w:rFonts w:cs="Arial"/>
                <w:lang w:val="en-US"/>
              </w:rPr>
            </w:pPr>
            <w:r>
              <w:rPr>
                <w:rFonts w:cs="Arial" w:hint="eastAsia"/>
                <w:lang w:val="en-US"/>
              </w:rPr>
              <w:t>6</w:t>
            </w:r>
            <w:r w:rsidR="002535D5">
              <w:rPr>
                <w:rFonts w:cs="Arial"/>
                <w:lang w:val="en-US"/>
              </w:rPr>
              <w:t>9</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b/>
                <w:i/>
                <w:szCs w:val="28"/>
              </w:rPr>
            </w:pPr>
            <w:r>
              <w:rPr>
                <w:rFonts w:cs="Arial" w:hint="eastAsia"/>
                <w:szCs w:val="28"/>
              </w:rPr>
              <w:t>(c)</w:t>
            </w:r>
            <w:r>
              <w:rPr>
                <w:rFonts w:cs="Arial"/>
                <w:szCs w:val="28"/>
              </w:rPr>
              <w:tab/>
            </w:r>
            <w:r>
              <w:rPr>
                <w:rFonts w:cs="Arial" w:hint="eastAsia"/>
                <w:szCs w:val="28"/>
              </w:rPr>
              <w:t>Other jurisdictions</w:t>
            </w:r>
          </w:p>
        </w:tc>
        <w:tc>
          <w:tcPr>
            <w:tcW w:w="774" w:type="dxa"/>
          </w:tcPr>
          <w:p w:rsidR="00D65634" w:rsidRDefault="002535D5" w:rsidP="002C2972">
            <w:pPr>
              <w:jc w:val="center"/>
              <w:rPr>
                <w:rFonts w:cs="Arial"/>
                <w:lang w:val="en-US"/>
              </w:rPr>
            </w:pPr>
            <w:r>
              <w:rPr>
                <w:rFonts w:cs="Arial"/>
                <w:lang w:val="en-US"/>
              </w:rPr>
              <w:t>70</w:t>
            </w:r>
          </w:p>
        </w:tc>
      </w:tr>
      <w:tr w:rsidR="00D65634" w:rsidTr="002C2972">
        <w:tblPrEx>
          <w:tblCellMar>
            <w:top w:w="0" w:type="dxa"/>
            <w:bottom w:w="0" w:type="dxa"/>
          </w:tblCellMar>
        </w:tblPrEx>
        <w:tc>
          <w:tcPr>
            <w:tcW w:w="7588" w:type="dxa"/>
          </w:tcPr>
          <w:p w:rsidR="00D65634" w:rsidRDefault="00D65634" w:rsidP="002C2972">
            <w:pPr>
              <w:rPr>
                <w:rFonts w:cs="Arial"/>
                <w:szCs w:val="28"/>
              </w:rPr>
            </w:pPr>
            <w:r>
              <w:rPr>
                <w:rFonts w:cs="Arial" w:hint="eastAsia"/>
                <w:szCs w:val="28"/>
              </w:rPr>
              <w:t>Issues for public consultation</w:t>
            </w:r>
          </w:p>
        </w:tc>
        <w:tc>
          <w:tcPr>
            <w:tcW w:w="774" w:type="dxa"/>
          </w:tcPr>
          <w:p w:rsidR="00D65634" w:rsidRDefault="003850FF" w:rsidP="00CC2688">
            <w:pPr>
              <w:jc w:val="center"/>
              <w:rPr>
                <w:rFonts w:cs="Arial"/>
                <w:lang w:val="en-US"/>
              </w:rPr>
            </w:pPr>
            <w:r>
              <w:rPr>
                <w:rFonts w:cs="Arial" w:hint="eastAsia"/>
                <w:lang w:val="en-US"/>
              </w:rPr>
              <w:t>7</w:t>
            </w:r>
            <w:r w:rsidR="00CC2688">
              <w:rPr>
                <w:rFonts w:cs="Arial"/>
                <w:lang w:val="en-US"/>
              </w:rPr>
              <w:t>6</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lastRenderedPageBreak/>
              <w:t>(V)</w:t>
            </w:r>
            <w:r>
              <w:rPr>
                <w:rFonts w:cs="Arial"/>
                <w:szCs w:val="28"/>
              </w:rPr>
              <w:tab/>
            </w:r>
            <w:r>
              <w:rPr>
                <w:rFonts w:cs="Arial" w:hint="eastAsia"/>
                <w:szCs w:val="28"/>
              </w:rPr>
              <w:t>Professional and staff support for GRS</w:t>
            </w:r>
          </w:p>
        </w:tc>
        <w:tc>
          <w:tcPr>
            <w:tcW w:w="774" w:type="dxa"/>
          </w:tcPr>
          <w:p w:rsidR="00D65634" w:rsidRDefault="003850FF" w:rsidP="002C2972">
            <w:pPr>
              <w:jc w:val="center"/>
              <w:rPr>
                <w:rFonts w:cs="Arial"/>
                <w:lang w:val="en-US"/>
              </w:rPr>
            </w:pPr>
            <w:r>
              <w:rPr>
                <w:rFonts w:cs="Arial" w:hint="eastAsia"/>
                <w:lang w:val="en-US"/>
              </w:rPr>
              <w:t>7</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Lack of professional support</w:t>
            </w:r>
          </w:p>
        </w:tc>
        <w:tc>
          <w:tcPr>
            <w:tcW w:w="774" w:type="dxa"/>
          </w:tcPr>
          <w:p w:rsidR="00D65634" w:rsidRDefault="003850FF" w:rsidP="002C2972">
            <w:pPr>
              <w:jc w:val="center"/>
              <w:rPr>
                <w:rFonts w:cs="Arial"/>
                <w:lang w:val="en-US"/>
              </w:rPr>
            </w:pPr>
            <w:r>
              <w:rPr>
                <w:rFonts w:cs="Arial" w:hint="eastAsia"/>
                <w:lang w:val="en-US"/>
              </w:rPr>
              <w:t>7</w:t>
            </w:r>
            <w:r w:rsidR="002535D5">
              <w:rPr>
                <w:rFonts w:cs="Arial"/>
                <w:lang w:val="en-US"/>
              </w:rPr>
              <w:t>8</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Shortage of staff in GRS and building up of backlog</w:t>
            </w:r>
          </w:p>
        </w:tc>
        <w:tc>
          <w:tcPr>
            <w:tcW w:w="774" w:type="dxa"/>
          </w:tcPr>
          <w:p w:rsidR="00D65634" w:rsidRDefault="00F06A96" w:rsidP="002C2972">
            <w:pPr>
              <w:jc w:val="center"/>
              <w:rPr>
                <w:rFonts w:cs="Arial"/>
                <w:lang w:val="en-US"/>
              </w:rPr>
            </w:pPr>
            <w:r>
              <w:rPr>
                <w:rFonts w:cs="Arial"/>
                <w:lang w:val="en-US"/>
              </w:rPr>
              <w:t>80</w:t>
            </w:r>
          </w:p>
        </w:tc>
      </w:tr>
      <w:tr w:rsidR="00D65634" w:rsidTr="002C2972">
        <w:tblPrEx>
          <w:tblCellMar>
            <w:top w:w="0" w:type="dxa"/>
            <w:bottom w:w="0" w:type="dxa"/>
          </w:tblCellMar>
        </w:tblPrEx>
        <w:tc>
          <w:tcPr>
            <w:tcW w:w="7588" w:type="dxa"/>
          </w:tcPr>
          <w:p w:rsidR="00D65634" w:rsidRDefault="00D65634" w:rsidP="002C2972">
            <w:pPr>
              <w:tabs>
                <w:tab w:val="left" w:pos="705"/>
              </w:tabs>
              <w:rPr>
                <w:rFonts w:cs="Arial"/>
                <w:szCs w:val="28"/>
              </w:rPr>
            </w:pPr>
            <w:r>
              <w:rPr>
                <w:rFonts w:cs="Arial"/>
                <w:szCs w:val="28"/>
              </w:rPr>
              <w:tab/>
            </w:r>
            <w:r>
              <w:rPr>
                <w:rFonts w:cs="Arial" w:hint="eastAsia"/>
                <w:szCs w:val="28"/>
              </w:rPr>
              <w:t>Our observation</w:t>
            </w:r>
          </w:p>
        </w:tc>
        <w:tc>
          <w:tcPr>
            <w:tcW w:w="774" w:type="dxa"/>
          </w:tcPr>
          <w:p w:rsidR="00D65634" w:rsidRDefault="003850FF" w:rsidP="00F06A96">
            <w:pPr>
              <w:jc w:val="center"/>
              <w:rPr>
                <w:rFonts w:cs="Arial"/>
                <w:lang w:val="en-US"/>
              </w:rPr>
            </w:pPr>
            <w:r>
              <w:rPr>
                <w:rFonts w:cs="Arial" w:hint="eastAsia"/>
                <w:lang w:val="en-US"/>
              </w:rPr>
              <w:t>8</w:t>
            </w:r>
            <w:r w:rsidR="00F06A96">
              <w:rPr>
                <w:rFonts w:cs="Arial"/>
                <w:lang w:val="en-US"/>
              </w:rPr>
              <w:t>2</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720" w:hanging="720"/>
              <w:rPr>
                <w:rFonts w:cs="Arial"/>
                <w:szCs w:val="28"/>
              </w:rPr>
            </w:pPr>
            <w:r>
              <w:rPr>
                <w:rFonts w:cs="Arial" w:hint="eastAsia"/>
                <w:szCs w:val="28"/>
              </w:rPr>
              <w:t>(VI)</w:t>
            </w:r>
            <w:r>
              <w:rPr>
                <w:rFonts w:cs="Arial"/>
                <w:szCs w:val="28"/>
              </w:rPr>
              <w:tab/>
            </w:r>
            <w:r>
              <w:rPr>
                <w:rFonts w:cs="Arial" w:hint="eastAsia"/>
                <w:szCs w:val="28"/>
              </w:rPr>
              <w:t>Electronic records</w:t>
            </w:r>
          </w:p>
        </w:tc>
        <w:tc>
          <w:tcPr>
            <w:tcW w:w="774" w:type="dxa"/>
          </w:tcPr>
          <w:p w:rsidR="00D65634" w:rsidRDefault="003850FF" w:rsidP="002C2972">
            <w:pPr>
              <w:jc w:val="center"/>
              <w:rPr>
                <w:rFonts w:cs="Arial"/>
                <w:lang w:val="en-US"/>
              </w:rPr>
            </w:pPr>
            <w:r>
              <w:rPr>
                <w:rFonts w:cs="Arial" w:hint="eastAsia"/>
                <w:lang w:val="en-US"/>
              </w:rPr>
              <w:t>8</w:t>
            </w:r>
            <w:r w:rsidR="00F06A96">
              <w:rPr>
                <w:rFonts w:cs="Arial"/>
                <w:lang w:val="en-US"/>
              </w:rPr>
              <w:t>2</w:t>
            </w:r>
          </w:p>
        </w:tc>
      </w:tr>
      <w:tr w:rsidR="00D65634" w:rsidTr="002C2972">
        <w:tblPrEx>
          <w:tblCellMar>
            <w:top w:w="0" w:type="dxa"/>
            <w:bottom w:w="0" w:type="dxa"/>
          </w:tblCellMar>
        </w:tblPrEx>
        <w:tc>
          <w:tcPr>
            <w:tcW w:w="7588" w:type="dxa"/>
          </w:tcPr>
          <w:p w:rsidR="00D65634" w:rsidRDefault="00D65634" w:rsidP="00C152D3">
            <w:pPr>
              <w:tabs>
                <w:tab w:val="clear" w:pos="1418"/>
                <w:tab w:val="left" w:pos="720"/>
              </w:tabs>
              <w:ind w:left="1440" w:hanging="720"/>
              <w:rPr>
                <w:rFonts w:cs="Arial"/>
                <w:szCs w:val="28"/>
              </w:rPr>
            </w:pPr>
            <w:r>
              <w:rPr>
                <w:rFonts w:cs="Arial" w:hint="eastAsia"/>
                <w:szCs w:val="28"/>
              </w:rPr>
              <w:t>(a)</w:t>
            </w:r>
            <w:r>
              <w:rPr>
                <w:rFonts w:cs="Arial"/>
                <w:szCs w:val="28"/>
              </w:rPr>
              <w:tab/>
            </w:r>
            <w:r w:rsidR="008E39A6">
              <w:rPr>
                <w:rFonts w:cs="Arial" w:hint="eastAsia"/>
                <w:szCs w:val="28"/>
              </w:rPr>
              <w:t>Comments</w:t>
            </w:r>
          </w:p>
        </w:tc>
        <w:tc>
          <w:tcPr>
            <w:tcW w:w="774" w:type="dxa"/>
          </w:tcPr>
          <w:p w:rsidR="00D65634" w:rsidRDefault="003850FF" w:rsidP="002C2972">
            <w:pPr>
              <w:jc w:val="center"/>
              <w:rPr>
                <w:rFonts w:cs="Arial"/>
                <w:lang w:val="en-US"/>
              </w:rPr>
            </w:pPr>
            <w:r>
              <w:rPr>
                <w:rFonts w:cs="Arial" w:hint="eastAsia"/>
                <w:lang w:val="en-US"/>
              </w:rPr>
              <w:t>8</w:t>
            </w:r>
            <w:r w:rsidR="00F06A96">
              <w:rPr>
                <w:rFonts w:cs="Arial"/>
                <w:lang w:val="en-US"/>
              </w:rPr>
              <w:t>2</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szCs w:val="28"/>
              </w:rPr>
            </w:pPr>
            <w:r>
              <w:rPr>
                <w:rFonts w:cs="Arial" w:hint="eastAsia"/>
                <w:szCs w:val="28"/>
              </w:rPr>
              <w:t>(b)</w:t>
            </w:r>
            <w:r>
              <w:rPr>
                <w:rFonts w:cs="Arial"/>
                <w:szCs w:val="28"/>
              </w:rPr>
              <w:tab/>
            </w:r>
            <w:r>
              <w:rPr>
                <w:rFonts w:cs="Arial" w:hint="eastAsia"/>
                <w:szCs w:val="28"/>
              </w:rPr>
              <w:t>Government's stance or response</w:t>
            </w:r>
          </w:p>
        </w:tc>
        <w:tc>
          <w:tcPr>
            <w:tcW w:w="774" w:type="dxa"/>
          </w:tcPr>
          <w:p w:rsidR="00D65634" w:rsidRDefault="003850FF" w:rsidP="002C2972">
            <w:pPr>
              <w:jc w:val="center"/>
              <w:rPr>
                <w:rFonts w:cs="Arial"/>
                <w:lang w:val="en-US"/>
              </w:rPr>
            </w:pPr>
            <w:r>
              <w:rPr>
                <w:rFonts w:cs="Arial" w:hint="eastAsia"/>
                <w:lang w:val="en-US"/>
              </w:rPr>
              <w:t>8</w:t>
            </w:r>
            <w:r w:rsidR="00F06A96">
              <w:rPr>
                <w:rFonts w:cs="Arial"/>
                <w:lang w:val="en-US"/>
              </w:rPr>
              <w:t>3</w:t>
            </w:r>
          </w:p>
        </w:tc>
      </w:tr>
      <w:tr w:rsidR="00D65634" w:rsidTr="002C2972">
        <w:tblPrEx>
          <w:tblCellMar>
            <w:top w:w="0" w:type="dxa"/>
            <w:bottom w:w="0" w:type="dxa"/>
          </w:tblCellMar>
        </w:tblPrEx>
        <w:tc>
          <w:tcPr>
            <w:tcW w:w="7588" w:type="dxa"/>
          </w:tcPr>
          <w:p w:rsidR="00D65634" w:rsidRDefault="00D65634" w:rsidP="002C2972">
            <w:pPr>
              <w:tabs>
                <w:tab w:val="clear" w:pos="1418"/>
                <w:tab w:val="left" w:pos="720"/>
              </w:tabs>
              <w:ind w:left="1440" w:hanging="720"/>
              <w:rPr>
                <w:rFonts w:cs="Arial"/>
                <w:b/>
                <w:i/>
                <w:szCs w:val="28"/>
              </w:rPr>
            </w:pPr>
            <w:r>
              <w:rPr>
                <w:rFonts w:cs="Arial" w:hint="eastAsia"/>
                <w:szCs w:val="28"/>
              </w:rPr>
              <w:t>(c)</w:t>
            </w:r>
            <w:r>
              <w:rPr>
                <w:rFonts w:cs="Arial"/>
                <w:szCs w:val="28"/>
              </w:rPr>
              <w:tab/>
            </w:r>
            <w:r>
              <w:rPr>
                <w:rFonts w:cs="Arial" w:hint="eastAsia"/>
                <w:szCs w:val="28"/>
              </w:rPr>
              <w:t>Other jurisdictions</w:t>
            </w:r>
          </w:p>
        </w:tc>
        <w:tc>
          <w:tcPr>
            <w:tcW w:w="774" w:type="dxa"/>
          </w:tcPr>
          <w:p w:rsidR="00D65634" w:rsidRDefault="003850FF" w:rsidP="002C2972">
            <w:pPr>
              <w:jc w:val="center"/>
              <w:rPr>
                <w:rFonts w:cs="Arial"/>
                <w:lang w:val="en-US"/>
              </w:rPr>
            </w:pPr>
            <w:r>
              <w:rPr>
                <w:rFonts w:cs="Arial" w:hint="eastAsia"/>
                <w:lang w:val="en-US"/>
              </w:rPr>
              <w:t>8</w:t>
            </w:r>
            <w:r w:rsidR="00F06A96">
              <w:rPr>
                <w:rFonts w:cs="Arial"/>
                <w:lang w:val="en-US"/>
              </w:rPr>
              <w:t>5</w:t>
            </w:r>
          </w:p>
        </w:tc>
      </w:tr>
      <w:tr w:rsidR="00D65634" w:rsidTr="002C2972">
        <w:tblPrEx>
          <w:tblCellMar>
            <w:top w:w="0" w:type="dxa"/>
            <w:bottom w:w="0" w:type="dxa"/>
          </w:tblCellMar>
        </w:tblPrEx>
        <w:tc>
          <w:tcPr>
            <w:tcW w:w="7588" w:type="dxa"/>
          </w:tcPr>
          <w:p w:rsidR="00D65634" w:rsidRDefault="00D65634" w:rsidP="002C2972">
            <w:pPr>
              <w:tabs>
                <w:tab w:val="left" w:pos="705"/>
              </w:tabs>
              <w:rPr>
                <w:rFonts w:cs="Arial"/>
                <w:szCs w:val="28"/>
              </w:rPr>
            </w:pPr>
            <w:r>
              <w:rPr>
                <w:rFonts w:cs="Arial"/>
                <w:szCs w:val="28"/>
              </w:rPr>
              <w:tab/>
            </w:r>
            <w:r>
              <w:rPr>
                <w:rFonts w:cs="Arial" w:hint="eastAsia"/>
                <w:szCs w:val="28"/>
              </w:rPr>
              <w:t>Our observations</w:t>
            </w:r>
          </w:p>
        </w:tc>
        <w:tc>
          <w:tcPr>
            <w:tcW w:w="774" w:type="dxa"/>
          </w:tcPr>
          <w:p w:rsidR="00D65634" w:rsidRDefault="003850FF" w:rsidP="002C2972">
            <w:pPr>
              <w:jc w:val="center"/>
              <w:rPr>
                <w:rFonts w:cs="Arial"/>
                <w:lang w:val="en-US"/>
              </w:rPr>
            </w:pPr>
            <w:r>
              <w:rPr>
                <w:rFonts w:cs="Arial" w:hint="eastAsia"/>
                <w:lang w:val="en-US"/>
              </w:rPr>
              <w:t>8</w:t>
            </w:r>
            <w:r w:rsidR="00F06A96">
              <w:rPr>
                <w:rFonts w:cs="Arial"/>
                <w:lang w:val="en-US"/>
              </w:rPr>
              <w:t>6</w:t>
            </w:r>
          </w:p>
        </w:tc>
      </w:tr>
      <w:tr w:rsidR="00D65634" w:rsidTr="002C2972">
        <w:tblPrEx>
          <w:tblCellMar>
            <w:top w:w="0" w:type="dxa"/>
            <w:bottom w:w="0" w:type="dxa"/>
          </w:tblCellMar>
        </w:tblPrEx>
        <w:tc>
          <w:tcPr>
            <w:tcW w:w="7588" w:type="dxa"/>
          </w:tcPr>
          <w:p w:rsidR="00D65634" w:rsidRDefault="00D65634" w:rsidP="002C2972">
            <w:pPr>
              <w:rPr>
                <w:rFonts w:cs="Arial"/>
                <w:szCs w:val="28"/>
              </w:rPr>
            </w:pPr>
            <w:r>
              <w:rPr>
                <w:rFonts w:cs="Arial"/>
                <w:szCs w:val="28"/>
              </w:rPr>
              <w:t>I</w:t>
            </w:r>
            <w:r>
              <w:rPr>
                <w:rFonts w:cs="Arial" w:hint="eastAsia"/>
                <w:szCs w:val="28"/>
              </w:rPr>
              <w:t>ssues for public consultation</w:t>
            </w:r>
          </w:p>
        </w:tc>
        <w:tc>
          <w:tcPr>
            <w:tcW w:w="774" w:type="dxa"/>
          </w:tcPr>
          <w:p w:rsidR="00D65634" w:rsidRDefault="003850FF" w:rsidP="002C2972">
            <w:pPr>
              <w:jc w:val="center"/>
              <w:rPr>
                <w:rFonts w:cs="Arial"/>
                <w:lang w:val="en-US"/>
              </w:rPr>
            </w:pPr>
            <w:r>
              <w:rPr>
                <w:rFonts w:cs="Arial" w:hint="eastAsia"/>
                <w:lang w:val="en-US"/>
              </w:rPr>
              <w:t>8</w:t>
            </w:r>
            <w:r w:rsidR="00F06A96">
              <w:rPr>
                <w:rFonts w:cs="Arial"/>
                <w:lang w:val="en-US"/>
              </w:rPr>
              <w:t>7</w:t>
            </w:r>
          </w:p>
        </w:tc>
      </w:tr>
      <w:tr w:rsidR="00D65634" w:rsidTr="002C2972">
        <w:tblPrEx>
          <w:tblCellMar>
            <w:top w:w="0" w:type="dxa"/>
            <w:bottom w:w="0" w:type="dxa"/>
          </w:tblCellMar>
        </w:tblPrEx>
        <w:tc>
          <w:tcPr>
            <w:tcW w:w="7588" w:type="dxa"/>
          </w:tcPr>
          <w:p w:rsidR="00D65634" w:rsidRDefault="00D65634" w:rsidP="002C2972">
            <w:pPr>
              <w:rPr>
                <w:rFonts w:cs="Arial"/>
                <w:szCs w:val="28"/>
              </w:rPr>
            </w:pPr>
          </w:p>
        </w:tc>
        <w:tc>
          <w:tcPr>
            <w:tcW w:w="774" w:type="dxa"/>
          </w:tcPr>
          <w:p w:rsidR="00D65634" w:rsidRDefault="00D65634" w:rsidP="002C2972">
            <w:pPr>
              <w:jc w:val="center"/>
              <w:rPr>
                <w:rFonts w:cs="Arial"/>
                <w:lang w:val="en-US"/>
              </w:rPr>
            </w:pPr>
          </w:p>
        </w:tc>
      </w:tr>
      <w:tr w:rsidR="005961E6">
        <w:tblPrEx>
          <w:tblCellMar>
            <w:top w:w="0" w:type="dxa"/>
            <w:bottom w:w="0" w:type="dxa"/>
          </w:tblCellMar>
        </w:tblPrEx>
        <w:tc>
          <w:tcPr>
            <w:tcW w:w="7588" w:type="dxa"/>
          </w:tcPr>
          <w:p w:rsidR="005961E6" w:rsidRDefault="005961E6">
            <w:pPr>
              <w:rPr>
                <w:rFonts w:cs="Arial"/>
                <w:b/>
                <w:i/>
                <w:szCs w:val="28"/>
              </w:rPr>
            </w:pPr>
          </w:p>
        </w:tc>
        <w:tc>
          <w:tcPr>
            <w:tcW w:w="774" w:type="dxa"/>
          </w:tcPr>
          <w:p w:rsidR="005961E6" w:rsidRDefault="005961E6">
            <w:pPr>
              <w:jc w:val="center"/>
              <w:rPr>
                <w:rFonts w:cs="Arial"/>
                <w:lang w:val="en-US"/>
              </w:rPr>
            </w:pPr>
          </w:p>
        </w:tc>
      </w:tr>
      <w:tr w:rsidR="00BE50A4" w:rsidTr="002C2972">
        <w:tblPrEx>
          <w:tblCellMar>
            <w:top w:w="0" w:type="dxa"/>
            <w:bottom w:w="0" w:type="dxa"/>
          </w:tblCellMar>
        </w:tblPrEx>
        <w:tc>
          <w:tcPr>
            <w:tcW w:w="7588" w:type="dxa"/>
          </w:tcPr>
          <w:p w:rsidR="00BE50A4" w:rsidRDefault="00BE50A4" w:rsidP="002C2972">
            <w:pPr>
              <w:tabs>
                <w:tab w:val="left" w:pos="720"/>
              </w:tabs>
              <w:ind w:left="720" w:right="332" w:hanging="720"/>
              <w:jc w:val="left"/>
              <w:rPr>
                <w:rFonts w:cs="Arial"/>
              </w:rPr>
            </w:pPr>
            <w:r>
              <w:rPr>
                <w:rFonts w:cs="Arial"/>
                <w:b/>
              </w:rPr>
              <w:t>6</w:t>
            </w:r>
            <w:r>
              <w:rPr>
                <w:rFonts w:cs="Arial" w:hint="eastAsia"/>
                <w:b/>
              </w:rPr>
              <w:t>.</w:t>
            </w:r>
            <w:r>
              <w:rPr>
                <w:rFonts w:cs="Arial"/>
              </w:rPr>
              <w:tab/>
            </w:r>
            <w:r>
              <w:rPr>
                <w:rFonts w:cs="Arial" w:hint="eastAsia"/>
                <w:b/>
              </w:rPr>
              <w:t>Impact of records-related legislation on administrative guidelines on records management</w:t>
            </w:r>
          </w:p>
        </w:tc>
        <w:tc>
          <w:tcPr>
            <w:tcW w:w="774" w:type="dxa"/>
          </w:tcPr>
          <w:p w:rsidR="00BE50A4" w:rsidRDefault="003850FF" w:rsidP="00F06A96">
            <w:pPr>
              <w:jc w:val="center"/>
              <w:rPr>
                <w:rFonts w:cs="Arial"/>
                <w:lang w:val="en-US"/>
              </w:rPr>
            </w:pPr>
            <w:r>
              <w:rPr>
                <w:rFonts w:cs="Arial" w:hint="eastAsia"/>
                <w:lang w:val="en-US"/>
              </w:rPr>
              <w:t>8</w:t>
            </w:r>
            <w:r w:rsidR="00F06A96">
              <w:rPr>
                <w:rFonts w:cs="Arial"/>
                <w:lang w:val="en-US"/>
              </w:rPr>
              <w:t>8</w:t>
            </w:r>
          </w:p>
        </w:tc>
      </w:tr>
      <w:tr w:rsidR="00BE50A4" w:rsidTr="002C2972">
        <w:tblPrEx>
          <w:tblCellMar>
            <w:top w:w="0" w:type="dxa"/>
            <w:bottom w:w="0" w:type="dxa"/>
          </w:tblCellMar>
        </w:tblPrEx>
        <w:tc>
          <w:tcPr>
            <w:tcW w:w="7588" w:type="dxa"/>
          </w:tcPr>
          <w:p w:rsidR="00BE50A4" w:rsidRDefault="00BE50A4" w:rsidP="002C2972">
            <w:pPr>
              <w:tabs>
                <w:tab w:val="left" w:pos="720"/>
              </w:tabs>
              <w:ind w:right="332"/>
              <w:rPr>
                <w:rFonts w:cs="Arial"/>
                <w:b/>
              </w:rPr>
            </w:pPr>
          </w:p>
        </w:tc>
        <w:tc>
          <w:tcPr>
            <w:tcW w:w="774" w:type="dxa"/>
          </w:tcPr>
          <w:p w:rsidR="00BE50A4" w:rsidRDefault="00BE50A4" w:rsidP="002C2972">
            <w:pPr>
              <w:jc w:val="center"/>
              <w:rPr>
                <w:rFonts w:cs="Arial"/>
                <w:lang w:val="en-US"/>
              </w:rPr>
            </w:pPr>
          </w:p>
        </w:tc>
      </w:tr>
      <w:tr w:rsidR="00BE50A4" w:rsidTr="002C2972">
        <w:tblPrEx>
          <w:tblCellMar>
            <w:top w:w="0" w:type="dxa"/>
            <w:bottom w:w="0" w:type="dxa"/>
          </w:tblCellMar>
        </w:tblPrEx>
        <w:tc>
          <w:tcPr>
            <w:tcW w:w="7588" w:type="dxa"/>
          </w:tcPr>
          <w:p w:rsidR="00BE50A4" w:rsidRDefault="00BE50A4" w:rsidP="002C2972">
            <w:pPr>
              <w:tabs>
                <w:tab w:val="left" w:pos="720"/>
              </w:tabs>
              <w:ind w:right="332"/>
              <w:rPr>
                <w:rFonts w:cs="Arial"/>
                <w:lang w:val="en-US"/>
              </w:rPr>
            </w:pPr>
            <w:r>
              <w:rPr>
                <w:rFonts w:cs="Arial"/>
              </w:rPr>
              <w:t>Introduction</w:t>
            </w:r>
          </w:p>
        </w:tc>
        <w:tc>
          <w:tcPr>
            <w:tcW w:w="774" w:type="dxa"/>
          </w:tcPr>
          <w:p w:rsidR="00BE50A4" w:rsidRDefault="003850FF" w:rsidP="00376C04">
            <w:pPr>
              <w:jc w:val="center"/>
              <w:rPr>
                <w:rFonts w:cs="Arial"/>
                <w:lang w:val="en-US"/>
              </w:rPr>
            </w:pPr>
            <w:r>
              <w:rPr>
                <w:rFonts w:cs="Arial" w:hint="eastAsia"/>
                <w:lang w:val="en-US"/>
              </w:rPr>
              <w:t>8</w:t>
            </w:r>
            <w:r w:rsidR="00376C04">
              <w:rPr>
                <w:rFonts w:cs="Arial"/>
                <w:lang w:val="en-US"/>
              </w:rPr>
              <w:t>8</w:t>
            </w:r>
          </w:p>
        </w:tc>
      </w:tr>
      <w:tr w:rsidR="00BE50A4" w:rsidTr="002C2972">
        <w:tblPrEx>
          <w:tblCellMar>
            <w:top w:w="0" w:type="dxa"/>
            <w:bottom w:w="0" w:type="dxa"/>
          </w:tblCellMar>
        </w:tblPrEx>
        <w:tc>
          <w:tcPr>
            <w:tcW w:w="7588" w:type="dxa"/>
          </w:tcPr>
          <w:p w:rsidR="00BE50A4" w:rsidRDefault="00BE50A4" w:rsidP="002C2972">
            <w:pPr>
              <w:tabs>
                <w:tab w:val="left" w:pos="720"/>
              </w:tabs>
              <w:ind w:right="332"/>
              <w:rPr>
                <w:rFonts w:cs="Arial"/>
              </w:rPr>
            </w:pPr>
            <w:r>
              <w:rPr>
                <w:rFonts w:cs="Arial"/>
              </w:rPr>
              <w:t>Privacy or data protection legislation</w:t>
            </w:r>
          </w:p>
        </w:tc>
        <w:tc>
          <w:tcPr>
            <w:tcW w:w="774" w:type="dxa"/>
          </w:tcPr>
          <w:p w:rsidR="00BE50A4" w:rsidRDefault="003850FF" w:rsidP="002C2972">
            <w:pPr>
              <w:jc w:val="center"/>
              <w:rPr>
                <w:rFonts w:cs="Arial"/>
              </w:rPr>
            </w:pPr>
            <w:r>
              <w:rPr>
                <w:rFonts w:cs="Arial" w:hint="eastAsia"/>
              </w:rPr>
              <w:t>8</w:t>
            </w:r>
            <w:r w:rsidR="00376C04">
              <w:rPr>
                <w:rFonts w:cs="Arial"/>
              </w:rPr>
              <w:t>8</w:t>
            </w:r>
          </w:p>
        </w:tc>
      </w:tr>
      <w:tr w:rsidR="00BE50A4" w:rsidTr="002C2972">
        <w:tblPrEx>
          <w:tblCellMar>
            <w:top w:w="0" w:type="dxa"/>
            <w:bottom w:w="0" w:type="dxa"/>
          </w:tblCellMar>
        </w:tblPrEx>
        <w:tc>
          <w:tcPr>
            <w:tcW w:w="7588" w:type="dxa"/>
          </w:tcPr>
          <w:p w:rsidR="00BE50A4" w:rsidRDefault="00BE50A4" w:rsidP="00F53F1B">
            <w:pPr>
              <w:ind w:left="720" w:right="332"/>
              <w:rPr>
                <w:rFonts w:cs="Arial"/>
              </w:rPr>
            </w:pPr>
            <w:r>
              <w:rPr>
                <w:rFonts w:cs="Arial"/>
              </w:rPr>
              <w:t>Hong Kong</w:t>
            </w:r>
            <w:r>
              <w:rPr>
                <w:rFonts w:cs="Arial" w:hint="eastAsia"/>
              </w:rPr>
              <w:t xml:space="preserve"> </w:t>
            </w:r>
            <w:r w:rsidR="00F53F1B">
              <w:rPr>
                <w:rFonts w:cs="Arial"/>
              </w:rPr>
              <w:t>-</w:t>
            </w:r>
            <w:r>
              <w:rPr>
                <w:rFonts w:cs="Arial" w:hint="eastAsia"/>
              </w:rPr>
              <w:t xml:space="preserve"> PDPO</w:t>
            </w:r>
          </w:p>
        </w:tc>
        <w:tc>
          <w:tcPr>
            <w:tcW w:w="774" w:type="dxa"/>
          </w:tcPr>
          <w:p w:rsidR="00BE50A4" w:rsidRDefault="003850FF" w:rsidP="002C2972">
            <w:pPr>
              <w:jc w:val="center"/>
              <w:rPr>
                <w:rFonts w:cs="Arial"/>
              </w:rPr>
            </w:pPr>
            <w:r>
              <w:rPr>
                <w:rFonts w:cs="Arial" w:hint="eastAsia"/>
              </w:rPr>
              <w:t>8</w:t>
            </w:r>
            <w:r w:rsidR="00376C04">
              <w:rPr>
                <w:rFonts w:cs="Arial"/>
              </w:rPr>
              <w:t>8</w:t>
            </w:r>
          </w:p>
        </w:tc>
      </w:tr>
      <w:tr w:rsidR="00BE50A4" w:rsidTr="002C2972">
        <w:tblPrEx>
          <w:tblCellMar>
            <w:top w:w="0" w:type="dxa"/>
            <w:bottom w:w="0" w:type="dxa"/>
          </w:tblCellMar>
        </w:tblPrEx>
        <w:tc>
          <w:tcPr>
            <w:tcW w:w="7588" w:type="dxa"/>
          </w:tcPr>
          <w:p w:rsidR="00BE50A4" w:rsidRDefault="00BE50A4" w:rsidP="00C152D3">
            <w:pPr>
              <w:widowControl/>
              <w:ind w:left="720"/>
              <w:rPr>
                <w:rFonts w:cs="Arial"/>
              </w:rPr>
            </w:pPr>
            <w:r>
              <w:rPr>
                <w:rFonts w:cs="Arial" w:hint="eastAsia"/>
              </w:rPr>
              <w:t>Australia - Privacy Act 1988</w:t>
            </w:r>
          </w:p>
        </w:tc>
        <w:tc>
          <w:tcPr>
            <w:tcW w:w="774" w:type="dxa"/>
          </w:tcPr>
          <w:p w:rsidR="00BE50A4" w:rsidRDefault="00376C04" w:rsidP="002C2972">
            <w:pPr>
              <w:jc w:val="center"/>
              <w:rPr>
                <w:rFonts w:cs="Arial"/>
              </w:rPr>
            </w:pPr>
            <w:r>
              <w:rPr>
                <w:rFonts w:cs="Arial" w:hint="eastAsia"/>
              </w:rPr>
              <w:t>90</w:t>
            </w:r>
          </w:p>
        </w:tc>
      </w:tr>
      <w:tr w:rsidR="00BE50A4" w:rsidTr="002C2972">
        <w:tblPrEx>
          <w:tblCellMar>
            <w:top w:w="0" w:type="dxa"/>
            <w:bottom w:w="0" w:type="dxa"/>
          </w:tblCellMar>
        </w:tblPrEx>
        <w:tc>
          <w:tcPr>
            <w:tcW w:w="7588" w:type="dxa"/>
          </w:tcPr>
          <w:p w:rsidR="00BE50A4" w:rsidRDefault="00F53F1B" w:rsidP="00F53F1B">
            <w:pPr>
              <w:widowControl/>
              <w:ind w:left="1053" w:hanging="333"/>
              <w:jc w:val="left"/>
              <w:rPr>
                <w:rFonts w:cs="Arial"/>
              </w:rPr>
            </w:pPr>
            <w:r w:rsidRPr="00F53F1B">
              <w:rPr>
                <w:rFonts w:cs="Arial"/>
              </w:rPr>
              <w:t>England</w:t>
            </w:r>
            <w:r>
              <w:rPr>
                <w:rFonts w:cs="Arial"/>
              </w:rPr>
              <w:t xml:space="preserve"> - </w:t>
            </w:r>
            <w:r w:rsidRPr="00F53F1B">
              <w:rPr>
                <w:rFonts w:cs="Arial"/>
              </w:rPr>
              <w:t>General Data Protection Regulation and Data Protection Act 2018</w:t>
            </w:r>
          </w:p>
        </w:tc>
        <w:tc>
          <w:tcPr>
            <w:tcW w:w="774" w:type="dxa"/>
          </w:tcPr>
          <w:p w:rsidR="00BE50A4" w:rsidRDefault="003850FF" w:rsidP="00376C04">
            <w:pPr>
              <w:jc w:val="center"/>
              <w:rPr>
                <w:rFonts w:cs="Arial"/>
              </w:rPr>
            </w:pPr>
            <w:r>
              <w:rPr>
                <w:rFonts w:cs="Arial" w:hint="eastAsia"/>
              </w:rPr>
              <w:t>9</w:t>
            </w:r>
            <w:r w:rsidR="00376C04">
              <w:rPr>
                <w:rFonts w:cs="Arial"/>
              </w:rPr>
              <w:t>2</w:t>
            </w:r>
          </w:p>
        </w:tc>
      </w:tr>
      <w:tr w:rsidR="00BE50A4" w:rsidTr="002C2972">
        <w:tblPrEx>
          <w:tblCellMar>
            <w:top w:w="0" w:type="dxa"/>
            <w:bottom w:w="0" w:type="dxa"/>
          </w:tblCellMar>
        </w:tblPrEx>
        <w:tc>
          <w:tcPr>
            <w:tcW w:w="7588" w:type="dxa"/>
          </w:tcPr>
          <w:p w:rsidR="00BE50A4" w:rsidRDefault="00BE50A4" w:rsidP="002C2972">
            <w:pPr>
              <w:widowControl/>
              <w:ind w:left="1440" w:hanging="720"/>
              <w:rPr>
                <w:rFonts w:cs="Arial"/>
              </w:rPr>
            </w:pPr>
            <w:r>
              <w:rPr>
                <w:rFonts w:cs="Arial"/>
              </w:rPr>
              <w:t>Ireland</w:t>
            </w:r>
            <w:r>
              <w:rPr>
                <w:rFonts w:cs="Arial" w:hint="eastAsia"/>
              </w:rPr>
              <w:t xml:space="preserve"> - </w:t>
            </w:r>
            <w:r w:rsidR="00F53F1B" w:rsidRPr="00F53F1B">
              <w:rPr>
                <w:rFonts w:cs="Arial"/>
              </w:rPr>
              <w:t>GDPR and Data Protection Act 2018</w:t>
            </w:r>
          </w:p>
        </w:tc>
        <w:tc>
          <w:tcPr>
            <w:tcW w:w="774" w:type="dxa"/>
          </w:tcPr>
          <w:p w:rsidR="00BE50A4" w:rsidRDefault="003850FF" w:rsidP="00376C04">
            <w:pPr>
              <w:jc w:val="center"/>
              <w:rPr>
                <w:rFonts w:cs="Arial"/>
                <w:lang w:val="en-US"/>
              </w:rPr>
            </w:pPr>
            <w:r>
              <w:rPr>
                <w:rFonts w:cs="Arial" w:hint="eastAsia"/>
                <w:lang w:val="en-US"/>
              </w:rPr>
              <w:t>9</w:t>
            </w:r>
            <w:r w:rsidR="00376C04">
              <w:rPr>
                <w:rFonts w:cs="Arial"/>
                <w:lang w:val="en-US"/>
              </w:rPr>
              <w:t>4</w:t>
            </w:r>
          </w:p>
        </w:tc>
      </w:tr>
      <w:tr w:rsidR="00BE50A4" w:rsidTr="002C2972">
        <w:tblPrEx>
          <w:tblCellMar>
            <w:top w:w="0" w:type="dxa"/>
            <w:bottom w:w="0" w:type="dxa"/>
          </w:tblCellMar>
        </w:tblPrEx>
        <w:tc>
          <w:tcPr>
            <w:tcW w:w="7588" w:type="dxa"/>
          </w:tcPr>
          <w:p w:rsidR="00BE50A4" w:rsidRDefault="00BE50A4" w:rsidP="002C2972">
            <w:pPr>
              <w:widowControl/>
              <w:ind w:left="720"/>
              <w:rPr>
                <w:rFonts w:cs="Arial"/>
              </w:rPr>
            </w:pPr>
            <w:r>
              <w:rPr>
                <w:rFonts w:cs="Arial"/>
              </w:rPr>
              <w:t>New Zealand</w:t>
            </w:r>
            <w:r>
              <w:rPr>
                <w:rFonts w:cs="Arial" w:hint="eastAsia"/>
              </w:rPr>
              <w:t xml:space="preserve"> - Privacy Act 1993</w:t>
            </w:r>
          </w:p>
        </w:tc>
        <w:tc>
          <w:tcPr>
            <w:tcW w:w="774" w:type="dxa"/>
          </w:tcPr>
          <w:p w:rsidR="00BE50A4" w:rsidRDefault="003850FF" w:rsidP="002C2972">
            <w:pPr>
              <w:jc w:val="center"/>
              <w:rPr>
                <w:rFonts w:cs="Arial"/>
                <w:lang w:val="en-US"/>
              </w:rPr>
            </w:pPr>
            <w:r>
              <w:rPr>
                <w:rFonts w:cs="Arial" w:hint="eastAsia"/>
                <w:lang w:val="en-US"/>
              </w:rPr>
              <w:t>9</w:t>
            </w:r>
            <w:r w:rsidR="00376C04">
              <w:rPr>
                <w:rFonts w:cs="Arial"/>
                <w:lang w:val="en-US"/>
              </w:rPr>
              <w:t>5</w:t>
            </w:r>
          </w:p>
        </w:tc>
      </w:tr>
      <w:tr w:rsidR="00BE50A4" w:rsidTr="002C2972">
        <w:tblPrEx>
          <w:tblCellMar>
            <w:top w:w="0" w:type="dxa"/>
            <w:bottom w:w="0" w:type="dxa"/>
          </w:tblCellMar>
        </w:tblPrEx>
        <w:tc>
          <w:tcPr>
            <w:tcW w:w="7588" w:type="dxa"/>
          </w:tcPr>
          <w:p w:rsidR="00BE50A4" w:rsidRDefault="00BE50A4" w:rsidP="002C2972">
            <w:pPr>
              <w:ind w:left="720" w:right="332"/>
              <w:rPr>
                <w:rFonts w:cs="Arial"/>
              </w:rPr>
            </w:pPr>
            <w:r>
              <w:rPr>
                <w:rFonts w:cs="Arial"/>
              </w:rPr>
              <w:t>Singapore</w:t>
            </w:r>
            <w:r>
              <w:rPr>
                <w:rFonts w:cs="Arial" w:hint="eastAsia"/>
              </w:rPr>
              <w:t xml:space="preserve"> - Personal Data Protection Act 2012</w:t>
            </w:r>
          </w:p>
        </w:tc>
        <w:tc>
          <w:tcPr>
            <w:tcW w:w="774" w:type="dxa"/>
          </w:tcPr>
          <w:p w:rsidR="00BE50A4" w:rsidRDefault="003850FF" w:rsidP="002C2972">
            <w:pPr>
              <w:jc w:val="center"/>
              <w:rPr>
                <w:rFonts w:cs="Arial"/>
              </w:rPr>
            </w:pPr>
            <w:r>
              <w:rPr>
                <w:rFonts w:cs="Arial" w:hint="eastAsia"/>
              </w:rPr>
              <w:t>9</w:t>
            </w:r>
            <w:r w:rsidR="00C04C43">
              <w:rPr>
                <w:rFonts w:cs="Arial"/>
              </w:rPr>
              <w:t>5</w:t>
            </w:r>
          </w:p>
        </w:tc>
      </w:tr>
      <w:tr w:rsidR="00BE50A4" w:rsidTr="002C2972">
        <w:tblPrEx>
          <w:tblCellMar>
            <w:top w:w="0" w:type="dxa"/>
            <w:bottom w:w="0" w:type="dxa"/>
          </w:tblCellMar>
        </w:tblPrEx>
        <w:tc>
          <w:tcPr>
            <w:tcW w:w="7588" w:type="dxa"/>
          </w:tcPr>
          <w:p w:rsidR="00BE50A4" w:rsidRDefault="00BE50A4" w:rsidP="002C2972">
            <w:pPr>
              <w:tabs>
                <w:tab w:val="left" w:pos="720"/>
              </w:tabs>
              <w:ind w:right="332"/>
              <w:rPr>
                <w:rFonts w:cs="Arial"/>
              </w:rPr>
            </w:pPr>
            <w:r>
              <w:rPr>
                <w:rFonts w:cs="Arial"/>
              </w:rPr>
              <w:t>Summary</w:t>
            </w:r>
          </w:p>
        </w:tc>
        <w:tc>
          <w:tcPr>
            <w:tcW w:w="774" w:type="dxa"/>
          </w:tcPr>
          <w:p w:rsidR="00BE50A4" w:rsidRDefault="003850FF" w:rsidP="002C2972">
            <w:pPr>
              <w:jc w:val="center"/>
              <w:rPr>
                <w:rFonts w:cs="Arial"/>
              </w:rPr>
            </w:pPr>
            <w:r>
              <w:rPr>
                <w:rFonts w:cs="Arial" w:hint="eastAsia"/>
              </w:rPr>
              <w:t>9</w:t>
            </w:r>
            <w:r w:rsidR="00376C04">
              <w:rPr>
                <w:rFonts w:cs="Arial"/>
              </w:rPr>
              <w:t>6</w:t>
            </w:r>
          </w:p>
        </w:tc>
      </w:tr>
      <w:tr w:rsidR="00BE50A4" w:rsidTr="002C2972">
        <w:tblPrEx>
          <w:tblCellMar>
            <w:top w:w="0" w:type="dxa"/>
            <w:bottom w:w="0" w:type="dxa"/>
          </w:tblCellMar>
        </w:tblPrEx>
        <w:tc>
          <w:tcPr>
            <w:tcW w:w="7588" w:type="dxa"/>
          </w:tcPr>
          <w:p w:rsidR="00BE50A4" w:rsidRDefault="00BE50A4" w:rsidP="00C152D3">
            <w:pPr>
              <w:tabs>
                <w:tab w:val="left" w:pos="720"/>
              </w:tabs>
              <w:ind w:right="332"/>
              <w:rPr>
                <w:rFonts w:cs="Arial"/>
              </w:rPr>
            </w:pPr>
            <w:r>
              <w:rPr>
                <w:rFonts w:cs="Arial"/>
              </w:rPr>
              <w:t xml:space="preserve">Census and </w:t>
            </w:r>
            <w:r w:rsidR="004155D6">
              <w:rPr>
                <w:rFonts w:cs="Arial"/>
              </w:rPr>
              <w:t>s</w:t>
            </w:r>
            <w:r>
              <w:rPr>
                <w:rFonts w:cs="Arial"/>
              </w:rPr>
              <w:t xml:space="preserve">tatistics </w:t>
            </w:r>
            <w:r w:rsidR="004155D6">
              <w:rPr>
                <w:rFonts w:cs="Arial"/>
              </w:rPr>
              <w:t>l</w:t>
            </w:r>
            <w:r>
              <w:rPr>
                <w:rFonts w:cs="Arial"/>
              </w:rPr>
              <w:t>egislation</w:t>
            </w:r>
          </w:p>
        </w:tc>
        <w:tc>
          <w:tcPr>
            <w:tcW w:w="774" w:type="dxa"/>
          </w:tcPr>
          <w:p w:rsidR="00BE50A4" w:rsidRDefault="003850FF" w:rsidP="002C2972">
            <w:pPr>
              <w:jc w:val="center"/>
              <w:rPr>
                <w:rFonts w:cs="Arial"/>
              </w:rPr>
            </w:pPr>
            <w:r>
              <w:rPr>
                <w:rFonts w:cs="Arial" w:hint="eastAsia"/>
              </w:rPr>
              <w:t>9</w:t>
            </w:r>
            <w:r w:rsidR="00C04C43">
              <w:rPr>
                <w:rFonts w:cs="Arial"/>
              </w:rPr>
              <w:t>6</w:t>
            </w:r>
          </w:p>
        </w:tc>
      </w:tr>
      <w:tr w:rsidR="00BE50A4" w:rsidTr="002C2972">
        <w:tblPrEx>
          <w:tblCellMar>
            <w:top w:w="0" w:type="dxa"/>
            <w:bottom w:w="0" w:type="dxa"/>
          </w:tblCellMar>
        </w:tblPrEx>
        <w:tc>
          <w:tcPr>
            <w:tcW w:w="7588" w:type="dxa"/>
          </w:tcPr>
          <w:p w:rsidR="00BE50A4" w:rsidRDefault="00BE50A4" w:rsidP="002C2972">
            <w:pPr>
              <w:widowControl/>
              <w:ind w:left="1440" w:hanging="720"/>
              <w:rPr>
                <w:rFonts w:cs="Arial"/>
              </w:rPr>
            </w:pPr>
            <w:r>
              <w:rPr>
                <w:rFonts w:cs="Arial"/>
                <w:szCs w:val="28"/>
              </w:rPr>
              <w:t>Hong Kong</w:t>
            </w:r>
            <w:r>
              <w:rPr>
                <w:rFonts w:cs="Arial" w:hint="eastAsia"/>
                <w:szCs w:val="28"/>
              </w:rPr>
              <w:t xml:space="preserve"> - Census Ordinance </w:t>
            </w:r>
          </w:p>
        </w:tc>
        <w:tc>
          <w:tcPr>
            <w:tcW w:w="774" w:type="dxa"/>
          </w:tcPr>
          <w:p w:rsidR="00BE50A4" w:rsidRDefault="003850FF" w:rsidP="002C2972">
            <w:pPr>
              <w:jc w:val="center"/>
              <w:rPr>
                <w:rFonts w:cs="Arial"/>
              </w:rPr>
            </w:pPr>
            <w:r>
              <w:rPr>
                <w:rFonts w:cs="Arial" w:hint="eastAsia"/>
              </w:rPr>
              <w:t>9</w:t>
            </w:r>
            <w:r w:rsidR="00376C04">
              <w:rPr>
                <w:rFonts w:cs="Arial"/>
              </w:rPr>
              <w:t>7</w:t>
            </w:r>
          </w:p>
        </w:tc>
      </w:tr>
      <w:tr w:rsidR="00BE50A4" w:rsidTr="002C2972">
        <w:tblPrEx>
          <w:tblCellMar>
            <w:top w:w="0" w:type="dxa"/>
            <w:bottom w:w="0" w:type="dxa"/>
          </w:tblCellMar>
        </w:tblPrEx>
        <w:tc>
          <w:tcPr>
            <w:tcW w:w="7588" w:type="dxa"/>
          </w:tcPr>
          <w:p w:rsidR="00BE50A4" w:rsidRDefault="00BE50A4" w:rsidP="00C152D3">
            <w:pPr>
              <w:widowControl/>
              <w:ind w:left="1440" w:hanging="720"/>
              <w:rPr>
                <w:rFonts w:cs="Arial"/>
                <w:lang w:val="en-US"/>
              </w:rPr>
            </w:pPr>
            <w:r>
              <w:rPr>
                <w:rFonts w:cs="Arial"/>
                <w:szCs w:val="28"/>
              </w:rPr>
              <w:t xml:space="preserve">Australia </w:t>
            </w:r>
            <w:r>
              <w:rPr>
                <w:rFonts w:cs="Arial" w:hint="eastAsia"/>
                <w:szCs w:val="28"/>
              </w:rPr>
              <w:t>- Census and Statistics Act 1905</w:t>
            </w:r>
          </w:p>
        </w:tc>
        <w:tc>
          <w:tcPr>
            <w:tcW w:w="774" w:type="dxa"/>
          </w:tcPr>
          <w:p w:rsidR="00BE50A4" w:rsidRDefault="003850FF" w:rsidP="002C2972">
            <w:pPr>
              <w:jc w:val="center"/>
              <w:rPr>
                <w:rFonts w:cs="Arial"/>
              </w:rPr>
            </w:pPr>
            <w:r>
              <w:rPr>
                <w:rFonts w:cs="Arial" w:hint="eastAsia"/>
              </w:rPr>
              <w:t>9</w:t>
            </w:r>
            <w:r w:rsidR="00376C04">
              <w:rPr>
                <w:rFonts w:cs="Arial"/>
              </w:rPr>
              <w:t>7</w:t>
            </w:r>
          </w:p>
        </w:tc>
      </w:tr>
      <w:tr w:rsidR="00BE50A4" w:rsidTr="002C2972">
        <w:tblPrEx>
          <w:tblCellMar>
            <w:top w:w="0" w:type="dxa"/>
            <w:bottom w:w="0" w:type="dxa"/>
          </w:tblCellMar>
        </w:tblPrEx>
        <w:tc>
          <w:tcPr>
            <w:tcW w:w="7588" w:type="dxa"/>
          </w:tcPr>
          <w:p w:rsidR="00BE50A4" w:rsidRDefault="00BE50A4" w:rsidP="002C2972">
            <w:pPr>
              <w:keepNext/>
              <w:tabs>
                <w:tab w:val="clear" w:pos="1418"/>
                <w:tab w:val="left" w:pos="1890"/>
              </w:tabs>
              <w:ind w:left="720"/>
              <w:rPr>
                <w:rFonts w:cs="Arial" w:hint="eastAsia"/>
                <w:szCs w:val="28"/>
              </w:rPr>
            </w:pPr>
            <w:r>
              <w:rPr>
                <w:rFonts w:cs="Arial"/>
                <w:szCs w:val="28"/>
              </w:rPr>
              <w:t>England</w:t>
            </w:r>
            <w:r>
              <w:rPr>
                <w:rFonts w:cs="Arial" w:hint="eastAsia"/>
                <w:szCs w:val="28"/>
              </w:rPr>
              <w:t xml:space="preserve"> -</w:t>
            </w:r>
            <w:r>
              <w:rPr>
                <w:rFonts w:cs="Arial"/>
                <w:szCs w:val="28"/>
              </w:rPr>
              <w:tab/>
            </w:r>
            <w:r>
              <w:rPr>
                <w:rFonts w:cs="Arial" w:hint="eastAsia"/>
                <w:szCs w:val="28"/>
              </w:rPr>
              <w:t xml:space="preserve">Census Act 1920 </w:t>
            </w:r>
          </w:p>
          <w:p w:rsidR="00BE50A4" w:rsidRDefault="00BE50A4" w:rsidP="0070136F">
            <w:pPr>
              <w:keepNext/>
              <w:tabs>
                <w:tab w:val="clear" w:pos="1418"/>
                <w:tab w:val="left" w:pos="1890"/>
              </w:tabs>
              <w:ind w:left="2606" w:hanging="1886"/>
              <w:rPr>
                <w:rFonts w:cs="Arial"/>
                <w:lang w:eastAsia="zh-HK"/>
              </w:rPr>
            </w:pPr>
            <w:r>
              <w:rPr>
                <w:rFonts w:cs="Arial" w:hint="eastAsia"/>
                <w:szCs w:val="28"/>
              </w:rPr>
              <w:tab/>
              <w:t>Statistics and Registration Service Act 2007</w:t>
            </w:r>
          </w:p>
        </w:tc>
        <w:tc>
          <w:tcPr>
            <w:tcW w:w="774" w:type="dxa"/>
          </w:tcPr>
          <w:p w:rsidR="00BE50A4" w:rsidRDefault="00376C04" w:rsidP="002C2972">
            <w:pPr>
              <w:jc w:val="center"/>
              <w:rPr>
                <w:rFonts w:cs="Arial"/>
                <w:lang w:eastAsia="zh-HK"/>
              </w:rPr>
            </w:pPr>
            <w:r>
              <w:rPr>
                <w:rFonts w:cs="Arial"/>
                <w:lang w:eastAsia="zh-HK"/>
              </w:rPr>
              <w:t>100</w:t>
            </w:r>
          </w:p>
        </w:tc>
      </w:tr>
      <w:tr w:rsidR="0070136F" w:rsidTr="002C2972">
        <w:tblPrEx>
          <w:tblCellMar>
            <w:top w:w="0" w:type="dxa"/>
            <w:bottom w:w="0" w:type="dxa"/>
          </w:tblCellMar>
        </w:tblPrEx>
        <w:tc>
          <w:tcPr>
            <w:tcW w:w="7588" w:type="dxa"/>
          </w:tcPr>
          <w:p w:rsidR="0070136F" w:rsidRDefault="0070136F" w:rsidP="0070136F">
            <w:pPr>
              <w:keepNext/>
              <w:tabs>
                <w:tab w:val="clear" w:pos="1418"/>
                <w:tab w:val="left" w:pos="1890"/>
              </w:tabs>
              <w:ind w:left="2606" w:hanging="1886"/>
              <w:rPr>
                <w:rFonts w:cs="Arial"/>
                <w:szCs w:val="28"/>
              </w:rPr>
            </w:pPr>
            <w:r>
              <w:rPr>
                <w:rFonts w:cs="Arial" w:hint="eastAsia"/>
                <w:szCs w:val="28"/>
                <w:lang w:eastAsia="zh-HK"/>
              </w:rPr>
              <w:t>Ireland - Statistics Act 1993</w:t>
            </w:r>
          </w:p>
        </w:tc>
        <w:tc>
          <w:tcPr>
            <w:tcW w:w="774" w:type="dxa"/>
          </w:tcPr>
          <w:p w:rsidR="0070136F" w:rsidRDefault="00376C04" w:rsidP="00C04C43">
            <w:pPr>
              <w:jc w:val="center"/>
              <w:rPr>
                <w:rFonts w:cs="Arial"/>
                <w:lang w:eastAsia="zh-HK"/>
              </w:rPr>
            </w:pPr>
            <w:r>
              <w:rPr>
                <w:rFonts w:cs="Arial"/>
                <w:lang w:eastAsia="zh-HK"/>
              </w:rPr>
              <w:t>10</w:t>
            </w:r>
            <w:r w:rsidR="00C04C43">
              <w:rPr>
                <w:rFonts w:cs="Arial"/>
                <w:lang w:eastAsia="zh-HK"/>
              </w:rPr>
              <w:t>0</w:t>
            </w:r>
          </w:p>
        </w:tc>
      </w:tr>
      <w:tr w:rsidR="0070136F" w:rsidTr="002C2972">
        <w:tblPrEx>
          <w:tblCellMar>
            <w:top w:w="0" w:type="dxa"/>
            <w:bottom w:w="0" w:type="dxa"/>
          </w:tblCellMar>
        </w:tblPrEx>
        <w:tc>
          <w:tcPr>
            <w:tcW w:w="7588" w:type="dxa"/>
          </w:tcPr>
          <w:p w:rsidR="0070136F" w:rsidRDefault="0070136F" w:rsidP="002C2972">
            <w:pPr>
              <w:keepNext/>
              <w:tabs>
                <w:tab w:val="clear" w:pos="1418"/>
                <w:tab w:val="left" w:pos="1890"/>
              </w:tabs>
              <w:ind w:left="720"/>
              <w:rPr>
                <w:rFonts w:cs="Arial"/>
                <w:szCs w:val="28"/>
              </w:rPr>
            </w:pPr>
            <w:r>
              <w:rPr>
                <w:rFonts w:cs="Arial" w:hint="eastAsia"/>
                <w:szCs w:val="28"/>
                <w:lang w:eastAsia="zh-HK"/>
              </w:rPr>
              <w:t>New Zealand - Statistics Act 1975</w:t>
            </w:r>
          </w:p>
        </w:tc>
        <w:tc>
          <w:tcPr>
            <w:tcW w:w="774" w:type="dxa"/>
          </w:tcPr>
          <w:p w:rsidR="0070136F" w:rsidRDefault="00376C04" w:rsidP="00376C04">
            <w:pPr>
              <w:jc w:val="center"/>
              <w:rPr>
                <w:rFonts w:cs="Arial"/>
                <w:lang w:eastAsia="zh-HK"/>
              </w:rPr>
            </w:pPr>
            <w:r>
              <w:rPr>
                <w:rFonts w:cs="Arial"/>
                <w:lang w:eastAsia="zh-HK"/>
              </w:rPr>
              <w:t>101</w:t>
            </w:r>
          </w:p>
        </w:tc>
      </w:tr>
      <w:tr w:rsidR="00BE50A4" w:rsidTr="002C2972">
        <w:tblPrEx>
          <w:tblCellMar>
            <w:top w:w="0" w:type="dxa"/>
            <w:bottom w:w="0" w:type="dxa"/>
          </w:tblCellMar>
        </w:tblPrEx>
        <w:tc>
          <w:tcPr>
            <w:tcW w:w="7588" w:type="dxa"/>
          </w:tcPr>
          <w:p w:rsidR="00BE50A4" w:rsidRDefault="00BE50A4" w:rsidP="002C2972">
            <w:pPr>
              <w:tabs>
                <w:tab w:val="clear" w:pos="1418"/>
                <w:tab w:val="left" w:pos="1800"/>
              </w:tabs>
              <w:ind w:left="720"/>
              <w:rPr>
                <w:rFonts w:cs="Arial" w:hint="eastAsia"/>
                <w:szCs w:val="28"/>
                <w:lang w:eastAsia="zh-HK"/>
              </w:rPr>
            </w:pPr>
            <w:r>
              <w:rPr>
                <w:rFonts w:cs="Arial"/>
                <w:szCs w:val="28"/>
              </w:rPr>
              <w:t>Singapore</w:t>
            </w:r>
            <w:r>
              <w:rPr>
                <w:rFonts w:cs="Arial" w:hint="eastAsia"/>
                <w:szCs w:val="28"/>
              </w:rPr>
              <w:t xml:space="preserve"> -</w:t>
            </w:r>
            <w:r>
              <w:rPr>
                <w:rFonts w:cs="Arial"/>
                <w:szCs w:val="28"/>
              </w:rPr>
              <w:tab/>
            </w:r>
            <w:r>
              <w:rPr>
                <w:rFonts w:cs="Arial" w:hint="eastAsia"/>
                <w:szCs w:val="28"/>
              </w:rPr>
              <w:t xml:space="preserve">Census Act </w:t>
            </w:r>
            <w:r>
              <w:rPr>
                <w:rFonts w:cs="Arial" w:hint="eastAsia"/>
                <w:szCs w:val="28"/>
                <w:lang w:eastAsia="zh-HK"/>
              </w:rPr>
              <w:t>(</w:t>
            </w:r>
            <w:r>
              <w:rPr>
                <w:rFonts w:cs="Arial" w:hint="eastAsia"/>
                <w:szCs w:val="28"/>
              </w:rPr>
              <w:t>Cap 35</w:t>
            </w:r>
            <w:r>
              <w:rPr>
                <w:rFonts w:cs="Arial" w:hint="eastAsia"/>
                <w:szCs w:val="28"/>
                <w:lang w:eastAsia="zh-HK"/>
              </w:rPr>
              <w:t>)</w:t>
            </w:r>
          </w:p>
          <w:p w:rsidR="00BE50A4" w:rsidRDefault="00BE50A4" w:rsidP="002C2972">
            <w:pPr>
              <w:tabs>
                <w:tab w:val="clear" w:pos="1418"/>
                <w:tab w:val="left" w:pos="1800"/>
              </w:tabs>
              <w:ind w:left="720"/>
              <w:rPr>
                <w:rFonts w:cs="Arial"/>
                <w:lang w:eastAsia="zh-HK"/>
              </w:rPr>
            </w:pPr>
            <w:r>
              <w:rPr>
                <w:rFonts w:cs="Arial"/>
                <w:szCs w:val="28"/>
              </w:rPr>
              <w:tab/>
            </w:r>
            <w:r>
              <w:rPr>
                <w:rFonts w:cs="Arial" w:hint="eastAsia"/>
                <w:szCs w:val="28"/>
              </w:rPr>
              <w:tab/>
              <w:t xml:space="preserve">Statistics Act </w:t>
            </w:r>
            <w:r>
              <w:rPr>
                <w:rFonts w:cs="Arial" w:hint="eastAsia"/>
                <w:szCs w:val="28"/>
                <w:lang w:eastAsia="zh-HK"/>
              </w:rPr>
              <w:t>(</w:t>
            </w:r>
            <w:r>
              <w:rPr>
                <w:rFonts w:cs="Arial" w:hint="eastAsia"/>
                <w:szCs w:val="28"/>
              </w:rPr>
              <w:t>Cap 317</w:t>
            </w:r>
            <w:r>
              <w:rPr>
                <w:rFonts w:cs="Arial" w:hint="eastAsia"/>
                <w:szCs w:val="28"/>
                <w:lang w:eastAsia="zh-HK"/>
              </w:rPr>
              <w:t>)</w:t>
            </w:r>
          </w:p>
        </w:tc>
        <w:tc>
          <w:tcPr>
            <w:tcW w:w="774" w:type="dxa"/>
          </w:tcPr>
          <w:p w:rsidR="00BE50A4" w:rsidRDefault="003850FF" w:rsidP="00376C04">
            <w:pPr>
              <w:jc w:val="center"/>
              <w:rPr>
                <w:rFonts w:cs="Arial"/>
              </w:rPr>
            </w:pPr>
            <w:r>
              <w:rPr>
                <w:rFonts w:cs="Arial" w:hint="eastAsia"/>
              </w:rPr>
              <w:t>10</w:t>
            </w:r>
            <w:r w:rsidR="00376C04">
              <w:rPr>
                <w:rFonts w:cs="Arial"/>
              </w:rPr>
              <w:t>2</w:t>
            </w:r>
          </w:p>
        </w:tc>
      </w:tr>
      <w:tr w:rsidR="00BE50A4" w:rsidTr="002C2972">
        <w:tblPrEx>
          <w:tblCellMar>
            <w:top w:w="0" w:type="dxa"/>
            <w:bottom w:w="0" w:type="dxa"/>
          </w:tblCellMar>
        </w:tblPrEx>
        <w:tc>
          <w:tcPr>
            <w:tcW w:w="7588" w:type="dxa"/>
          </w:tcPr>
          <w:p w:rsidR="00BE50A4" w:rsidRDefault="00BE50A4" w:rsidP="002C2972">
            <w:pPr>
              <w:rPr>
                <w:rFonts w:cs="Arial"/>
              </w:rPr>
            </w:pPr>
            <w:r>
              <w:rPr>
                <w:rFonts w:cs="Arial"/>
              </w:rPr>
              <w:t>Summary</w:t>
            </w:r>
          </w:p>
        </w:tc>
        <w:tc>
          <w:tcPr>
            <w:tcW w:w="774" w:type="dxa"/>
          </w:tcPr>
          <w:p w:rsidR="00BE50A4" w:rsidRDefault="003850FF" w:rsidP="00376C04">
            <w:pPr>
              <w:jc w:val="center"/>
              <w:rPr>
                <w:rFonts w:cs="Arial"/>
                <w:lang w:val="en-US"/>
              </w:rPr>
            </w:pPr>
            <w:r>
              <w:rPr>
                <w:rFonts w:cs="Arial" w:hint="eastAsia"/>
                <w:lang w:val="en-US"/>
              </w:rPr>
              <w:t>10</w:t>
            </w:r>
            <w:r w:rsidR="00376C04">
              <w:rPr>
                <w:rFonts w:cs="Arial"/>
                <w:lang w:val="en-US"/>
              </w:rPr>
              <w:t>2</w:t>
            </w:r>
          </w:p>
        </w:tc>
      </w:tr>
      <w:tr w:rsidR="00BE50A4" w:rsidTr="002C2972">
        <w:tblPrEx>
          <w:tblCellMar>
            <w:top w:w="0" w:type="dxa"/>
            <w:bottom w:w="0" w:type="dxa"/>
          </w:tblCellMar>
        </w:tblPrEx>
        <w:tc>
          <w:tcPr>
            <w:tcW w:w="7588" w:type="dxa"/>
          </w:tcPr>
          <w:p w:rsidR="00BE50A4" w:rsidRPr="00071C3B" w:rsidRDefault="00BE50A4" w:rsidP="002C2972">
            <w:pPr>
              <w:rPr>
                <w:rFonts w:cs="Arial"/>
                <w:lang w:val="en-US"/>
              </w:rPr>
            </w:pPr>
            <w:r>
              <w:rPr>
                <w:rFonts w:cs="Arial"/>
                <w:lang w:val="en-US"/>
              </w:rPr>
              <w:t>Our provisional view</w:t>
            </w:r>
          </w:p>
        </w:tc>
        <w:tc>
          <w:tcPr>
            <w:tcW w:w="774" w:type="dxa"/>
          </w:tcPr>
          <w:p w:rsidR="00BE50A4" w:rsidRDefault="003850FF" w:rsidP="00C04C43">
            <w:pPr>
              <w:jc w:val="center"/>
              <w:rPr>
                <w:rFonts w:cs="Arial" w:hint="eastAsia"/>
                <w:lang w:val="en-US"/>
              </w:rPr>
            </w:pPr>
            <w:r>
              <w:rPr>
                <w:rFonts w:cs="Arial" w:hint="eastAsia"/>
                <w:lang w:val="en-US"/>
              </w:rPr>
              <w:t>10</w:t>
            </w:r>
            <w:r w:rsidR="00C04C43">
              <w:rPr>
                <w:rFonts w:cs="Arial"/>
                <w:lang w:val="en-US"/>
              </w:rPr>
              <w:t>2</w:t>
            </w:r>
          </w:p>
        </w:tc>
      </w:tr>
      <w:tr w:rsidR="00BE50A4" w:rsidTr="002C2972">
        <w:tblPrEx>
          <w:tblCellMar>
            <w:top w:w="0" w:type="dxa"/>
            <w:bottom w:w="0" w:type="dxa"/>
          </w:tblCellMar>
        </w:tblPrEx>
        <w:tc>
          <w:tcPr>
            <w:tcW w:w="7588" w:type="dxa"/>
          </w:tcPr>
          <w:p w:rsidR="00BE50A4" w:rsidRDefault="00BE50A4" w:rsidP="002C2972">
            <w:pPr>
              <w:rPr>
                <w:rFonts w:cs="Arial"/>
                <w:lang w:val="en-US"/>
              </w:rPr>
            </w:pPr>
          </w:p>
        </w:tc>
        <w:tc>
          <w:tcPr>
            <w:tcW w:w="774" w:type="dxa"/>
          </w:tcPr>
          <w:p w:rsidR="00BE50A4" w:rsidRDefault="00BE50A4" w:rsidP="002C2972">
            <w:pPr>
              <w:jc w:val="center"/>
              <w:rPr>
                <w:rFonts w:cs="Arial"/>
                <w:lang w:val="en-US"/>
              </w:rPr>
            </w:pPr>
          </w:p>
        </w:tc>
      </w:tr>
      <w:tr w:rsidR="00BE50A4" w:rsidTr="002C2972">
        <w:tblPrEx>
          <w:tblCellMar>
            <w:top w:w="0" w:type="dxa"/>
            <w:bottom w:w="0" w:type="dxa"/>
          </w:tblCellMar>
        </w:tblPrEx>
        <w:tc>
          <w:tcPr>
            <w:tcW w:w="7588" w:type="dxa"/>
          </w:tcPr>
          <w:p w:rsidR="00BE50A4" w:rsidRDefault="00BE50A4" w:rsidP="002C2972">
            <w:pPr>
              <w:rPr>
                <w:rFonts w:cs="Arial"/>
                <w:lang w:val="en-US"/>
              </w:rPr>
            </w:pPr>
          </w:p>
        </w:tc>
        <w:tc>
          <w:tcPr>
            <w:tcW w:w="774" w:type="dxa"/>
          </w:tcPr>
          <w:p w:rsidR="00BE50A4" w:rsidRDefault="00BE50A4" w:rsidP="002C2972">
            <w:pPr>
              <w:jc w:val="center"/>
              <w:rPr>
                <w:rFonts w:cs="Arial"/>
                <w:lang w:val="en-US"/>
              </w:rPr>
            </w:pPr>
          </w:p>
        </w:tc>
      </w:tr>
      <w:tr w:rsidR="00BE50A4" w:rsidTr="002C2972">
        <w:tblPrEx>
          <w:tblCellMar>
            <w:top w:w="0" w:type="dxa"/>
            <w:bottom w:w="0" w:type="dxa"/>
          </w:tblCellMar>
        </w:tblPrEx>
        <w:tc>
          <w:tcPr>
            <w:tcW w:w="7588" w:type="dxa"/>
          </w:tcPr>
          <w:p w:rsidR="00BE50A4" w:rsidRDefault="00BE50A4" w:rsidP="00C152D3">
            <w:pPr>
              <w:tabs>
                <w:tab w:val="clear" w:pos="1418"/>
              </w:tabs>
              <w:ind w:left="720" w:hanging="720"/>
              <w:rPr>
                <w:rFonts w:cs="Arial"/>
                <w:b/>
                <w:szCs w:val="28"/>
              </w:rPr>
            </w:pPr>
            <w:r>
              <w:rPr>
                <w:rFonts w:cs="Arial"/>
                <w:b/>
                <w:szCs w:val="28"/>
              </w:rPr>
              <w:t>7</w:t>
            </w:r>
            <w:r>
              <w:rPr>
                <w:rFonts w:cs="Arial" w:hint="eastAsia"/>
                <w:b/>
                <w:szCs w:val="28"/>
              </w:rPr>
              <w:t>.</w:t>
            </w:r>
            <w:r>
              <w:rPr>
                <w:rFonts w:cs="Arial"/>
                <w:b/>
                <w:szCs w:val="28"/>
              </w:rPr>
              <w:tab/>
            </w:r>
            <w:r>
              <w:rPr>
                <w:rFonts w:cs="Arial" w:hint="eastAsia"/>
                <w:b/>
                <w:szCs w:val="28"/>
              </w:rPr>
              <w:t xml:space="preserve">Transfer of records to </w:t>
            </w:r>
            <w:r w:rsidR="004155D6">
              <w:rPr>
                <w:rFonts w:cs="Arial"/>
                <w:b/>
                <w:szCs w:val="28"/>
              </w:rPr>
              <w:t>a</w:t>
            </w:r>
            <w:r>
              <w:rPr>
                <w:rFonts w:cs="Arial" w:hint="eastAsia"/>
                <w:b/>
                <w:szCs w:val="28"/>
              </w:rPr>
              <w:t xml:space="preserve">rchival </w:t>
            </w:r>
            <w:r w:rsidR="004155D6">
              <w:rPr>
                <w:rFonts w:cs="Arial"/>
                <w:b/>
                <w:szCs w:val="28"/>
              </w:rPr>
              <w:t>a</w:t>
            </w:r>
            <w:r>
              <w:rPr>
                <w:rFonts w:cs="Arial" w:hint="eastAsia"/>
                <w:b/>
                <w:szCs w:val="28"/>
              </w:rPr>
              <w:t>uthority</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4</w:t>
            </w:r>
          </w:p>
        </w:tc>
      </w:tr>
      <w:tr w:rsidR="00BE50A4" w:rsidTr="002C2972">
        <w:tblPrEx>
          <w:tblCellMar>
            <w:top w:w="0" w:type="dxa"/>
            <w:bottom w:w="0" w:type="dxa"/>
          </w:tblCellMar>
        </w:tblPrEx>
        <w:tc>
          <w:tcPr>
            <w:tcW w:w="7588" w:type="dxa"/>
          </w:tcPr>
          <w:p w:rsidR="00BE50A4" w:rsidRDefault="00BE50A4" w:rsidP="002C2972">
            <w:pPr>
              <w:rPr>
                <w:rFonts w:cs="Arial"/>
                <w:b/>
                <w:i/>
                <w:szCs w:val="28"/>
              </w:rPr>
            </w:pPr>
          </w:p>
        </w:tc>
        <w:tc>
          <w:tcPr>
            <w:tcW w:w="774" w:type="dxa"/>
          </w:tcPr>
          <w:p w:rsidR="00BE50A4" w:rsidRDefault="00BE50A4" w:rsidP="002C2972">
            <w:pPr>
              <w:jc w:val="center"/>
              <w:rPr>
                <w:rFonts w:cs="Arial"/>
                <w:lang w:val="en-US"/>
              </w:rPr>
            </w:pPr>
          </w:p>
        </w:tc>
      </w:tr>
      <w:tr w:rsidR="00BE50A4" w:rsidTr="002C2972">
        <w:tblPrEx>
          <w:tblCellMar>
            <w:top w:w="0" w:type="dxa"/>
            <w:bottom w:w="0" w:type="dxa"/>
          </w:tblCellMar>
        </w:tblPrEx>
        <w:tc>
          <w:tcPr>
            <w:tcW w:w="7588" w:type="dxa"/>
          </w:tcPr>
          <w:p w:rsidR="00BE50A4" w:rsidRDefault="00BE50A4" w:rsidP="002C2972">
            <w:pPr>
              <w:rPr>
                <w:rFonts w:cs="Arial"/>
                <w:szCs w:val="28"/>
              </w:rPr>
            </w:pPr>
            <w:r>
              <w:rPr>
                <w:rFonts w:cs="Arial" w:hint="eastAsia"/>
                <w:szCs w:val="28"/>
              </w:rPr>
              <w:t>Introduction</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4</w:t>
            </w:r>
          </w:p>
        </w:tc>
      </w:tr>
      <w:tr w:rsidR="00BE50A4" w:rsidTr="002C2972">
        <w:tblPrEx>
          <w:tblCellMar>
            <w:top w:w="0" w:type="dxa"/>
            <w:bottom w:w="0" w:type="dxa"/>
          </w:tblCellMar>
        </w:tblPrEx>
        <w:tc>
          <w:tcPr>
            <w:tcW w:w="7588" w:type="dxa"/>
          </w:tcPr>
          <w:p w:rsidR="00BE50A4" w:rsidRDefault="00BE50A4" w:rsidP="002C2972">
            <w:pPr>
              <w:ind w:left="720"/>
              <w:rPr>
                <w:rFonts w:cs="Arial"/>
                <w:b/>
                <w:i/>
                <w:szCs w:val="28"/>
              </w:rPr>
            </w:pPr>
            <w:r>
              <w:rPr>
                <w:rFonts w:hint="eastAsia"/>
              </w:rPr>
              <w:t>The "30-year Rule" on access</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4</w:t>
            </w:r>
          </w:p>
        </w:tc>
      </w:tr>
      <w:tr w:rsidR="00BE50A4" w:rsidTr="002C2972">
        <w:tblPrEx>
          <w:tblCellMar>
            <w:top w:w="0" w:type="dxa"/>
            <w:bottom w:w="0" w:type="dxa"/>
          </w:tblCellMar>
        </w:tblPrEx>
        <w:tc>
          <w:tcPr>
            <w:tcW w:w="7588" w:type="dxa"/>
          </w:tcPr>
          <w:p w:rsidR="00BE50A4" w:rsidRDefault="00BE50A4" w:rsidP="002C2972">
            <w:pPr>
              <w:ind w:left="720"/>
              <w:rPr>
                <w:rFonts w:hint="eastAsia"/>
              </w:rPr>
            </w:pPr>
            <w:r>
              <w:t>T</w:t>
            </w:r>
            <w:r>
              <w:rPr>
                <w:rFonts w:hint="eastAsia"/>
              </w:rPr>
              <w:t>ransfer</w:t>
            </w:r>
            <w:r>
              <w:t xml:space="preserve"> of records to GRS</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5</w:t>
            </w:r>
          </w:p>
        </w:tc>
      </w:tr>
      <w:tr w:rsidR="00BE50A4" w:rsidTr="002C2972">
        <w:tblPrEx>
          <w:tblCellMar>
            <w:top w:w="0" w:type="dxa"/>
            <w:bottom w:w="0" w:type="dxa"/>
          </w:tblCellMar>
        </w:tblPrEx>
        <w:tc>
          <w:tcPr>
            <w:tcW w:w="7588" w:type="dxa"/>
          </w:tcPr>
          <w:p w:rsidR="00BE50A4" w:rsidRDefault="00BE50A4" w:rsidP="002C2972">
            <w:pPr>
              <w:rPr>
                <w:rFonts w:hint="eastAsia"/>
              </w:rPr>
            </w:pPr>
            <w:r>
              <w:rPr>
                <w:rFonts w:hint="eastAsia"/>
              </w:rPr>
              <w:t>Terminology</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6</w:t>
            </w:r>
          </w:p>
        </w:tc>
      </w:tr>
      <w:tr w:rsidR="00BE50A4" w:rsidTr="002C2972">
        <w:tblPrEx>
          <w:tblCellMar>
            <w:top w:w="0" w:type="dxa"/>
            <w:bottom w:w="0" w:type="dxa"/>
          </w:tblCellMar>
        </w:tblPrEx>
        <w:tc>
          <w:tcPr>
            <w:tcW w:w="7588" w:type="dxa"/>
          </w:tcPr>
          <w:p w:rsidR="00BE50A4" w:rsidRDefault="00BE50A4" w:rsidP="002C2972">
            <w:pPr>
              <w:rPr>
                <w:rFonts w:cs="Arial"/>
                <w:b/>
                <w:i/>
                <w:szCs w:val="28"/>
              </w:rPr>
            </w:pPr>
            <w:r>
              <w:rPr>
                <w:rFonts w:hint="eastAsia"/>
              </w:rPr>
              <w:t>Other jurisdictions</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7</w:t>
            </w:r>
          </w:p>
        </w:tc>
      </w:tr>
      <w:tr w:rsidR="00BE50A4" w:rsidTr="002C2972">
        <w:tblPrEx>
          <w:tblCellMar>
            <w:top w:w="0" w:type="dxa"/>
            <w:bottom w:w="0" w:type="dxa"/>
          </w:tblCellMar>
        </w:tblPrEx>
        <w:tc>
          <w:tcPr>
            <w:tcW w:w="7588" w:type="dxa"/>
          </w:tcPr>
          <w:p w:rsidR="00BE50A4" w:rsidRDefault="00B530A1" w:rsidP="00B530A1">
            <w:pPr>
              <w:ind w:left="720"/>
            </w:pPr>
            <w:r>
              <w:rPr>
                <w:rFonts w:hint="eastAsia"/>
              </w:rPr>
              <w:t xml:space="preserve">Australia </w:t>
            </w:r>
          </w:p>
        </w:tc>
        <w:tc>
          <w:tcPr>
            <w:tcW w:w="774" w:type="dxa"/>
          </w:tcPr>
          <w:p w:rsidR="00BE50A4" w:rsidRDefault="003850FF" w:rsidP="00E6426D">
            <w:pPr>
              <w:jc w:val="center"/>
              <w:rPr>
                <w:rFonts w:cs="Arial"/>
                <w:lang w:val="en-US"/>
              </w:rPr>
            </w:pPr>
            <w:r>
              <w:rPr>
                <w:rFonts w:cs="Arial" w:hint="eastAsia"/>
                <w:lang w:val="en-US"/>
              </w:rPr>
              <w:t>10</w:t>
            </w:r>
            <w:r w:rsidR="00E6426D">
              <w:rPr>
                <w:rFonts w:cs="Arial"/>
                <w:lang w:val="en-US"/>
              </w:rPr>
              <w:t>7</w:t>
            </w:r>
          </w:p>
        </w:tc>
      </w:tr>
      <w:tr w:rsidR="00BE50A4" w:rsidTr="002C2972">
        <w:tblPrEx>
          <w:tblCellMar>
            <w:top w:w="0" w:type="dxa"/>
            <w:bottom w:w="0" w:type="dxa"/>
          </w:tblCellMar>
        </w:tblPrEx>
        <w:tc>
          <w:tcPr>
            <w:tcW w:w="7588" w:type="dxa"/>
          </w:tcPr>
          <w:p w:rsidR="00BE50A4" w:rsidRDefault="00B530A1" w:rsidP="00C152D3">
            <w:pPr>
              <w:ind w:left="720"/>
              <w:rPr>
                <w:rFonts w:cs="Arial"/>
                <w:b/>
                <w:sz w:val="28"/>
                <w:szCs w:val="28"/>
              </w:rPr>
            </w:pPr>
            <w:r>
              <w:rPr>
                <w:rFonts w:hint="eastAsia"/>
              </w:rPr>
              <w:t>England</w:t>
            </w:r>
          </w:p>
        </w:tc>
        <w:tc>
          <w:tcPr>
            <w:tcW w:w="774" w:type="dxa"/>
          </w:tcPr>
          <w:p w:rsidR="00BE50A4" w:rsidRDefault="003850FF" w:rsidP="00B530A1">
            <w:pPr>
              <w:jc w:val="center"/>
              <w:rPr>
                <w:rFonts w:cs="Arial"/>
                <w:lang w:val="en-US"/>
              </w:rPr>
            </w:pPr>
            <w:r>
              <w:rPr>
                <w:rFonts w:cs="Arial" w:hint="eastAsia"/>
                <w:lang w:val="en-US"/>
              </w:rPr>
              <w:t>10</w:t>
            </w:r>
            <w:r w:rsidR="00B530A1">
              <w:rPr>
                <w:rFonts w:cs="Arial"/>
                <w:lang w:val="en-US"/>
              </w:rPr>
              <w:t>8</w:t>
            </w:r>
          </w:p>
        </w:tc>
      </w:tr>
      <w:tr w:rsidR="00BE50A4" w:rsidTr="002C2972">
        <w:tblPrEx>
          <w:tblCellMar>
            <w:top w:w="0" w:type="dxa"/>
            <w:bottom w:w="0" w:type="dxa"/>
          </w:tblCellMar>
        </w:tblPrEx>
        <w:tc>
          <w:tcPr>
            <w:tcW w:w="7588" w:type="dxa"/>
          </w:tcPr>
          <w:p w:rsidR="00BE50A4" w:rsidRDefault="00B530A1" w:rsidP="00B530A1">
            <w:pPr>
              <w:ind w:left="720"/>
              <w:rPr>
                <w:rFonts w:hint="eastAsia"/>
              </w:rPr>
            </w:pPr>
            <w:r>
              <w:rPr>
                <w:rFonts w:hint="eastAsia"/>
              </w:rPr>
              <w:t xml:space="preserve">Ireland </w:t>
            </w:r>
          </w:p>
        </w:tc>
        <w:tc>
          <w:tcPr>
            <w:tcW w:w="774" w:type="dxa"/>
          </w:tcPr>
          <w:p w:rsidR="00BE50A4" w:rsidRDefault="003850FF" w:rsidP="002C2972">
            <w:pPr>
              <w:jc w:val="center"/>
              <w:rPr>
                <w:rFonts w:cs="Arial"/>
                <w:lang w:val="en-US"/>
              </w:rPr>
            </w:pPr>
            <w:r>
              <w:rPr>
                <w:rFonts w:cs="Arial" w:hint="eastAsia"/>
                <w:lang w:val="en-US"/>
              </w:rPr>
              <w:t>1</w:t>
            </w:r>
            <w:r w:rsidR="00E6426D">
              <w:rPr>
                <w:rFonts w:cs="Arial"/>
                <w:lang w:val="en-US"/>
              </w:rPr>
              <w:t>10</w:t>
            </w:r>
          </w:p>
        </w:tc>
      </w:tr>
      <w:tr w:rsidR="00BE50A4" w:rsidTr="002C2972">
        <w:tblPrEx>
          <w:tblCellMar>
            <w:top w:w="0" w:type="dxa"/>
            <w:bottom w:w="0" w:type="dxa"/>
          </w:tblCellMar>
        </w:tblPrEx>
        <w:tc>
          <w:tcPr>
            <w:tcW w:w="7588" w:type="dxa"/>
          </w:tcPr>
          <w:p w:rsidR="00BE50A4" w:rsidRDefault="00B530A1" w:rsidP="002C2972">
            <w:pPr>
              <w:ind w:left="720"/>
              <w:rPr>
                <w:rFonts w:hint="eastAsia"/>
              </w:rPr>
            </w:pPr>
            <w:r>
              <w:rPr>
                <w:rFonts w:hint="eastAsia"/>
              </w:rPr>
              <w:lastRenderedPageBreak/>
              <w:t>New Zealand</w:t>
            </w:r>
          </w:p>
        </w:tc>
        <w:tc>
          <w:tcPr>
            <w:tcW w:w="774" w:type="dxa"/>
          </w:tcPr>
          <w:p w:rsidR="00BE50A4" w:rsidRDefault="003850FF" w:rsidP="002C2972">
            <w:pPr>
              <w:jc w:val="center"/>
              <w:rPr>
                <w:rFonts w:cs="Arial"/>
                <w:lang w:val="en-US"/>
              </w:rPr>
            </w:pPr>
            <w:r>
              <w:rPr>
                <w:rFonts w:cs="Arial" w:hint="eastAsia"/>
                <w:lang w:val="en-US"/>
              </w:rPr>
              <w:t>1</w:t>
            </w:r>
            <w:r w:rsidR="00E6426D">
              <w:rPr>
                <w:rFonts w:cs="Arial"/>
                <w:lang w:val="en-US"/>
              </w:rPr>
              <w:t>11</w:t>
            </w:r>
          </w:p>
        </w:tc>
      </w:tr>
      <w:tr w:rsidR="00BE50A4" w:rsidTr="002C2972">
        <w:tblPrEx>
          <w:tblCellMar>
            <w:top w:w="0" w:type="dxa"/>
            <w:bottom w:w="0" w:type="dxa"/>
          </w:tblCellMar>
        </w:tblPrEx>
        <w:tc>
          <w:tcPr>
            <w:tcW w:w="7588" w:type="dxa"/>
          </w:tcPr>
          <w:p w:rsidR="00BE50A4" w:rsidRDefault="00BE50A4" w:rsidP="002C2972">
            <w:pPr>
              <w:ind w:left="720"/>
              <w:rPr>
                <w:rFonts w:hint="eastAsia"/>
              </w:rPr>
            </w:pPr>
            <w:r>
              <w:rPr>
                <w:rFonts w:hint="eastAsia"/>
              </w:rPr>
              <w:t>Singapore</w:t>
            </w:r>
          </w:p>
        </w:tc>
        <w:tc>
          <w:tcPr>
            <w:tcW w:w="774" w:type="dxa"/>
          </w:tcPr>
          <w:p w:rsidR="00BE50A4" w:rsidRDefault="003850FF" w:rsidP="002C2972">
            <w:pPr>
              <w:jc w:val="center"/>
              <w:rPr>
                <w:rFonts w:cs="Arial"/>
                <w:lang w:val="en-US"/>
              </w:rPr>
            </w:pPr>
            <w:r>
              <w:rPr>
                <w:rFonts w:cs="Arial" w:hint="eastAsia"/>
                <w:lang w:val="en-US"/>
              </w:rPr>
              <w:t>11</w:t>
            </w:r>
            <w:r w:rsidR="00E6426D">
              <w:rPr>
                <w:rFonts w:cs="Arial"/>
                <w:lang w:val="en-US"/>
              </w:rPr>
              <w:t>2</w:t>
            </w:r>
          </w:p>
        </w:tc>
      </w:tr>
      <w:tr w:rsidR="00BE50A4" w:rsidTr="002C2972">
        <w:tblPrEx>
          <w:tblCellMar>
            <w:top w:w="0" w:type="dxa"/>
            <w:bottom w:w="0" w:type="dxa"/>
          </w:tblCellMar>
        </w:tblPrEx>
        <w:tc>
          <w:tcPr>
            <w:tcW w:w="7588" w:type="dxa"/>
          </w:tcPr>
          <w:p w:rsidR="00BE50A4" w:rsidRDefault="00BE50A4" w:rsidP="002C2972">
            <w:pPr>
              <w:rPr>
                <w:rFonts w:cs="Arial"/>
                <w:b/>
                <w:sz w:val="28"/>
                <w:szCs w:val="28"/>
              </w:rPr>
            </w:pPr>
            <w:r>
              <w:rPr>
                <w:rFonts w:hint="eastAsia"/>
              </w:rPr>
              <w:t>Our observations</w:t>
            </w:r>
          </w:p>
        </w:tc>
        <w:tc>
          <w:tcPr>
            <w:tcW w:w="774" w:type="dxa"/>
          </w:tcPr>
          <w:p w:rsidR="00BE50A4" w:rsidRDefault="003850FF" w:rsidP="002C2972">
            <w:pPr>
              <w:jc w:val="center"/>
              <w:rPr>
                <w:rFonts w:cs="Arial"/>
                <w:lang w:val="en-US"/>
              </w:rPr>
            </w:pPr>
            <w:r>
              <w:rPr>
                <w:rFonts w:cs="Arial" w:hint="eastAsia"/>
                <w:lang w:val="en-US"/>
              </w:rPr>
              <w:t>11</w:t>
            </w:r>
            <w:r w:rsidR="00E6426D">
              <w:rPr>
                <w:rFonts w:cs="Arial"/>
                <w:lang w:val="en-US"/>
              </w:rPr>
              <w:t>3</w:t>
            </w:r>
          </w:p>
        </w:tc>
      </w:tr>
      <w:tr w:rsidR="00BE50A4" w:rsidTr="002C2972">
        <w:tblPrEx>
          <w:tblCellMar>
            <w:top w:w="0" w:type="dxa"/>
            <w:bottom w:w="0" w:type="dxa"/>
          </w:tblCellMar>
        </w:tblPrEx>
        <w:tc>
          <w:tcPr>
            <w:tcW w:w="7588" w:type="dxa"/>
          </w:tcPr>
          <w:p w:rsidR="00BE50A4" w:rsidRDefault="00BE50A4" w:rsidP="002C2972">
            <w:r>
              <w:t xml:space="preserve">Issues for </w:t>
            </w:r>
            <w:r>
              <w:rPr>
                <w:rFonts w:hint="eastAsia"/>
              </w:rPr>
              <w:t>p</w:t>
            </w:r>
            <w:r>
              <w:t xml:space="preserve">ublic </w:t>
            </w:r>
            <w:r>
              <w:rPr>
                <w:rFonts w:hint="eastAsia"/>
              </w:rPr>
              <w:t>c</w:t>
            </w:r>
            <w:r>
              <w:t>onsultation</w:t>
            </w:r>
          </w:p>
        </w:tc>
        <w:tc>
          <w:tcPr>
            <w:tcW w:w="774" w:type="dxa"/>
          </w:tcPr>
          <w:p w:rsidR="00BE50A4" w:rsidRDefault="003850FF" w:rsidP="002C2972">
            <w:pPr>
              <w:jc w:val="center"/>
              <w:rPr>
                <w:rFonts w:cs="Arial"/>
                <w:lang w:val="en-US"/>
              </w:rPr>
            </w:pPr>
            <w:r>
              <w:rPr>
                <w:rFonts w:cs="Arial" w:hint="eastAsia"/>
                <w:lang w:val="en-US"/>
              </w:rPr>
              <w:t>11</w:t>
            </w:r>
            <w:r w:rsidR="00E6426D">
              <w:rPr>
                <w:rFonts w:cs="Arial"/>
                <w:lang w:val="en-US"/>
              </w:rPr>
              <w:t>4</w:t>
            </w:r>
          </w:p>
        </w:tc>
      </w:tr>
      <w:tr w:rsidR="005961E6">
        <w:tblPrEx>
          <w:tblCellMar>
            <w:top w:w="0" w:type="dxa"/>
            <w:bottom w:w="0" w:type="dxa"/>
          </w:tblCellMar>
        </w:tblPrEx>
        <w:tc>
          <w:tcPr>
            <w:tcW w:w="7588" w:type="dxa"/>
          </w:tcPr>
          <w:p w:rsidR="005961E6" w:rsidRDefault="005961E6">
            <w:pPr>
              <w:rPr>
                <w:rFonts w:cs="Arial"/>
                <w:b/>
                <w:i/>
                <w:szCs w:val="28"/>
              </w:rPr>
            </w:pPr>
          </w:p>
        </w:tc>
        <w:tc>
          <w:tcPr>
            <w:tcW w:w="774" w:type="dxa"/>
          </w:tcPr>
          <w:p w:rsidR="005961E6" w:rsidRDefault="005961E6">
            <w:pPr>
              <w:jc w:val="center"/>
              <w:rPr>
                <w:rFonts w:cs="Arial"/>
                <w:lang w:val="en-US"/>
              </w:rPr>
            </w:pPr>
          </w:p>
        </w:tc>
      </w:tr>
      <w:tr w:rsidR="00BE50A4">
        <w:tblPrEx>
          <w:tblCellMar>
            <w:top w:w="0" w:type="dxa"/>
            <w:bottom w:w="0" w:type="dxa"/>
          </w:tblCellMar>
        </w:tblPrEx>
        <w:tc>
          <w:tcPr>
            <w:tcW w:w="7588" w:type="dxa"/>
          </w:tcPr>
          <w:p w:rsidR="00BE50A4" w:rsidRDefault="00BE50A4">
            <w:pPr>
              <w:rPr>
                <w:rFonts w:cs="Arial"/>
                <w:b/>
                <w:i/>
                <w:szCs w:val="28"/>
              </w:rPr>
            </w:pPr>
          </w:p>
        </w:tc>
        <w:tc>
          <w:tcPr>
            <w:tcW w:w="774" w:type="dxa"/>
          </w:tcPr>
          <w:p w:rsidR="00BE50A4" w:rsidRDefault="00BE50A4">
            <w:pPr>
              <w:jc w:val="center"/>
              <w:rPr>
                <w:rFonts w:cs="Arial"/>
                <w:lang w:val="en-US"/>
              </w:rPr>
            </w:pPr>
          </w:p>
        </w:tc>
      </w:tr>
      <w:tr w:rsidR="005961E6">
        <w:tblPrEx>
          <w:tblCellMar>
            <w:top w:w="0" w:type="dxa"/>
            <w:bottom w:w="0" w:type="dxa"/>
          </w:tblCellMar>
        </w:tblPrEx>
        <w:tc>
          <w:tcPr>
            <w:tcW w:w="7588" w:type="dxa"/>
          </w:tcPr>
          <w:p w:rsidR="005961E6" w:rsidRDefault="00BE50A4" w:rsidP="00A723E5">
            <w:pPr>
              <w:tabs>
                <w:tab w:val="left" w:pos="720"/>
              </w:tabs>
              <w:ind w:left="720" w:right="332" w:hanging="720"/>
              <w:jc w:val="left"/>
              <w:rPr>
                <w:rFonts w:cs="Arial"/>
                <w:b/>
                <w:szCs w:val="28"/>
              </w:rPr>
            </w:pPr>
            <w:r>
              <w:rPr>
                <w:rFonts w:cs="Arial"/>
                <w:b/>
                <w:szCs w:val="28"/>
              </w:rPr>
              <w:t>8</w:t>
            </w:r>
            <w:r w:rsidR="005961E6">
              <w:rPr>
                <w:rFonts w:cs="Arial" w:hint="eastAsia"/>
                <w:b/>
                <w:szCs w:val="28"/>
              </w:rPr>
              <w:t>.</w:t>
            </w:r>
            <w:r w:rsidR="005961E6">
              <w:rPr>
                <w:rFonts w:cs="Arial"/>
                <w:b/>
                <w:szCs w:val="28"/>
              </w:rPr>
              <w:tab/>
            </w:r>
            <w:r w:rsidR="005961E6">
              <w:rPr>
                <w:b/>
              </w:rPr>
              <w:t xml:space="preserve">Compliance </w:t>
            </w:r>
            <w:r w:rsidR="005961E6">
              <w:rPr>
                <w:rFonts w:cs="Arial"/>
                <w:b/>
                <w:shd w:val="clear" w:color="auto" w:fill="FFFFFF"/>
              </w:rPr>
              <w:t>framework</w:t>
            </w:r>
            <w:r w:rsidR="005961E6">
              <w:rPr>
                <w:b/>
              </w:rPr>
              <w:t xml:space="preserve"> of </w:t>
            </w:r>
            <w:r w:rsidR="004D6780">
              <w:rPr>
                <w:b/>
              </w:rPr>
              <w:t xml:space="preserve">public </w:t>
            </w:r>
            <w:r w:rsidR="005961E6">
              <w:rPr>
                <w:b/>
              </w:rPr>
              <w:t>records management regime</w:t>
            </w:r>
          </w:p>
        </w:tc>
        <w:tc>
          <w:tcPr>
            <w:tcW w:w="774" w:type="dxa"/>
          </w:tcPr>
          <w:p w:rsidR="005961E6" w:rsidRDefault="003850FF" w:rsidP="002E7393">
            <w:pPr>
              <w:jc w:val="center"/>
              <w:rPr>
                <w:rFonts w:cs="Arial"/>
              </w:rPr>
            </w:pPr>
            <w:r>
              <w:rPr>
                <w:rFonts w:cs="Arial" w:hint="eastAsia"/>
              </w:rPr>
              <w:t>11</w:t>
            </w:r>
            <w:r w:rsidR="002E7393">
              <w:rPr>
                <w:rFonts w:cs="Arial"/>
              </w:rPr>
              <w:t>5</w:t>
            </w:r>
          </w:p>
        </w:tc>
      </w:tr>
      <w:tr w:rsidR="005961E6">
        <w:tblPrEx>
          <w:tblCellMar>
            <w:top w:w="0" w:type="dxa"/>
            <w:bottom w:w="0" w:type="dxa"/>
          </w:tblCellMar>
        </w:tblPrEx>
        <w:tc>
          <w:tcPr>
            <w:tcW w:w="7588" w:type="dxa"/>
          </w:tcPr>
          <w:p w:rsidR="005961E6" w:rsidRDefault="005961E6">
            <w:pPr>
              <w:rPr>
                <w:rFonts w:cs="Arial"/>
                <w:b/>
                <w:i/>
                <w:szCs w:val="28"/>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rPr>
                <w:rFonts w:cs="Arial"/>
              </w:rPr>
            </w:pPr>
            <w:r>
              <w:rPr>
                <w:rFonts w:cs="Arial"/>
                <w:lang w:val="en-US"/>
              </w:rPr>
              <w:t>Introduction</w:t>
            </w:r>
          </w:p>
        </w:tc>
        <w:tc>
          <w:tcPr>
            <w:tcW w:w="774" w:type="dxa"/>
          </w:tcPr>
          <w:p w:rsidR="005961E6" w:rsidRDefault="003850FF">
            <w:pPr>
              <w:jc w:val="center"/>
              <w:rPr>
                <w:rFonts w:cs="Arial"/>
                <w:lang w:val="en-US"/>
              </w:rPr>
            </w:pPr>
            <w:r>
              <w:rPr>
                <w:rFonts w:cs="Arial" w:hint="eastAsia"/>
                <w:lang w:val="en-US"/>
              </w:rPr>
              <w:t>11</w:t>
            </w:r>
            <w:r w:rsidR="002E7393">
              <w:rPr>
                <w:rFonts w:cs="Arial"/>
                <w:lang w:val="en-US"/>
              </w:rPr>
              <w:t>5</w:t>
            </w:r>
          </w:p>
        </w:tc>
      </w:tr>
      <w:tr w:rsidR="005961E6">
        <w:tblPrEx>
          <w:tblCellMar>
            <w:top w:w="0" w:type="dxa"/>
            <w:bottom w:w="0" w:type="dxa"/>
          </w:tblCellMar>
        </w:tblPrEx>
        <w:trPr>
          <w:trHeight w:val="225"/>
        </w:trPr>
        <w:tc>
          <w:tcPr>
            <w:tcW w:w="7588" w:type="dxa"/>
          </w:tcPr>
          <w:p w:rsidR="005961E6" w:rsidRDefault="005961E6">
            <w:pPr>
              <w:tabs>
                <w:tab w:val="clear" w:pos="1418"/>
              </w:tabs>
              <w:rPr>
                <w:rFonts w:hint="eastAsia"/>
              </w:rPr>
            </w:pPr>
            <w:r>
              <w:rPr>
                <w:rFonts w:hint="eastAsia"/>
              </w:rPr>
              <w:t>(I)</w:t>
            </w:r>
            <w:r>
              <w:tab/>
            </w:r>
            <w:r>
              <w:rPr>
                <w:rFonts w:hint="eastAsia"/>
              </w:rPr>
              <w:t>Regulating compliance under an administrative framework</w:t>
            </w:r>
          </w:p>
        </w:tc>
        <w:tc>
          <w:tcPr>
            <w:tcW w:w="774" w:type="dxa"/>
          </w:tcPr>
          <w:p w:rsidR="005961E6" w:rsidRDefault="002E7393" w:rsidP="002E7393">
            <w:pPr>
              <w:jc w:val="center"/>
              <w:rPr>
                <w:rFonts w:cs="Arial"/>
                <w:lang w:val="en-US"/>
              </w:rPr>
            </w:pPr>
            <w:r>
              <w:rPr>
                <w:rFonts w:cs="Arial" w:hint="eastAsia"/>
                <w:lang w:val="en-US"/>
              </w:rPr>
              <w:t>1</w:t>
            </w:r>
            <w:r>
              <w:rPr>
                <w:rFonts w:cs="Arial"/>
                <w:lang w:val="en-US"/>
              </w:rPr>
              <w:t>15</w:t>
            </w:r>
          </w:p>
        </w:tc>
      </w:tr>
      <w:tr w:rsidR="005961E6">
        <w:tblPrEx>
          <w:tblCellMar>
            <w:top w:w="0" w:type="dxa"/>
            <w:bottom w:w="0" w:type="dxa"/>
          </w:tblCellMar>
        </w:tblPrEx>
        <w:tc>
          <w:tcPr>
            <w:tcW w:w="7588" w:type="dxa"/>
          </w:tcPr>
          <w:p w:rsidR="005961E6" w:rsidRDefault="005961E6" w:rsidP="00C152D3">
            <w:pPr>
              <w:tabs>
                <w:tab w:val="clear" w:pos="1418"/>
              </w:tabs>
              <w:ind w:left="720"/>
              <w:rPr>
                <w:rFonts w:cs="Arial"/>
              </w:rPr>
            </w:pPr>
            <w:r>
              <w:t xml:space="preserve">Government's stance or response to </w:t>
            </w:r>
            <w:r w:rsidR="0070136F">
              <w:rPr>
                <w:rFonts w:hint="eastAsia"/>
              </w:rPr>
              <w:t>comments</w:t>
            </w:r>
          </w:p>
        </w:tc>
        <w:tc>
          <w:tcPr>
            <w:tcW w:w="774" w:type="dxa"/>
          </w:tcPr>
          <w:p w:rsidR="005961E6" w:rsidRDefault="003850FF" w:rsidP="002E7393">
            <w:pPr>
              <w:jc w:val="center"/>
              <w:rPr>
                <w:rFonts w:cs="Arial"/>
                <w:lang w:val="en-US"/>
              </w:rPr>
            </w:pPr>
            <w:r>
              <w:rPr>
                <w:rFonts w:cs="Arial" w:hint="eastAsia"/>
                <w:lang w:val="en-US"/>
              </w:rPr>
              <w:t>11</w:t>
            </w:r>
            <w:r w:rsidR="002E7393">
              <w:rPr>
                <w:rFonts w:cs="Arial"/>
                <w:lang w:val="en-US"/>
              </w:rPr>
              <w:t>6</w:t>
            </w:r>
          </w:p>
        </w:tc>
      </w:tr>
      <w:tr w:rsidR="005961E6">
        <w:tblPrEx>
          <w:tblCellMar>
            <w:top w:w="0" w:type="dxa"/>
            <w:bottom w:w="0" w:type="dxa"/>
          </w:tblCellMar>
        </w:tblPrEx>
        <w:tc>
          <w:tcPr>
            <w:tcW w:w="7588" w:type="dxa"/>
          </w:tcPr>
          <w:p w:rsidR="005961E6" w:rsidRDefault="005961E6" w:rsidP="006E2867">
            <w:pPr>
              <w:tabs>
                <w:tab w:val="clear" w:pos="1418"/>
              </w:tabs>
              <w:ind w:left="720"/>
              <w:rPr>
                <w:rFonts w:cs="Arial"/>
              </w:rPr>
            </w:pPr>
            <w:r>
              <w:rPr>
                <w:rFonts w:hint="eastAsia"/>
              </w:rPr>
              <w:t>Law and practice</w:t>
            </w:r>
            <w:r>
              <w:t xml:space="preserve"> in other jurisdictions</w:t>
            </w:r>
          </w:p>
        </w:tc>
        <w:tc>
          <w:tcPr>
            <w:tcW w:w="774" w:type="dxa"/>
          </w:tcPr>
          <w:p w:rsidR="005961E6" w:rsidRDefault="003850FF" w:rsidP="002E7393">
            <w:pPr>
              <w:jc w:val="center"/>
              <w:rPr>
                <w:rFonts w:cs="Arial"/>
                <w:lang w:val="en-US"/>
              </w:rPr>
            </w:pPr>
            <w:r>
              <w:rPr>
                <w:rFonts w:cs="Arial" w:hint="eastAsia"/>
                <w:lang w:val="en-US"/>
              </w:rPr>
              <w:t>11</w:t>
            </w:r>
            <w:r w:rsidR="002E7393">
              <w:rPr>
                <w:rFonts w:cs="Arial"/>
                <w:lang w:val="en-US"/>
              </w:rPr>
              <w:t>8</w:t>
            </w:r>
          </w:p>
        </w:tc>
      </w:tr>
      <w:tr w:rsidR="005961E6">
        <w:tblPrEx>
          <w:tblCellMar>
            <w:top w:w="0" w:type="dxa"/>
            <w:bottom w:w="0" w:type="dxa"/>
          </w:tblCellMar>
        </w:tblPrEx>
        <w:tc>
          <w:tcPr>
            <w:tcW w:w="7588" w:type="dxa"/>
          </w:tcPr>
          <w:p w:rsidR="005961E6" w:rsidRDefault="005961E6" w:rsidP="00C152D3">
            <w:pPr>
              <w:tabs>
                <w:tab w:val="clear" w:pos="1418"/>
              </w:tabs>
              <w:ind w:left="720" w:hanging="720"/>
              <w:jc w:val="left"/>
              <w:rPr>
                <w:rFonts w:cs="Arial"/>
              </w:rPr>
            </w:pPr>
            <w:r>
              <w:t xml:space="preserve">(II) </w:t>
            </w:r>
            <w:r>
              <w:tab/>
            </w:r>
            <w:r>
              <w:rPr>
                <w:rFonts w:hint="eastAsia"/>
              </w:rPr>
              <w:t>Power to inspect records and audit records management practices</w:t>
            </w:r>
          </w:p>
        </w:tc>
        <w:tc>
          <w:tcPr>
            <w:tcW w:w="774" w:type="dxa"/>
          </w:tcPr>
          <w:p w:rsidR="005961E6" w:rsidRDefault="003850FF" w:rsidP="002E7393">
            <w:pPr>
              <w:jc w:val="center"/>
              <w:rPr>
                <w:rFonts w:cs="Arial"/>
                <w:lang w:val="en-US"/>
              </w:rPr>
            </w:pPr>
            <w:r>
              <w:rPr>
                <w:rFonts w:cs="Arial" w:hint="eastAsia"/>
                <w:lang w:val="en-US"/>
              </w:rPr>
              <w:t>12</w:t>
            </w:r>
            <w:r w:rsidR="002E7393">
              <w:rPr>
                <w:rFonts w:cs="Arial"/>
                <w:lang w:val="en-US"/>
              </w:rPr>
              <w:t>4</w:t>
            </w:r>
          </w:p>
        </w:tc>
      </w:tr>
      <w:tr w:rsidR="005961E6">
        <w:tblPrEx>
          <w:tblCellMar>
            <w:top w:w="0" w:type="dxa"/>
            <w:bottom w:w="0" w:type="dxa"/>
          </w:tblCellMar>
        </w:tblPrEx>
        <w:tc>
          <w:tcPr>
            <w:tcW w:w="7588" w:type="dxa"/>
          </w:tcPr>
          <w:p w:rsidR="005961E6" w:rsidRDefault="005961E6" w:rsidP="00C152D3">
            <w:pPr>
              <w:ind w:left="720"/>
              <w:rPr>
                <w:rFonts w:cs="Arial"/>
              </w:rPr>
            </w:pPr>
            <w:r>
              <w:t xml:space="preserve">Government's stance or response to </w:t>
            </w:r>
            <w:r w:rsidR="001F7D94">
              <w:rPr>
                <w:rFonts w:hint="eastAsia"/>
              </w:rPr>
              <w:t>comments</w:t>
            </w:r>
          </w:p>
        </w:tc>
        <w:tc>
          <w:tcPr>
            <w:tcW w:w="774" w:type="dxa"/>
          </w:tcPr>
          <w:p w:rsidR="005961E6" w:rsidRDefault="003850FF" w:rsidP="002E7393">
            <w:pPr>
              <w:jc w:val="center"/>
              <w:rPr>
                <w:rFonts w:cs="Arial"/>
                <w:lang w:val="en-US"/>
              </w:rPr>
            </w:pPr>
            <w:r>
              <w:rPr>
                <w:rFonts w:cs="Arial" w:hint="eastAsia"/>
                <w:lang w:val="en-US"/>
              </w:rPr>
              <w:t>12</w:t>
            </w:r>
            <w:r w:rsidR="002E7393">
              <w:rPr>
                <w:rFonts w:cs="Arial"/>
                <w:lang w:val="en-US"/>
              </w:rPr>
              <w:t>5</w:t>
            </w:r>
          </w:p>
        </w:tc>
      </w:tr>
      <w:tr w:rsidR="005961E6">
        <w:tblPrEx>
          <w:tblCellMar>
            <w:top w:w="0" w:type="dxa"/>
            <w:bottom w:w="0" w:type="dxa"/>
          </w:tblCellMar>
        </w:tblPrEx>
        <w:tc>
          <w:tcPr>
            <w:tcW w:w="7588" w:type="dxa"/>
          </w:tcPr>
          <w:p w:rsidR="005961E6" w:rsidRDefault="005961E6" w:rsidP="006E2867">
            <w:pPr>
              <w:ind w:left="720"/>
              <w:rPr>
                <w:rFonts w:cs="Arial"/>
              </w:rPr>
            </w:pPr>
            <w:r>
              <w:rPr>
                <w:rFonts w:hint="eastAsia"/>
              </w:rPr>
              <w:t>Law and practice in other</w:t>
            </w:r>
            <w:r>
              <w:t xml:space="preserve"> jurisdictions</w:t>
            </w:r>
          </w:p>
        </w:tc>
        <w:tc>
          <w:tcPr>
            <w:tcW w:w="774" w:type="dxa"/>
          </w:tcPr>
          <w:p w:rsidR="005961E6" w:rsidRDefault="003850FF">
            <w:pPr>
              <w:jc w:val="center"/>
              <w:rPr>
                <w:rFonts w:cs="Arial"/>
                <w:lang w:val="en-US"/>
              </w:rPr>
            </w:pPr>
            <w:r>
              <w:rPr>
                <w:rFonts w:cs="Arial" w:hint="eastAsia"/>
                <w:lang w:val="en-US"/>
              </w:rPr>
              <w:t>12</w:t>
            </w:r>
            <w:r w:rsidR="002E7393">
              <w:rPr>
                <w:rFonts w:cs="Arial"/>
                <w:lang w:val="en-US"/>
              </w:rPr>
              <w:t>8</w:t>
            </w:r>
          </w:p>
        </w:tc>
      </w:tr>
      <w:tr w:rsidR="005961E6">
        <w:tblPrEx>
          <w:tblCellMar>
            <w:top w:w="0" w:type="dxa"/>
            <w:bottom w:w="0" w:type="dxa"/>
          </w:tblCellMar>
        </w:tblPrEx>
        <w:tc>
          <w:tcPr>
            <w:tcW w:w="7588" w:type="dxa"/>
          </w:tcPr>
          <w:p w:rsidR="005961E6" w:rsidRDefault="005961E6">
            <w:pPr>
              <w:pStyle w:val="Heading2"/>
              <w:tabs>
                <w:tab w:val="clear" w:pos="1418"/>
              </w:tabs>
              <w:rPr>
                <w:rFonts w:cs="Arial"/>
                <w:b w:val="0"/>
                <w:sz w:val="24"/>
              </w:rPr>
            </w:pPr>
            <w:r>
              <w:rPr>
                <w:b w:val="0"/>
                <w:sz w:val="24"/>
              </w:rPr>
              <w:t>(I</w:t>
            </w:r>
            <w:r>
              <w:rPr>
                <w:rFonts w:hint="eastAsia"/>
                <w:b w:val="0"/>
                <w:sz w:val="24"/>
              </w:rPr>
              <w:t>II</w:t>
            </w:r>
            <w:r>
              <w:rPr>
                <w:b w:val="0"/>
                <w:sz w:val="24"/>
              </w:rPr>
              <w:t>)</w:t>
            </w:r>
            <w:r>
              <w:rPr>
                <w:rFonts w:hint="eastAsia"/>
                <w:b w:val="0"/>
                <w:sz w:val="24"/>
              </w:rPr>
              <w:tab/>
            </w:r>
            <w:r>
              <w:rPr>
                <w:b w:val="0"/>
                <w:sz w:val="24"/>
              </w:rPr>
              <w:t xml:space="preserve">Handling of </w:t>
            </w:r>
            <w:r>
              <w:rPr>
                <w:rFonts w:hint="eastAsia"/>
                <w:b w:val="0"/>
                <w:sz w:val="24"/>
              </w:rPr>
              <w:t>l</w:t>
            </w:r>
            <w:r>
              <w:rPr>
                <w:b w:val="0"/>
                <w:sz w:val="24"/>
              </w:rPr>
              <w:t xml:space="preserve">oss or </w:t>
            </w:r>
            <w:r>
              <w:rPr>
                <w:rFonts w:hint="eastAsia"/>
                <w:b w:val="0"/>
                <w:sz w:val="24"/>
              </w:rPr>
              <w:t>u</w:t>
            </w:r>
            <w:r>
              <w:rPr>
                <w:b w:val="0"/>
                <w:sz w:val="24"/>
              </w:rPr>
              <w:t xml:space="preserve">nauthorised </w:t>
            </w:r>
            <w:r>
              <w:rPr>
                <w:rFonts w:hint="eastAsia"/>
                <w:b w:val="0"/>
                <w:sz w:val="24"/>
              </w:rPr>
              <w:t>d</w:t>
            </w:r>
            <w:r>
              <w:rPr>
                <w:b w:val="0"/>
                <w:sz w:val="24"/>
              </w:rPr>
              <w:t xml:space="preserve">estruction of </w:t>
            </w:r>
            <w:r>
              <w:rPr>
                <w:rFonts w:hint="eastAsia"/>
                <w:b w:val="0"/>
                <w:sz w:val="24"/>
              </w:rPr>
              <w:t>r</w:t>
            </w:r>
            <w:r>
              <w:rPr>
                <w:b w:val="0"/>
                <w:sz w:val="24"/>
              </w:rPr>
              <w:t>ecords</w:t>
            </w:r>
          </w:p>
        </w:tc>
        <w:tc>
          <w:tcPr>
            <w:tcW w:w="774" w:type="dxa"/>
          </w:tcPr>
          <w:p w:rsidR="005961E6" w:rsidRDefault="003850FF" w:rsidP="002E7393">
            <w:pPr>
              <w:jc w:val="center"/>
              <w:rPr>
                <w:rFonts w:cs="Arial"/>
              </w:rPr>
            </w:pPr>
            <w:r>
              <w:rPr>
                <w:rFonts w:cs="Arial" w:hint="eastAsia"/>
              </w:rPr>
              <w:t>1</w:t>
            </w:r>
            <w:r w:rsidR="002E7393">
              <w:rPr>
                <w:rFonts w:cs="Arial"/>
              </w:rPr>
              <w:t>31</w:t>
            </w:r>
          </w:p>
        </w:tc>
      </w:tr>
      <w:tr w:rsidR="005961E6">
        <w:tblPrEx>
          <w:tblCellMar>
            <w:top w:w="0" w:type="dxa"/>
            <w:bottom w:w="0" w:type="dxa"/>
          </w:tblCellMar>
        </w:tblPrEx>
        <w:tc>
          <w:tcPr>
            <w:tcW w:w="7588" w:type="dxa"/>
          </w:tcPr>
          <w:p w:rsidR="005961E6" w:rsidRDefault="005961E6" w:rsidP="00C152D3">
            <w:pPr>
              <w:ind w:left="720"/>
              <w:rPr>
                <w:rFonts w:cs="Arial"/>
                <w:b/>
                <w:i/>
              </w:rPr>
            </w:pPr>
            <w:r>
              <w:t xml:space="preserve">Government's stance or response to </w:t>
            </w:r>
            <w:r w:rsidR="001F7D94">
              <w:rPr>
                <w:rFonts w:hint="eastAsia"/>
              </w:rPr>
              <w:t>comments</w:t>
            </w:r>
          </w:p>
        </w:tc>
        <w:tc>
          <w:tcPr>
            <w:tcW w:w="774" w:type="dxa"/>
          </w:tcPr>
          <w:p w:rsidR="005961E6" w:rsidRDefault="003850FF" w:rsidP="002E7393">
            <w:pPr>
              <w:jc w:val="center"/>
              <w:rPr>
                <w:rFonts w:cs="Arial"/>
                <w:lang w:val="en-US"/>
              </w:rPr>
            </w:pPr>
            <w:r>
              <w:rPr>
                <w:rFonts w:cs="Arial" w:hint="eastAsia"/>
                <w:lang w:val="en-US"/>
              </w:rPr>
              <w:t>13</w:t>
            </w:r>
            <w:r w:rsidR="002E7393">
              <w:rPr>
                <w:rFonts w:cs="Arial"/>
                <w:lang w:val="en-US"/>
              </w:rPr>
              <w:t>2</w:t>
            </w:r>
          </w:p>
        </w:tc>
      </w:tr>
      <w:tr w:rsidR="005961E6">
        <w:tblPrEx>
          <w:tblCellMar>
            <w:top w:w="0" w:type="dxa"/>
            <w:bottom w:w="0" w:type="dxa"/>
          </w:tblCellMar>
        </w:tblPrEx>
        <w:tc>
          <w:tcPr>
            <w:tcW w:w="7588" w:type="dxa"/>
          </w:tcPr>
          <w:p w:rsidR="005961E6" w:rsidRDefault="005961E6" w:rsidP="006E2867">
            <w:pPr>
              <w:ind w:left="720"/>
            </w:pPr>
            <w:r>
              <w:rPr>
                <w:rFonts w:hint="eastAsia"/>
              </w:rPr>
              <w:t>Law and practice in other</w:t>
            </w:r>
            <w:r>
              <w:t xml:space="preserve"> jurisdictions</w:t>
            </w:r>
          </w:p>
        </w:tc>
        <w:tc>
          <w:tcPr>
            <w:tcW w:w="774" w:type="dxa"/>
          </w:tcPr>
          <w:p w:rsidR="005961E6" w:rsidRDefault="003850FF" w:rsidP="002E7393">
            <w:pPr>
              <w:jc w:val="center"/>
              <w:rPr>
                <w:rFonts w:cs="Arial"/>
              </w:rPr>
            </w:pPr>
            <w:r>
              <w:rPr>
                <w:rFonts w:cs="Arial" w:hint="eastAsia"/>
              </w:rPr>
              <w:t>13</w:t>
            </w:r>
            <w:r w:rsidR="002E7393">
              <w:rPr>
                <w:rFonts w:cs="Arial"/>
              </w:rPr>
              <w:t>4</w:t>
            </w:r>
          </w:p>
        </w:tc>
      </w:tr>
      <w:tr w:rsidR="005961E6">
        <w:tblPrEx>
          <w:tblCellMar>
            <w:top w:w="0" w:type="dxa"/>
            <w:bottom w:w="0" w:type="dxa"/>
          </w:tblCellMar>
        </w:tblPrEx>
        <w:tc>
          <w:tcPr>
            <w:tcW w:w="7588" w:type="dxa"/>
          </w:tcPr>
          <w:p w:rsidR="005961E6" w:rsidRDefault="00BE50A4">
            <w:pPr>
              <w:rPr>
                <w:rFonts w:cs="Arial"/>
                <w:i/>
              </w:rPr>
            </w:pPr>
            <w:r>
              <w:t>Our provisional views</w:t>
            </w:r>
          </w:p>
        </w:tc>
        <w:tc>
          <w:tcPr>
            <w:tcW w:w="774" w:type="dxa"/>
          </w:tcPr>
          <w:p w:rsidR="005961E6" w:rsidRDefault="003850FF" w:rsidP="002E7393">
            <w:pPr>
              <w:jc w:val="center"/>
              <w:rPr>
                <w:rFonts w:cs="Arial"/>
                <w:lang w:val="en-US"/>
              </w:rPr>
            </w:pPr>
            <w:r>
              <w:rPr>
                <w:rFonts w:cs="Arial" w:hint="eastAsia"/>
                <w:lang w:val="en-US"/>
              </w:rPr>
              <w:t>13</w:t>
            </w:r>
            <w:r w:rsidR="002E7393">
              <w:rPr>
                <w:rFonts w:cs="Arial"/>
                <w:lang w:val="en-US"/>
              </w:rPr>
              <w:t>7</w:t>
            </w:r>
          </w:p>
        </w:tc>
      </w:tr>
      <w:tr w:rsidR="005961E6">
        <w:tblPrEx>
          <w:tblCellMar>
            <w:top w:w="0" w:type="dxa"/>
            <w:bottom w:w="0" w:type="dxa"/>
          </w:tblCellMar>
        </w:tblPrEx>
        <w:tc>
          <w:tcPr>
            <w:tcW w:w="7588" w:type="dxa"/>
          </w:tcPr>
          <w:p w:rsidR="005961E6" w:rsidRDefault="005961E6">
            <w:pPr>
              <w:rPr>
                <w:rFonts w:cs="Arial"/>
                <w:b/>
                <w:i/>
                <w:szCs w:val="28"/>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5961E6">
            <w:pPr>
              <w:rPr>
                <w:rFonts w:cs="Arial"/>
                <w:b/>
                <w:i/>
                <w:szCs w:val="28"/>
              </w:rPr>
            </w:pPr>
          </w:p>
        </w:tc>
        <w:tc>
          <w:tcPr>
            <w:tcW w:w="774" w:type="dxa"/>
          </w:tcPr>
          <w:p w:rsidR="005961E6" w:rsidRDefault="005961E6">
            <w:pPr>
              <w:jc w:val="center"/>
              <w:rPr>
                <w:rFonts w:cs="Arial"/>
                <w:lang w:val="en-US"/>
              </w:rPr>
            </w:pPr>
          </w:p>
        </w:tc>
      </w:tr>
      <w:tr w:rsidR="005961E6">
        <w:tblPrEx>
          <w:tblCellMar>
            <w:top w:w="0" w:type="dxa"/>
            <w:bottom w:w="0" w:type="dxa"/>
          </w:tblCellMar>
        </w:tblPrEx>
        <w:tc>
          <w:tcPr>
            <w:tcW w:w="7588" w:type="dxa"/>
          </w:tcPr>
          <w:p w:rsidR="005961E6" w:rsidRDefault="00654F15">
            <w:pPr>
              <w:tabs>
                <w:tab w:val="left" w:pos="720"/>
              </w:tabs>
              <w:ind w:left="720" w:right="332" w:hanging="720"/>
              <w:jc w:val="left"/>
              <w:rPr>
                <w:rFonts w:cs="Arial"/>
                <w:b/>
                <w:sz w:val="28"/>
                <w:szCs w:val="28"/>
              </w:rPr>
            </w:pPr>
            <w:r>
              <w:rPr>
                <w:b/>
              </w:rPr>
              <w:t>9</w:t>
            </w:r>
            <w:r w:rsidR="005961E6">
              <w:rPr>
                <w:rFonts w:hint="eastAsia"/>
                <w:b/>
              </w:rPr>
              <w:t>.</w:t>
            </w:r>
            <w:r w:rsidR="005961E6">
              <w:rPr>
                <w:b/>
              </w:rPr>
              <w:tab/>
            </w:r>
            <w:r w:rsidR="005961E6">
              <w:rPr>
                <w:rFonts w:hint="eastAsia"/>
                <w:b/>
              </w:rPr>
              <w:t>Archives law for Hong Kong?</w:t>
            </w:r>
          </w:p>
        </w:tc>
        <w:tc>
          <w:tcPr>
            <w:tcW w:w="774" w:type="dxa"/>
          </w:tcPr>
          <w:p w:rsidR="005961E6" w:rsidRDefault="003850FF" w:rsidP="009E75CD">
            <w:pPr>
              <w:jc w:val="center"/>
              <w:rPr>
                <w:rFonts w:cs="Arial"/>
              </w:rPr>
            </w:pPr>
            <w:r>
              <w:rPr>
                <w:rFonts w:cs="Arial" w:hint="eastAsia"/>
              </w:rPr>
              <w:t>13</w:t>
            </w:r>
            <w:r w:rsidR="009E75CD">
              <w:rPr>
                <w:rFonts w:cs="Arial"/>
              </w:rPr>
              <w:t>8</w:t>
            </w:r>
          </w:p>
        </w:tc>
      </w:tr>
      <w:tr w:rsidR="005961E6">
        <w:tblPrEx>
          <w:tblCellMar>
            <w:top w:w="0" w:type="dxa"/>
            <w:bottom w:w="0" w:type="dxa"/>
          </w:tblCellMar>
        </w:tblPrEx>
        <w:tc>
          <w:tcPr>
            <w:tcW w:w="7588" w:type="dxa"/>
          </w:tcPr>
          <w:p w:rsidR="005961E6" w:rsidRDefault="005961E6">
            <w:pPr>
              <w:rPr>
                <w:rFonts w:cs="Arial"/>
                <w:b/>
                <w:sz w:val="28"/>
                <w:szCs w:val="28"/>
              </w:rPr>
            </w:pPr>
          </w:p>
        </w:tc>
        <w:tc>
          <w:tcPr>
            <w:tcW w:w="774" w:type="dxa"/>
          </w:tcPr>
          <w:p w:rsidR="005961E6" w:rsidRDefault="005961E6">
            <w:pPr>
              <w:jc w:val="center"/>
              <w:rPr>
                <w:rFonts w:cs="Arial"/>
                <w:lang w:val="en-US"/>
              </w:rPr>
            </w:pPr>
          </w:p>
        </w:tc>
      </w:tr>
      <w:tr w:rsidR="003850FF">
        <w:tblPrEx>
          <w:tblCellMar>
            <w:top w:w="0" w:type="dxa"/>
            <w:bottom w:w="0" w:type="dxa"/>
          </w:tblCellMar>
        </w:tblPrEx>
        <w:tc>
          <w:tcPr>
            <w:tcW w:w="7588" w:type="dxa"/>
          </w:tcPr>
          <w:p w:rsidR="003850FF" w:rsidRDefault="003850FF">
            <w:pPr>
              <w:rPr>
                <w:rFonts w:cs="Arial"/>
                <w:szCs w:val="28"/>
              </w:rPr>
            </w:pPr>
            <w:r>
              <w:rPr>
                <w:rFonts w:cs="Arial"/>
                <w:szCs w:val="28"/>
              </w:rPr>
              <w:t>Introduction</w:t>
            </w:r>
          </w:p>
        </w:tc>
        <w:tc>
          <w:tcPr>
            <w:tcW w:w="774" w:type="dxa"/>
          </w:tcPr>
          <w:p w:rsidR="003850FF" w:rsidRDefault="003850FF" w:rsidP="009E75CD">
            <w:pPr>
              <w:jc w:val="center"/>
              <w:rPr>
                <w:rFonts w:cs="Arial"/>
                <w:lang w:val="en-US"/>
              </w:rPr>
            </w:pPr>
            <w:r>
              <w:rPr>
                <w:rFonts w:cs="Arial" w:hint="eastAsia"/>
                <w:lang w:val="en-US"/>
              </w:rPr>
              <w:t>13</w:t>
            </w:r>
            <w:r w:rsidR="009E75CD">
              <w:rPr>
                <w:rFonts w:cs="Arial"/>
                <w:lang w:val="en-US"/>
              </w:rPr>
              <w:t>8</w:t>
            </w:r>
          </w:p>
        </w:tc>
      </w:tr>
      <w:tr w:rsidR="003850FF">
        <w:tblPrEx>
          <w:tblCellMar>
            <w:top w:w="0" w:type="dxa"/>
            <w:bottom w:w="0" w:type="dxa"/>
          </w:tblCellMar>
        </w:tblPrEx>
        <w:tc>
          <w:tcPr>
            <w:tcW w:w="7588" w:type="dxa"/>
          </w:tcPr>
          <w:p w:rsidR="003850FF" w:rsidRDefault="003850FF">
            <w:pPr>
              <w:rPr>
                <w:rFonts w:cs="Arial"/>
                <w:szCs w:val="28"/>
              </w:rPr>
            </w:pPr>
            <w:r>
              <w:rPr>
                <w:rFonts w:cs="Arial" w:hint="eastAsia"/>
                <w:szCs w:val="28"/>
              </w:rPr>
              <w:t>Comments</w:t>
            </w:r>
          </w:p>
        </w:tc>
        <w:tc>
          <w:tcPr>
            <w:tcW w:w="774" w:type="dxa"/>
          </w:tcPr>
          <w:p w:rsidR="003850FF" w:rsidRDefault="003850FF" w:rsidP="009E75CD">
            <w:pPr>
              <w:jc w:val="center"/>
              <w:rPr>
                <w:rFonts w:cs="Arial"/>
                <w:lang w:val="en-US"/>
              </w:rPr>
            </w:pPr>
            <w:r>
              <w:rPr>
                <w:rFonts w:cs="Arial" w:hint="eastAsia"/>
                <w:lang w:val="en-US"/>
              </w:rPr>
              <w:t>13</w:t>
            </w:r>
            <w:r w:rsidR="009E75CD">
              <w:rPr>
                <w:rFonts w:cs="Arial"/>
                <w:lang w:val="en-US"/>
              </w:rPr>
              <w:t>8</w:t>
            </w:r>
          </w:p>
        </w:tc>
      </w:tr>
      <w:tr w:rsidR="003850FF">
        <w:tblPrEx>
          <w:tblCellMar>
            <w:top w:w="0" w:type="dxa"/>
            <w:bottom w:w="0" w:type="dxa"/>
          </w:tblCellMar>
        </w:tblPrEx>
        <w:tc>
          <w:tcPr>
            <w:tcW w:w="7588" w:type="dxa"/>
          </w:tcPr>
          <w:p w:rsidR="003850FF" w:rsidRDefault="003850FF">
            <w:pPr>
              <w:rPr>
                <w:rFonts w:cs="Arial"/>
                <w:szCs w:val="28"/>
              </w:rPr>
            </w:pPr>
            <w:r>
              <w:rPr>
                <w:rFonts w:cs="Arial"/>
                <w:szCs w:val="28"/>
              </w:rPr>
              <w:t xml:space="preserve">Government's </w:t>
            </w:r>
            <w:r>
              <w:rPr>
                <w:rFonts w:cs="Arial" w:hint="eastAsia"/>
                <w:szCs w:val="28"/>
              </w:rPr>
              <w:t>stance to the proposed legislation</w:t>
            </w:r>
          </w:p>
        </w:tc>
        <w:tc>
          <w:tcPr>
            <w:tcW w:w="774" w:type="dxa"/>
          </w:tcPr>
          <w:p w:rsidR="003850FF" w:rsidRDefault="003850FF" w:rsidP="009E75CD">
            <w:pPr>
              <w:jc w:val="center"/>
              <w:rPr>
                <w:rFonts w:cs="Arial"/>
                <w:lang w:val="en-US"/>
              </w:rPr>
            </w:pPr>
            <w:r>
              <w:rPr>
                <w:rFonts w:cs="Arial" w:hint="eastAsia"/>
                <w:lang w:val="en-US"/>
              </w:rPr>
              <w:t>13</w:t>
            </w:r>
            <w:r w:rsidR="009E75CD">
              <w:rPr>
                <w:rFonts w:cs="Arial"/>
                <w:lang w:val="en-US"/>
              </w:rPr>
              <w:t>9</w:t>
            </w:r>
          </w:p>
        </w:tc>
      </w:tr>
      <w:tr w:rsidR="003850FF">
        <w:tblPrEx>
          <w:tblCellMar>
            <w:top w:w="0" w:type="dxa"/>
            <w:bottom w:w="0" w:type="dxa"/>
          </w:tblCellMar>
        </w:tblPrEx>
        <w:tc>
          <w:tcPr>
            <w:tcW w:w="7588" w:type="dxa"/>
          </w:tcPr>
          <w:p w:rsidR="003850FF" w:rsidRDefault="003850FF">
            <w:pPr>
              <w:rPr>
                <w:rFonts w:cs="Arial"/>
                <w:szCs w:val="28"/>
              </w:rPr>
            </w:pPr>
            <w:r>
              <w:rPr>
                <w:rFonts w:cs="Arial" w:hint="eastAsia"/>
                <w:szCs w:val="28"/>
              </w:rPr>
              <w:t>Considerations favouring the enactment of archives law</w:t>
            </w:r>
          </w:p>
        </w:tc>
        <w:tc>
          <w:tcPr>
            <w:tcW w:w="774" w:type="dxa"/>
          </w:tcPr>
          <w:p w:rsidR="003850FF" w:rsidRDefault="003850FF" w:rsidP="00F52D2F">
            <w:pPr>
              <w:jc w:val="center"/>
              <w:rPr>
                <w:rFonts w:cs="Arial"/>
                <w:lang w:val="en-US"/>
              </w:rPr>
            </w:pPr>
            <w:r>
              <w:rPr>
                <w:rFonts w:cs="Arial" w:hint="eastAsia"/>
                <w:lang w:val="en-US"/>
              </w:rPr>
              <w:t>1</w:t>
            </w:r>
            <w:r w:rsidR="00F52D2F">
              <w:rPr>
                <w:rFonts w:cs="Arial"/>
                <w:lang w:val="en-US"/>
              </w:rPr>
              <w:t>40</w:t>
            </w:r>
          </w:p>
        </w:tc>
      </w:tr>
      <w:tr w:rsidR="003850FF">
        <w:tblPrEx>
          <w:tblCellMar>
            <w:top w:w="0" w:type="dxa"/>
            <w:bottom w:w="0" w:type="dxa"/>
          </w:tblCellMar>
        </w:tblPrEx>
        <w:tc>
          <w:tcPr>
            <w:tcW w:w="7588" w:type="dxa"/>
          </w:tcPr>
          <w:p w:rsidR="003850FF" w:rsidRDefault="003850FF" w:rsidP="00C152D3">
            <w:pPr>
              <w:ind w:left="720" w:hanging="720"/>
              <w:jc w:val="left"/>
              <w:rPr>
                <w:rFonts w:cs="Arial"/>
                <w:szCs w:val="28"/>
              </w:rPr>
            </w:pPr>
            <w:r>
              <w:rPr>
                <w:rFonts w:cs="Arial"/>
                <w:szCs w:val="28"/>
              </w:rPr>
              <w:t xml:space="preserve">Concerns regarding the introduction of an </w:t>
            </w:r>
            <w:r>
              <w:rPr>
                <w:rFonts w:cs="Arial" w:hint="eastAsia"/>
                <w:szCs w:val="28"/>
              </w:rPr>
              <w:t>a</w:t>
            </w:r>
            <w:r>
              <w:rPr>
                <w:rFonts w:cs="Arial"/>
                <w:szCs w:val="28"/>
              </w:rPr>
              <w:t xml:space="preserve">rchives </w:t>
            </w:r>
            <w:r>
              <w:rPr>
                <w:rFonts w:cs="Arial" w:hint="eastAsia"/>
                <w:szCs w:val="28"/>
              </w:rPr>
              <w:t>l</w:t>
            </w:r>
            <w:r>
              <w:rPr>
                <w:rFonts w:cs="Arial"/>
                <w:szCs w:val="28"/>
              </w:rPr>
              <w:t>aw in Hong Kong</w:t>
            </w:r>
          </w:p>
        </w:tc>
        <w:tc>
          <w:tcPr>
            <w:tcW w:w="774" w:type="dxa"/>
          </w:tcPr>
          <w:p w:rsidR="003850FF" w:rsidRDefault="003850FF" w:rsidP="009E75CD">
            <w:pPr>
              <w:jc w:val="center"/>
              <w:rPr>
                <w:rFonts w:cs="Arial"/>
                <w:lang w:val="en-US"/>
              </w:rPr>
            </w:pPr>
            <w:r>
              <w:rPr>
                <w:rFonts w:cs="Arial" w:hint="eastAsia"/>
                <w:lang w:val="en-US"/>
              </w:rPr>
              <w:t>1</w:t>
            </w:r>
            <w:r w:rsidR="009E75CD">
              <w:rPr>
                <w:rFonts w:cs="Arial"/>
                <w:lang w:val="en-US"/>
              </w:rPr>
              <w:t>41</w:t>
            </w:r>
          </w:p>
        </w:tc>
      </w:tr>
      <w:tr w:rsidR="003850FF">
        <w:tblPrEx>
          <w:tblCellMar>
            <w:top w:w="0" w:type="dxa"/>
            <w:bottom w:w="0" w:type="dxa"/>
          </w:tblCellMar>
        </w:tblPrEx>
        <w:tc>
          <w:tcPr>
            <w:tcW w:w="7588" w:type="dxa"/>
          </w:tcPr>
          <w:p w:rsidR="003850FF" w:rsidRDefault="003850FF" w:rsidP="00071C3B">
            <w:r>
              <w:t xml:space="preserve">Our </w:t>
            </w:r>
            <w:r>
              <w:rPr>
                <w:rFonts w:hint="eastAsia"/>
              </w:rPr>
              <w:t>provisional</w:t>
            </w:r>
            <w:r>
              <w:t xml:space="preserve"> </w:t>
            </w:r>
            <w:r>
              <w:rPr>
                <w:rFonts w:hint="eastAsia"/>
              </w:rPr>
              <w:t>v</w:t>
            </w:r>
            <w:r>
              <w:t>iews</w:t>
            </w:r>
          </w:p>
        </w:tc>
        <w:tc>
          <w:tcPr>
            <w:tcW w:w="774" w:type="dxa"/>
          </w:tcPr>
          <w:p w:rsidR="003850FF" w:rsidRDefault="003850FF" w:rsidP="009E75CD">
            <w:pPr>
              <w:jc w:val="center"/>
              <w:rPr>
                <w:rFonts w:cs="Arial"/>
                <w:lang w:val="en-US"/>
              </w:rPr>
            </w:pPr>
            <w:r>
              <w:rPr>
                <w:rFonts w:cs="Arial" w:hint="eastAsia"/>
                <w:lang w:val="en-US"/>
              </w:rPr>
              <w:t>14</w:t>
            </w:r>
            <w:r w:rsidR="009E75CD">
              <w:rPr>
                <w:rFonts w:cs="Arial"/>
                <w:lang w:val="en-US"/>
              </w:rPr>
              <w:t>2</w:t>
            </w:r>
          </w:p>
        </w:tc>
      </w:tr>
      <w:tr w:rsidR="003850FF">
        <w:tblPrEx>
          <w:tblCellMar>
            <w:top w:w="0" w:type="dxa"/>
            <w:bottom w:w="0" w:type="dxa"/>
          </w:tblCellMar>
        </w:tblPrEx>
        <w:trPr>
          <w:trHeight w:val="297"/>
        </w:trPr>
        <w:tc>
          <w:tcPr>
            <w:tcW w:w="7588" w:type="dxa"/>
          </w:tcPr>
          <w:p w:rsidR="003850FF" w:rsidRDefault="003850FF">
            <w:pPr>
              <w:rPr>
                <w:rFonts w:cs="Arial"/>
                <w:b/>
                <w:sz w:val="28"/>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rPr>
          <w:trHeight w:val="297"/>
        </w:trPr>
        <w:tc>
          <w:tcPr>
            <w:tcW w:w="7588" w:type="dxa"/>
          </w:tcPr>
          <w:p w:rsidR="003850FF" w:rsidRDefault="003850FF">
            <w:pPr>
              <w:rPr>
                <w:rFonts w:cs="Arial"/>
                <w:b/>
                <w:sz w:val="28"/>
                <w:szCs w:val="28"/>
              </w:rPr>
            </w:pPr>
          </w:p>
        </w:tc>
        <w:tc>
          <w:tcPr>
            <w:tcW w:w="774" w:type="dxa"/>
          </w:tcPr>
          <w:p w:rsidR="003850FF" w:rsidRDefault="003850FF">
            <w:pPr>
              <w:jc w:val="center"/>
              <w:rPr>
                <w:rFonts w:cs="Arial"/>
                <w:lang w:val="en-US"/>
              </w:rPr>
            </w:pPr>
          </w:p>
        </w:tc>
      </w:tr>
      <w:tr w:rsidR="003850FF" w:rsidTr="002C2972">
        <w:tblPrEx>
          <w:tblCellMar>
            <w:top w:w="0" w:type="dxa"/>
            <w:bottom w:w="0" w:type="dxa"/>
          </w:tblCellMar>
        </w:tblPrEx>
        <w:tc>
          <w:tcPr>
            <w:tcW w:w="7588" w:type="dxa"/>
          </w:tcPr>
          <w:p w:rsidR="003850FF" w:rsidRDefault="003850FF" w:rsidP="002C2972">
            <w:pPr>
              <w:keepNext/>
              <w:tabs>
                <w:tab w:val="left" w:pos="720"/>
              </w:tabs>
              <w:ind w:left="720" w:right="332" w:hanging="720"/>
              <w:jc w:val="left"/>
              <w:rPr>
                <w:rFonts w:cs="Arial"/>
                <w:b/>
                <w:szCs w:val="28"/>
              </w:rPr>
            </w:pPr>
            <w:r>
              <w:rPr>
                <w:rFonts w:cs="Arial"/>
                <w:b/>
                <w:szCs w:val="28"/>
              </w:rPr>
              <w:t>10</w:t>
            </w:r>
            <w:r>
              <w:rPr>
                <w:rFonts w:cs="Arial" w:hint="eastAsia"/>
                <w:b/>
                <w:szCs w:val="28"/>
              </w:rPr>
              <w:t>.</w:t>
            </w:r>
            <w:r>
              <w:rPr>
                <w:rFonts w:cs="Arial"/>
                <w:b/>
                <w:szCs w:val="28"/>
              </w:rPr>
              <w:tab/>
            </w:r>
            <w:r>
              <w:rPr>
                <w:rFonts w:cs="Arial" w:hint="eastAsia"/>
                <w:b/>
                <w:shd w:val="clear" w:color="auto" w:fill="FFFFFF"/>
              </w:rPr>
              <w:t>Coverage of public records management regime</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3</w:t>
            </w:r>
          </w:p>
        </w:tc>
      </w:tr>
      <w:tr w:rsidR="003850FF" w:rsidTr="002C2972">
        <w:tblPrEx>
          <w:tblCellMar>
            <w:top w:w="0" w:type="dxa"/>
            <w:bottom w:w="0" w:type="dxa"/>
          </w:tblCellMar>
        </w:tblPrEx>
        <w:tc>
          <w:tcPr>
            <w:tcW w:w="7588" w:type="dxa"/>
          </w:tcPr>
          <w:p w:rsidR="003850FF" w:rsidRDefault="003850FF" w:rsidP="002C2972">
            <w:pPr>
              <w:tabs>
                <w:tab w:val="clear" w:pos="1418"/>
              </w:tabs>
              <w:rPr>
                <w:rFonts w:cs="Arial"/>
                <w:b/>
                <w:szCs w:val="28"/>
              </w:rPr>
            </w:pPr>
          </w:p>
        </w:tc>
        <w:tc>
          <w:tcPr>
            <w:tcW w:w="774" w:type="dxa"/>
          </w:tcPr>
          <w:p w:rsidR="003850FF" w:rsidRDefault="003850FF" w:rsidP="002C2972">
            <w:pPr>
              <w:jc w:val="center"/>
              <w:rPr>
                <w:rFonts w:cs="Arial"/>
                <w:lang w:val="en-US"/>
              </w:rPr>
            </w:pPr>
          </w:p>
        </w:tc>
      </w:tr>
      <w:tr w:rsidR="003850FF" w:rsidTr="002C2972">
        <w:tblPrEx>
          <w:tblCellMar>
            <w:top w:w="0" w:type="dxa"/>
            <w:bottom w:w="0" w:type="dxa"/>
          </w:tblCellMar>
        </w:tblPrEx>
        <w:tc>
          <w:tcPr>
            <w:tcW w:w="7588" w:type="dxa"/>
          </w:tcPr>
          <w:p w:rsidR="003850FF" w:rsidRDefault="003850FF" w:rsidP="002C2972">
            <w:pPr>
              <w:rPr>
                <w:rFonts w:cs="Arial"/>
              </w:rPr>
            </w:pPr>
            <w:r>
              <w:rPr>
                <w:rFonts w:cs="Arial"/>
              </w:rPr>
              <w:t>Introduction</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3</w:t>
            </w:r>
          </w:p>
        </w:tc>
      </w:tr>
      <w:tr w:rsidR="003850FF" w:rsidTr="002C2972">
        <w:tblPrEx>
          <w:tblCellMar>
            <w:top w:w="0" w:type="dxa"/>
            <w:bottom w:w="0" w:type="dxa"/>
          </w:tblCellMar>
        </w:tblPrEx>
        <w:tc>
          <w:tcPr>
            <w:tcW w:w="7588" w:type="dxa"/>
          </w:tcPr>
          <w:p w:rsidR="003850FF" w:rsidRDefault="003850FF" w:rsidP="002C2972">
            <w:pPr>
              <w:rPr>
                <w:rFonts w:cs="Arial"/>
              </w:rPr>
            </w:pPr>
            <w:r>
              <w:rPr>
                <w:rFonts w:cs="Arial" w:hint="eastAsia"/>
              </w:rPr>
              <w:t>"Public body"</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3</w:t>
            </w:r>
          </w:p>
        </w:tc>
      </w:tr>
      <w:tr w:rsidR="003850FF" w:rsidTr="002C2972">
        <w:tblPrEx>
          <w:tblCellMar>
            <w:top w:w="0" w:type="dxa"/>
            <w:bottom w:w="0" w:type="dxa"/>
          </w:tblCellMar>
        </w:tblPrEx>
        <w:tc>
          <w:tcPr>
            <w:tcW w:w="7588" w:type="dxa"/>
          </w:tcPr>
          <w:p w:rsidR="003850FF" w:rsidRDefault="003850FF" w:rsidP="002C2972">
            <w:pPr>
              <w:rPr>
                <w:rFonts w:cs="Arial"/>
              </w:rPr>
            </w:pPr>
            <w:r>
              <w:rPr>
                <w:rFonts w:cs="Arial"/>
              </w:rPr>
              <w:t xml:space="preserve">Coverage of the existing administrative </w:t>
            </w:r>
            <w:r>
              <w:rPr>
                <w:rFonts w:cs="Arial" w:hint="eastAsia"/>
              </w:rPr>
              <w:t>regime</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4</w:t>
            </w:r>
          </w:p>
        </w:tc>
      </w:tr>
      <w:tr w:rsidR="003850FF" w:rsidTr="002C2972">
        <w:tblPrEx>
          <w:tblCellMar>
            <w:top w:w="0" w:type="dxa"/>
            <w:bottom w:w="0" w:type="dxa"/>
          </w:tblCellMar>
        </w:tblPrEx>
        <w:tc>
          <w:tcPr>
            <w:tcW w:w="7588" w:type="dxa"/>
          </w:tcPr>
          <w:p w:rsidR="003850FF" w:rsidRDefault="003850FF" w:rsidP="00C152D3">
            <w:pPr>
              <w:rPr>
                <w:rFonts w:cs="Arial"/>
              </w:rPr>
            </w:pPr>
            <w:r>
              <w:rPr>
                <w:rFonts w:cs="Arial" w:hint="eastAsia"/>
              </w:rPr>
              <w:t>Comments on</w:t>
            </w:r>
            <w:r>
              <w:rPr>
                <w:rFonts w:cs="Arial"/>
              </w:rPr>
              <w:t xml:space="preserve"> the existing regime</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5</w:t>
            </w:r>
          </w:p>
        </w:tc>
      </w:tr>
      <w:tr w:rsidR="003850FF" w:rsidTr="002C2972">
        <w:tblPrEx>
          <w:tblCellMar>
            <w:top w:w="0" w:type="dxa"/>
            <w:bottom w:w="0" w:type="dxa"/>
          </w:tblCellMar>
        </w:tblPrEx>
        <w:tc>
          <w:tcPr>
            <w:tcW w:w="7588" w:type="dxa"/>
          </w:tcPr>
          <w:p w:rsidR="003850FF" w:rsidRDefault="003850FF" w:rsidP="002C2972">
            <w:pPr>
              <w:rPr>
                <w:rFonts w:cs="Arial"/>
              </w:rPr>
            </w:pPr>
            <w:r>
              <w:rPr>
                <w:rFonts w:cs="Arial"/>
              </w:rPr>
              <w:t>Government's stance and response</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6</w:t>
            </w:r>
          </w:p>
        </w:tc>
      </w:tr>
      <w:tr w:rsidR="003850FF" w:rsidTr="002C2972">
        <w:tblPrEx>
          <w:tblCellMar>
            <w:top w:w="0" w:type="dxa"/>
            <w:bottom w:w="0" w:type="dxa"/>
          </w:tblCellMar>
        </w:tblPrEx>
        <w:tc>
          <w:tcPr>
            <w:tcW w:w="7588" w:type="dxa"/>
          </w:tcPr>
          <w:p w:rsidR="003850FF" w:rsidRDefault="003850FF" w:rsidP="002C2972">
            <w:pPr>
              <w:rPr>
                <w:rFonts w:cs="Arial"/>
              </w:rPr>
            </w:pPr>
            <w:r>
              <w:rPr>
                <w:rFonts w:cs="Arial" w:hint="eastAsia"/>
              </w:rPr>
              <w:t xml:space="preserve">Other </w:t>
            </w:r>
            <w:r>
              <w:rPr>
                <w:rFonts w:cs="Arial"/>
              </w:rPr>
              <w:t>jurisdictions</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7</w:t>
            </w:r>
          </w:p>
        </w:tc>
      </w:tr>
      <w:tr w:rsidR="003850FF" w:rsidTr="002C2972">
        <w:tblPrEx>
          <w:tblCellMar>
            <w:top w:w="0" w:type="dxa"/>
            <w:bottom w:w="0" w:type="dxa"/>
          </w:tblCellMar>
        </w:tblPrEx>
        <w:tc>
          <w:tcPr>
            <w:tcW w:w="7588" w:type="dxa"/>
          </w:tcPr>
          <w:p w:rsidR="003850FF" w:rsidRDefault="003850FF" w:rsidP="00C152D3">
            <w:pPr>
              <w:keepNext/>
              <w:ind w:left="720"/>
              <w:rPr>
                <w:rFonts w:cs="Arial" w:hint="eastAsia"/>
              </w:rPr>
            </w:pPr>
            <w:r>
              <w:rPr>
                <w:rFonts w:cs="Arial" w:hint="eastAsia"/>
              </w:rPr>
              <w:t>Australia</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7</w:t>
            </w:r>
          </w:p>
        </w:tc>
      </w:tr>
      <w:tr w:rsidR="003850FF" w:rsidTr="002C2972">
        <w:tblPrEx>
          <w:tblCellMar>
            <w:top w:w="0" w:type="dxa"/>
            <w:bottom w:w="0" w:type="dxa"/>
          </w:tblCellMar>
        </w:tblPrEx>
        <w:tc>
          <w:tcPr>
            <w:tcW w:w="7588" w:type="dxa"/>
          </w:tcPr>
          <w:p w:rsidR="003850FF" w:rsidRDefault="00364307" w:rsidP="00364307">
            <w:pPr>
              <w:keepNext/>
              <w:ind w:left="720"/>
              <w:rPr>
                <w:rFonts w:cs="Arial" w:hint="eastAsia"/>
              </w:rPr>
            </w:pPr>
            <w:r>
              <w:rPr>
                <w:rFonts w:cs="Arial" w:hint="eastAsia"/>
              </w:rPr>
              <w:t xml:space="preserve">England </w:t>
            </w:r>
          </w:p>
        </w:tc>
        <w:tc>
          <w:tcPr>
            <w:tcW w:w="774" w:type="dxa"/>
          </w:tcPr>
          <w:p w:rsidR="003850FF" w:rsidRDefault="003850FF" w:rsidP="00265FB2">
            <w:pPr>
              <w:jc w:val="center"/>
              <w:rPr>
                <w:rFonts w:cs="Arial"/>
                <w:lang w:val="en-US"/>
              </w:rPr>
            </w:pPr>
            <w:r>
              <w:rPr>
                <w:rFonts w:cs="Arial" w:hint="eastAsia"/>
                <w:lang w:val="en-US"/>
              </w:rPr>
              <w:t>14</w:t>
            </w:r>
            <w:r w:rsidR="00265FB2">
              <w:rPr>
                <w:rFonts w:cs="Arial"/>
                <w:lang w:val="en-US"/>
              </w:rPr>
              <w:t>9</w:t>
            </w:r>
          </w:p>
        </w:tc>
      </w:tr>
      <w:tr w:rsidR="003850FF" w:rsidTr="002C2972">
        <w:tblPrEx>
          <w:tblCellMar>
            <w:top w:w="0" w:type="dxa"/>
            <w:bottom w:w="0" w:type="dxa"/>
          </w:tblCellMar>
        </w:tblPrEx>
        <w:tc>
          <w:tcPr>
            <w:tcW w:w="7588" w:type="dxa"/>
          </w:tcPr>
          <w:p w:rsidR="003850FF" w:rsidRDefault="00364307" w:rsidP="002C2972">
            <w:pPr>
              <w:keepNext/>
              <w:ind w:left="720"/>
              <w:rPr>
                <w:rFonts w:cs="Arial" w:hint="eastAsia"/>
              </w:rPr>
            </w:pPr>
            <w:r>
              <w:rPr>
                <w:rFonts w:cs="Arial" w:hint="eastAsia"/>
              </w:rPr>
              <w:t>Ireland</w:t>
            </w:r>
          </w:p>
        </w:tc>
        <w:tc>
          <w:tcPr>
            <w:tcW w:w="774" w:type="dxa"/>
          </w:tcPr>
          <w:p w:rsidR="003850FF" w:rsidRDefault="003850FF" w:rsidP="00364307">
            <w:pPr>
              <w:jc w:val="center"/>
              <w:rPr>
                <w:rFonts w:cs="Arial"/>
                <w:lang w:val="en-US"/>
              </w:rPr>
            </w:pPr>
            <w:r>
              <w:rPr>
                <w:rFonts w:cs="Arial" w:hint="eastAsia"/>
                <w:lang w:val="en-US"/>
              </w:rPr>
              <w:t>1</w:t>
            </w:r>
            <w:r w:rsidR="00265FB2">
              <w:rPr>
                <w:rFonts w:cs="Arial"/>
                <w:lang w:val="en-US"/>
              </w:rPr>
              <w:t>5</w:t>
            </w:r>
            <w:r w:rsidR="00364307">
              <w:rPr>
                <w:rFonts w:cs="Arial"/>
                <w:lang w:val="en-US"/>
              </w:rPr>
              <w:t>1</w:t>
            </w:r>
          </w:p>
        </w:tc>
      </w:tr>
      <w:tr w:rsidR="003850FF" w:rsidTr="002C2972">
        <w:tblPrEx>
          <w:tblCellMar>
            <w:top w:w="0" w:type="dxa"/>
            <w:bottom w:w="0" w:type="dxa"/>
          </w:tblCellMar>
        </w:tblPrEx>
        <w:tc>
          <w:tcPr>
            <w:tcW w:w="7588" w:type="dxa"/>
          </w:tcPr>
          <w:p w:rsidR="003850FF" w:rsidRDefault="00364307" w:rsidP="002C2972">
            <w:pPr>
              <w:keepNext/>
              <w:ind w:left="720"/>
              <w:rPr>
                <w:rFonts w:cs="Arial" w:hint="eastAsia"/>
              </w:rPr>
            </w:pPr>
            <w:r>
              <w:rPr>
                <w:rFonts w:cs="Arial" w:hint="eastAsia"/>
              </w:rPr>
              <w:t>New Zealand</w:t>
            </w:r>
          </w:p>
        </w:tc>
        <w:tc>
          <w:tcPr>
            <w:tcW w:w="774" w:type="dxa"/>
          </w:tcPr>
          <w:p w:rsidR="003850FF" w:rsidRDefault="003850FF" w:rsidP="00364307">
            <w:pPr>
              <w:jc w:val="center"/>
              <w:rPr>
                <w:rFonts w:cs="Arial"/>
                <w:lang w:val="en-US"/>
              </w:rPr>
            </w:pPr>
            <w:r>
              <w:rPr>
                <w:rFonts w:cs="Arial" w:hint="eastAsia"/>
                <w:lang w:val="en-US"/>
              </w:rPr>
              <w:t>1</w:t>
            </w:r>
            <w:r w:rsidR="00265FB2">
              <w:rPr>
                <w:rFonts w:cs="Arial"/>
                <w:lang w:val="en-US"/>
              </w:rPr>
              <w:t>5</w:t>
            </w:r>
            <w:r w:rsidR="00364307">
              <w:rPr>
                <w:rFonts w:cs="Arial"/>
                <w:lang w:val="en-US"/>
              </w:rPr>
              <w:t>2</w:t>
            </w:r>
          </w:p>
        </w:tc>
      </w:tr>
      <w:tr w:rsidR="003850FF" w:rsidTr="002C2972">
        <w:tblPrEx>
          <w:tblCellMar>
            <w:top w:w="0" w:type="dxa"/>
            <w:bottom w:w="0" w:type="dxa"/>
          </w:tblCellMar>
        </w:tblPrEx>
        <w:tc>
          <w:tcPr>
            <w:tcW w:w="7588" w:type="dxa"/>
          </w:tcPr>
          <w:p w:rsidR="003850FF" w:rsidRDefault="003850FF" w:rsidP="002C2972">
            <w:pPr>
              <w:keepNext/>
              <w:ind w:left="720"/>
              <w:rPr>
                <w:rFonts w:cs="Arial" w:hint="eastAsia"/>
              </w:rPr>
            </w:pPr>
            <w:r>
              <w:rPr>
                <w:rFonts w:cs="Arial" w:hint="eastAsia"/>
              </w:rPr>
              <w:t>Singapore</w:t>
            </w:r>
          </w:p>
        </w:tc>
        <w:tc>
          <w:tcPr>
            <w:tcW w:w="774" w:type="dxa"/>
          </w:tcPr>
          <w:p w:rsidR="003850FF" w:rsidRDefault="003850FF" w:rsidP="00265FB2">
            <w:pPr>
              <w:jc w:val="center"/>
              <w:rPr>
                <w:rFonts w:cs="Arial"/>
                <w:lang w:val="en-US"/>
              </w:rPr>
            </w:pPr>
            <w:r>
              <w:rPr>
                <w:rFonts w:cs="Arial" w:hint="eastAsia"/>
                <w:lang w:val="en-US"/>
              </w:rPr>
              <w:t>15</w:t>
            </w:r>
            <w:r w:rsidR="00265FB2">
              <w:rPr>
                <w:rFonts w:cs="Arial"/>
                <w:lang w:val="en-US"/>
              </w:rPr>
              <w:t>3</w:t>
            </w:r>
          </w:p>
        </w:tc>
      </w:tr>
      <w:tr w:rsidR="003850FF" w:rsidTr="002C2972">
        <w:tblPrEx>
          <w:tblCellMar>
            <w:top w:w="0" w:type="dxa"/>
            <w:bottom w:w="0" w:type="dxa"/>
          </w:tblCellMar>
        </w:tblPrEx>
        <w:tc>
          <w:tcPr>
            <w:tcW w:w="7588" w:type="dxa"/>
          </w:tcPr>
          <w:p w:rsidR="003850FF" w:rsidRDefault="003850FF" w:rsidP="00C152D3">
            <w:pPr>
              <w:widowControl/>
              <w:rPr>
                <w:rFonts w:cs="Arial"/>
                <w:b/>
                <w:szCs w:val="28"/>
              </w:rPr>
            </w:pPr>
            <w:r>
              <w:rPr>
                <w:rFonts w:cs="Arial"/>
              </w:rPr>
              <w:t>Public bod</w:t>
            </w:r>
            <w:r>
              <w:rPr>
                <w:rFonts w:cs="Arial" w:hint="eastAsia"/>
              </w:rPr>
              <w:t>ies</w:t>
            </w:r>
            <w:r>
              <w:rPr>
                <w:rFonts w:cs="Arial"/>
              </w:rPr>
              <w:t xml:space="preserve">' </w:t>
            </w:r>
            <w:r>
              <w:rPr>
                <w:rFonts w:cs="Arial" w:hint="eastAsia"/>
              </w:rPr>
              <w:t>readiness and willingness for coverage</w:t>
            </w:r>
          </w:p>
        </w:tc>
        <w:tc>
          <w:tcPr>
            <w:tcW w:w="774" w:type="dxa"/>
          </w:tcPr>
          <w:p w:rsidR="003850FF" w:rsidRDefault="003850FF" w:rsidP="00265FB2">
            <w:pPr>
              <w:jc w:val="center"/>
              <w:rPr>
                <w:rFonts w:cs="Arial"/>
              </w:rPr>
            </w:pPr>
            <w:r>
              <w:rPr>
                <w:rFonts w:cs="Arial" w:hint="eastAsia"/>
              </w:rPr>
              <w:t>15</w:t>
            </w:r>
            <w:r w:rsidR="00265FB2">
              <w:rPr>
                <w:rFonts w:cs="Arial"/>
              </w:rPr>
              <w:t>4</w:t>
            </w:r>
          </w:p>
        </w:tc>
      </w:tr>
      <w:tr w:rsidR="003850FF" w:rsidTr="002C2972">
        <w:tblPrEx>
          <w:tblCellMar>
            <w:top w:w="0" w:type="dxa"/>
            <w:bottom w:w="0" w:type="dxa"/>
          </w:tblCellMar>
        </w:tblPrEx>
        <w:tc>
          <w:tcPr>
            <w:tcW w:w="7588" w:type="dxa"/>
          </w:tcPr>
          <w:p w:rsidR="003850FF" w:rsidRDefault="003850FF" w:rsidP="002C2972">
            <w:pPr>
              <w:keepNext/>
              <w:ind w:left="720"/>
              <w:rPr>
                <w:rFonts w:cs="Arial"/>
                <w:b/>
                <w:szCs w:val="28"/>
              </w:rPr>
            </w:pPr>
            <w:r>
              <w:rPr>
                <w:rFonts w:cs="Arial"/>
              </w:rPr>
              <w:lastRenderedPageBreak/>
              <w:t>Survey</w:t>
            </w:r>
          </w:p>
        </w:tc>
        <w:tc>
          <w:tcPr>
            <w:tcW w:w="774" w:type="dxa"/>
          </w:tcPr>
          <w:p w:rsidR="003850FF" w:rsidRDefault="003850FF" w:rsidP="002C2972">
            <w:pPr>
              <w:jc w:val="center"/>
              <w:rPr>
                <w:rFonts w:cs="Arial"/>
                <w:lang w:val="en-US"/>
              </w:rPr>
            </w:pPr>
            <w:r>
              <w:rPr>
                <w:rFonts w:cs="Arial" w:hint="eastAsia"/>
                <w:lang w:val="en-US"/>
              </w:rPr>
              <w:t>15</w:t>
            </w:r>
            <w:r w:rsidR="00265FB2">
              <w:rPr>
                <w:rFonts w:cs="Arial"/>
                <w:lang w:val="en-US"/>
              </w:rPr>
              <w:t>4</w:t>
            </w:r>
          </w:p>
        </w:tc>
      </w:tr>
      <w:tr w:rsidR="003850FF" w:rsidTr="002C2972">
        <w:tblPrEx>
          <w:tblCellMar>
            <w:top w:w="0" w:type="dxa"/>
            <w:bottom w:w="0" w:type="dxa"/>
          </w:tblCellMar>
        </w:tblPrEx>
        <w:tc>
          <w:tcPr>
            <w:tcW w:w="7588" w:type="dxa"/>
          </w:tcPr>
          <w:p w:rsidR="003850FF" w:rsidRDefault="003850FF" w:rsidP="002C2972">
            <w:pPr>
              <w:rPr>
                <w:rFonts w:cs="Arial"/>
                <w:szCs w:val="28"/>
              </w:rPr>
            </w:pPr>
            <w:r>
              <w:rPr>
                <w:rFonts w:cs="Arial" w:hint="eastAsia"/>
                <w:szCs w:val="28"/>
              </w:rPr>
              <w:t xml:space="preserve">Our </w:t>
            </w:r>
            <w:r>
              <w:rPr>
                <w:rFonts w:cs="Arial" w:hint="eastAsia"/>
              </w:rPr>
              <w:t>consideration</w:t>
            </w:r>
          </w:p>
        </w:tc>
        <w:tc>
          <w:tcPr>
            <w:tcW w:w="774" w:type="dxa"/>
          </w:tcPr>
          <w:p w:rsidR="003850FF" w:rsidRDefault="003850FF" w:rsidP="002C2972">
            <w:pPr>
              <w:jc w:val="center"/>
              <w:rPr>
                <w:rFonts w:cs="Arial"/>
                <w:lang w:val="en-US"/>
              </w:rPr>
            </w:pPr>
            <w:r>
              <w:rPr>
                <w:rFonts w:cs="Arial" w:hint="eastAsia"/>
                <w:lang w:val="en-US"/>
              </w:rPr>
              <w:t>15</w:t>
            </w:r>
            <w:r w:rsidR="00265FB2">
              <w:rPr>
                <w:rFonts w:cs="Arial"/>
                <w:lang w:val="en-US"/>
              </w:rPr>
              <w:t>5</w:t>
            </w:r>
          </w:p>
        </w:tc>
      </w:tr>
      <w:tr w:rsidR="003850FF" w:rsidTr="002C2972">
        <w:tblPrEx>
          <w:tblCellMar>
            <w:top w:w="0" w:type="dxa"/>
            <w:bottom w:w="0" w:type="dxa"/>
          </w:tblCellMar>
        </w:tblPrEx>
        <w:tc>
          <w:tcPr>
            <w:tcW w:w="7588" w:type="dxa"/>
          </w:tcPr>
          <w:p w:rsidR="003850FF" w:rsidRDefault="003850FF" w:rsidP="002C2972">
            <w:pPr>
              <w:keepNext/>
              <w:ind w:left="720"/>
              <w:rPr>
                <w:rFonts w:cs="Arial" w:hint="eastAsia"/>
              </w:rPr>
            </w:pPr>
            <w:r>
              <w:rPr>
                <w:rFonts w:cs="Arial" w:hint="eastAsia"/>
              </w:rPr>
              <w:t>(i)</w:t>
            </w:r>
            <w:r>
              <w:rPr>
                <w:rFonts w:cs="Arial"/>
              </w:rPr>
              <w:tab/>
            </w:r>
            <w:r>
              <w:rPr>
                <w:rFonts w:cs="Arial" w:hint="eastAsia"/>
              </w:rPr>
              <w:t>Scope of public bodies covered</w:t>
            </w:r>
          </w:p>
        </w:tc>
        <w:tc>
          <w:tcPr>
            <w:tcW w:w="774" w:type="dxa"/>
          </w:tcPr>
          <w:p w:rsidR="003850FF" w:rsidRDefault="003850FF" w:rsidP="00265FB2">
            <w:pPr>
              <w:jc w:val="center"/>
              <w:rPr>
                <w:rFonts w:cs="Arial"/>
              </w:rPr>
            </w:pPr>
            <w:r>
              <w:rPr>
                <w:rFonts w:cs="Arial" w:hint="eastAsia"/>
              </w:rPr>
              <w:t>15</w:t>
            </w:r>
            <w:r w:rsidR="00265FB2">
              <w:rPr>
                <w:rFonts w:cs="Arial"/>
              </w:rPr>
              <w:t>5</w:t>
            </w:r>
          </w:p>
        </w:tc>
      </w:tr>
      <w:tr w:rsidR="003850FF" w:rsidTr="002C2972">
        <w:tblPrEx>
          <w:tblCellMar>
            <w:top w:w="0" w:type="dxa"/>
            <w:bottom w:w="0" w:type="dxa"/>
          </w:tblCellMar>
        </w:tblPrEx>
        <w:tc>
          <w:tcPr>
            <w:tcW w:w="7588" w:type="dxa"/>
          </w:tcPr>
          <w:p w:rsidR="003850FF" w:rsidRDefault="003850FF" w:rsidP="002C2972">
            <w:pPr>
              <w:keepNext/>
              <w:ind w:left="720"/>
              <w:rPr>
                <w:rFonts w:cs="Arial" w:hint="eastAsia"/>
              </w:rPr>
            </w:pPr>
            <w:r>
              <w:rPr>
                <w:rFonts w:cs="Arial" w:hint="eastAsia"/>
              </w:rPr>
              <w:t>(ii)</w:t>
            </w:r>
            <w:r>
              <w:rPr>
                <w:rFonts w:cs="Arial"/>
              </w:rPr>
              <w:tab/>
            </w:r>
            <w:r>
              <w:rPr>
                <w:rFonts w:cs="Arial" w:hint="eastAsia"/>
              </w:rPr>
              <w:t>Oversight by archival authority</w:t>
            </w:r>
          </w:p>
        </w:tc>
        <w:tc>
          <w:tcPr>
            <w:tcW w:w="774" w:type="dxa"/>
          </w:tcPr>
          <w:p w:rsidR="003850FF" w:rsidRDefault="003850FF" w:rsidP="002C2972">
            <w:pPr>
              <w:jc w:val="center"/>
              <w:rPr>
                <w:rFonts w:cs="Arial"/>
              </w:rPr>
            </w:pPr>
            <w:r>
              <w:rPr>
                <w:rFonts w:cs="Arial" w:hint="eastAsia"/>
              </w:rPr>
              <w:t>15</w:t>
            </w:r>
            <w:r w:rsidR="00265FB2">
              <w:rPr>
                <w:rFonts w:cs="Arial"/>
              </w:rPr>
              <w:t>6</w:t>
            </w:r>
          </w:p>
        </w:tc>
      </w:tr>
      <w:tr w:rsidR="003850FF" w:rsidTr="002C2972">
        <w:tblPrEx>
          <w:tblCellMar>
            <w:top w:w="0" w:type="dxa"/>
            <w:bottom w:w="0" w:type="dxa"/>
          </w:tblCellMar>
        </w:tblPrEx>
        <w:tc>
          <w:tcPr>
            <w:tcW w:w="7588" w:type="dxa"/>
          </w:tcPr>
          <w:p w:rsidR="003850FF" w:rsidRDefault="003850FF" w:rsidP="002C2972">
            <w:pPr>
              <w:rPr>
                <w:rFonts w:cs="Arial"/>
              </w:rPr>
            </w:pPr>
            <w:r>
              <w:rPr>
                <w:rFonts w:cs="Arial"/>
              </w:rPr>
              <w:t>Our provisional views</w:t>
            </w:r>
          </w:p>
        </w:tc>
        <w:tc>
          <w:tcPr>
            <w:tcW w:w="774" w:type="dxa"/>
          </w:tcPr>
          <w:p w:rsidR="003850FF" w:rsidRDefault="003850FF" w:rsidP="00265FB2">
            <w:pPr>
              <w:jc w:val="center"/>
              <w:rPr>
                <w:rFonts w:cs="Arial"/>
                <w:lang w:val="en-US"/>
              </w:rPr>
            </w:pPr>
            <w:r>
              <w:rPr>
                <w:rFonts w:cs="Arial" w:hint="eastAsia"/>
                <w:lang w:val="en-US"/>
              </w:rPr>
              <w:t>15</w:t>
            </w:r>
            <w:r w:rsidR="00265FB2">
              <w:rPr>
                <w:rFonts w:cs="Arial"/>
                <w:lang w:val="en-US"/>
              </w:rPr>
              <w:t>8</w:t>
            </w:r>
          </w:p>
        </w:tc>
      </w:tr>
      <w:tr w:rsidR="003850FF" w:rsidTr="002C2972">
        <w:tblPrEx>
          <w:tblCellMar>
            <w:top w:w="0" w:type="dxa"/>
            <w:bottom w:w="0" w:type="dxa"/>
          </w:tblCellMar>
        </w:tblPrEx>
        <w:tc>
          <w:tcPr>
            <w:tcW w:w="7588" w:type="dxa"/>
          </w:tcPr>
          <w:p w:rsidR="003850FF" w:rsidRDefault="003850FF" w:rsidP="002C2972">
            <w:pPr>
              <w:rPr>
                <w:rFonts w:cs="Arial" w:hint="eastAsia"/>
              </w:rPr>
            </w:pPr>
          </w:p>
        </w:tc>
        <w:tc>
          <w:tcPr>
            <w:tcW w:w="774" w:type="dxa"/>
          </w:tcPr>
          <w:p w:rsidR="003850FF" w:rsidRDefault="003850FF" w:rsidP="002C2972">
            <w:pPr>
              <w:jc w:val="center"/>
              <w:rPr>
                <w:rFonts w:cs="Arial" w:hint="eastAsia"/>
                <w:lang w:val="en-US"/>
              </w:rPr>
            </w:pPr>
          </w:p>
        </w:tc>
      </w:tr>
      <w:tr w:rsidR="003850FF" w:rsidTr="002C2972">
        <w:tblPrEx>
          <w:tblCellMar>
            <w:top w:w="0" w:type="dxa"/>
            <w:bottom w:w="0" w:type="dxa"/>
          </w:tblCellMar>
        </w:tblPrEx>
        <w:tc>
          <w:tcPr>
            <w:tcW w:w="7588" w:type="dxa"/>
          </w:tcPr>
          <w:p w:rsidR="003850FF" w:rsidRDefault="003850FF" w:rsidP="002C2972">
            <w:pPr>
              <w:tabs>
                <w:tab w:val="left" w:pos="720"/>
              </w:tabs>
              <w:ind w:right="332"/>
              <w:rPr>
                <w:rFonts w:cs="Arial" w:hint="eastAsia"/>
              </w:rPr>
            </w:pPr>
          </w:p>
        </w:tc>
        <w:tc>
          <w:tcPr>
            <w:tcW w:w="774" w:type="dxa"/>
          </w:tcPr>
          <w:p w:rsidR="003850FF" w:rsidRDefault="003850FF" w:rsidP="002C2972">
            <w:pPr>
              <w:jc w:val="center"/>
              <w:rPr>
                <w:rFonts w:cs="Arial"/>
                <w:lang w:val="en-US"/>
              </w:rPr>
            </w:pPr>
          </w:p>
        </w:tc>
      </w:tr>
      <w:tr w:rsidR="003850FF">
        <w:tblPrEx>
          <w:tblCellMar>
            <w:top w:w="0" w:type="dxa"/>
            <w:bottom w:w="0" w:type="dxa"/>
          </w:tblCellMar>
        </w:tblPrEx>
        <w:tc>
          <w:tcPr>
            <w:tcW w:w="7588" w:type="dxa"/>
          </w:tcPr>
          <w:p w:rsidR="003850FF" w:rsidRDefault="003850FF" w:rsidP="00E555CF">
            <w:pPr>
              <w:tabs>
                <w:tab w:val="clear" w:pos="1418"/>
              </w:tabs>
              <w:rPr>
                <w:rFonts w:cs="Arial"/>
                <w:b/>
                <w:szCs w:val="28"/>
              </w:rPr>
            </w:pPr>
            <w:r>
              <w:rPr>
                <w:rFonts w:cs="Arial" w:hint="eastAsia"/>
                <w:b/>
                <w:szCs w:val="28"/>
              </w:rPr>
              <w:t>11.</w:t>
            </w:r>
            <w:r>
              <w:rPr>
                <w:rFonts w:cs="Arial"/>
                <w:b/>
                <w:szCs w:val="28"/>
              </w:rPr>
              <w:tab/>
              <w:t>List of consultation questions</w:t>
            </w:r>
          </w:p>
        </w:tc>
        <w:tc>
          <w:tcPr>
            <w:tcW w:w="774" w:type="dxa"/>
          </w:tcPr>
          <w:p w:rsidR="003850FF" w:rsidRDefault="003850FF" w:rsidP="00265FB2">
            <w:pPr>
              <w:jc w:val="center"/>
              <w:rPr>
                <w:rFonts w:cs="Arial"/>
                <w:lang w:val="en-US"/>
              </w:rPr>
            </w:pPr>
            <w:r>
              <w:rPr>
                <w:rFonts w:cs="Arial" w:hint="eastAsia"/>
                <w:lang w:val="en-US"/>
              </w:rPr>
              <w:t>15</w:t>
            </w:r>
            <w:r w:rsidR="00265FB2">
              <w:rPr>
                <w:rFonts w:cs="Arial"/>
                <w:lang w:val="en-US"/>
              </w:rPr>
              <w:t>9</w:t>
            </w: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r>
              <w:rPr>
                <w:rFonts w:cs="Arial" w:hint="eastAsia"/>
                <w:b/>
                <w:szCs w:val="28"/>
              </w:rPr>
              <w:t>Annex I</w:t>
            </w:r>
          </w:p>
        </w:tc>
        <w:tc>
          <w:tcPr>
            <w:tcW w:w="774" w:type="dxa"/>
          </w:tcPr>
          <w:p w:rsidR="003850FF" w:rsidRDefault="003850FF" w:rsidP="001C13F4">
            <w:pPr>
              <w:jc w:val="center"/>
              <w:rPr>
                <w:rFonts w:cs="Arial"/>
                <w:lang w:val="en-US"/>
              </w:rPr>
            </w:pPr>
            <w:r>
              <w:rPr>
                <w:rFonts w:cs="Arial" w:hint="eastAsia"/>
                <w:lang w:val="en-US"/>
              </w:rPr>
              <w:t>1</w:t>
            </w:r>
            <w:r w:rsidR="001C13F4">
              <w:rPr>
                <w:rFonts w:cs="Arial"/>
                <w:lang w:val="en-US"/>
              </w:rPr>
              <w:t>63</w:t>
            </w: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rsidP="00C152D3">
            <w:pPr>
              <w:jc w:val="left"/>
              <w:rPr>
                <w:rFonts w:cs="Arial" w:hint="eastAsia"/>
              </w:rPr>
            </w:pPr>
            <w:r>
              <w:rPr>
                <w:rFonts w:cs="Arial"/>
                <w:noProof/>
                <w:lang w:eastAsia="zh-HK"/>
              </w:rPr>
              <w:t>Major government records management processes and applicable rules and guidelines</w:t>
            </w:r>
          </w:p>
        </w:tc>
        <w:tc>
          <w:tcPr>
            <w:tcW w:w="774" w:type="dxa"/>
          </w:tcPr>
          <w:p w:rsidR="003850FF" w:rsidRDefault="003850FF" w:rsidP="001C13F4">
            <w:pPr>
              <w:jc w:val="center"/>
              <w:rPr>
                <w:rFonts w:cs="Arial"/>
                <w:lang w:val="en-US"/>
              </w:rPr>
            </w:pPr>
            <w:r>
              <w:rPr>
                <w:rFonts w:cs="Arial" w:hint="eastAsia"/>
                <w:lang w:val="en-US"/>
              </w:rPr>
              <w:t>1</w:t>
            </w:r>
            <w:r w:rsidR="001C13F4">
              <w:rPr>
                <w:rFonts w:cs="Arial"/>
                <w:lang w:val="en-US"/>
              </w:rPr>
              <w:t>63</w:t>
            </w: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r>
              <w:rPr>
                <w:rFonts w:cs="Arial" w:hint="eastAsia"/>
                <w:b/>
                <w:szCs w:val="28"/>
              </w:rPr>
              <w:t>Annex II</w:t>
            </w:r>
          </w:p>
        </w:tc>
        <w:tc>
          <w:tcPr>
            <w:tcW w:w="774" w:type="dxa"/>
          </w:tcPr>
          <w:p w:rsidR="003850FF" w:rsidRDefault="003850FF" w:rsidP="001C13F4">
            <w:pPr>
              <w:jc w:val="center"/>
              <w:rPr>
                <w:rFonts w:cs="Arial"/>
                <w:lang w:val="en-US"/>
              </w:rPr>
            </w:pPr>
            <w:r>
              <w:rPr>
                <w:rFonts w:cs="Arial" w:hint="eastAsia"/>
                <w:lang w:val="en-US"/>
              </w:rPr>
              <w:t>1</w:t>
            </w:r>
            <w:r w:rsidR="001C13F4">
              <w:rPr>
                <w:rFonts w:cs="Arial"/>
                <w:lang w:val="en-US"/>
              </w:rPr>
              <w:t>72</w:t>
            </w: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rsidP="00C152D3">
            <w:pPr>
              <w:jc w:val="left"/>
              <w:rPr>
                <w:rFonts w:cs="Arial" w:hint="eastAsia"/>
                <w:b/>
                <w:szCs w:val="28"/>
              </w:rPr>
            </w:pPr>
            <w:r>
              <w:rPr>
                <w:rFonts w:cs="Arial"/>
                <w:lang w:eastAsia="zh-HK"/>
              </w:rPr>
              <w:t>Summary of steps involved in the transfer of time-expired records (for both paper and non-paper) process</w:t>
            </w:r>
          </w:p>
        </w:tc>
        <w:tc>
          <w:tcPr>
            <w:tcW w:w="774" w:type="dxa"/>
          </w:tcPr>
          <w:p w:rsidR="003850FF" w:rsidRDefault="003850FF" w:rsidP="001C13F4">
            <w:pPr>
              <w:jc w:val="center"/>
              <w:rPr>
                <w:rFonts w:cs="Arial"/>
                <w:lang w:val="en-US"/>
              </w:rPr>
            </w:pPr>
            <w:r>
              <w:rPr>
                <w:rFonts w:cs="Arial" w:hint="eastAsia"/>
                <w:lang w:val="en-US"/>
              </w:rPr>
              <w:t>1</w:t>
            </w:r>
            <w:r w:rsidR="001C13F4">
              <w:rPr>
                <w:rFonts w:cs="Arial"/>
                <w:lang w:val="en-US"/>
              </w:rPr>
              <w:t>72</w:t>
            </w: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r>
              <w:rPr>
                <w:rFonts w:cs="Arial" w:hint="eastAsia"/>
                <w:b/>
                <w:szCs w:val="28"/>
              </w:rPr>
              <w:t>Annex III</w:t>
            </w:r>
          </w:p>
        </w:tc>
        <w:tc>
          <w:tcPr>
            <w:tcW w:w="774" w:type="dxa"/>
          </w:tcPr>
          <w:p w:rsidR="003850FF" w:rsidRDefault="00004F42" w:rsidP="001C13F4">
            <w:pPr>
              <w:jc w:val="center"/>
              <w:rPr>
                <w:rFonts w:cs="Arial"/>
                <w:lang w:val="en-US"/>
              </w:rPr>
            </w:pPr>
            <w:r>
              <w:rPr>
                <w:rFonts w:cs="Arial" w:hint="eastAsia"/>
                <w:lang w:val="en-US"/>
              </w:rPr>
              <w:t>17</w:t>
            </w:r>
            <w:r w:rsidR="001C13F4">
              <w:rPr>
                <w:rFonts w:cs="Arial"/>
                <w:lang w:val="en-US"/>
              </w:rPr>
              <w:t>7</w:t>
            </w:r>
          </w:p>
        </w:tc>
      </w:tr>
      <w:tr w:rsidR="003850FF">
        <w:tblPrEx>
          <w:tblCellMar>
            <w:top w:w="0" w:type="dxa"/>
            <w:bottom w:w="0" w:type="dxa"/>
          </w:tblCellMar>
        </w:tblPrEx>
        <w:tc>
          <w:tcPr>
            <w:tcW w:w="7588" w:type="dxa"/>
          </w:tcPr>
          <w:p w:rsidR="003850FF" w:rsidRDefault="003850FF">
            <w:pPr>
              <w:tabs>
                <w:tab w:val="clear" w:pos="1418"/>
              </w:tabs>
              <w:rPr>
                <w:rFonts w:cs="Arial" w:hint="eastAsia"/>
                <w:b/>
                <w:szCs w:val="28"/>
              </w:rPr>
            </w:pPr>
          </w:p>
        </w:tc>
        <w:tc>
          <w:tcPr>
            <w:tcW w:w="774" w:type="dxa"/>
          </w:tcPr>
          <w:p w:rsidR="003850FF" w:rsidRDefault="003850FF">
            <w:pPr>
              <w:jc w:val="center"/>
              <w:rPr>
                <w:rFonts w:cs="Arial"/>
                <w:lang w:val="en-US"/>
              </w:rPr>
            </w:pPr>
          </w:p>
        </w:tc>
      </w:tr>
      <w:tr w:rsidR="003850FF">
        <w:tblPrEx>
          <w:tblCellMar>
            <w:top w:w="0" w:type="dxa"/>
            <w:bottom w:w="0" w:type="dxa"/>
          </w:tblCellMar>
        </w:tblPrEx>
        <w:tc>
          <w:tcPr>
            <w:tcW w:w="7588" w:type="dxa"/>
          </w:tcPr>
          <w:p w:rsidR="003850FF" w:rsidRDefault="003850FF">
            <w:pPr>
              <w:tabs>
                <w:tab w:val="clear" w:pos="1418"/>
              </w:tabs>
              <w:rPr>
                <w:rFonts w:cs="Arial" w:hint="eastAsia"/>
                <w:szCs w:val="28"/>
              </w:rPr>
            </w:pPr>
            <w:r>
              <w:rPr>
                <w:rFonts w:cs="Arial"/>
                <w:szCs w:val="26"/>
                <w:lang w:eastAsia="zh-HK"/>
              </w:rPr>
              <w:t>Brief summary of survey results</w:t>
            </w:r>
          </w:p>
        </w:tc>
        <w:tc>
          <w:tcPr>
            <w:tcW w:w="774" w:type="dxa"/>
          </w:tcPr>
          <w:p w:rsidR="003850FF" w:rsidRDefault="00004F42" w:rsidP="001C13F4">
            <w:pPr>
              <w:jc w:val="center"/>
              <w:rPr>
                <w:rFonts w:cs="Arial"/>
                <w:lang w:val="en-US"/>
              </w:rPr>
            </w:pPr>
            <w:r>
              <w:rPr>
                <w:rFonts w:cs="Arial" w:hint="eastAsia"/>
                <w:lang w:val="en-US"/>
              </w:rPr>
              <w:t>17</w:t>
            </w:r>
            <w:r w:rsidR="001C13F4">
              <w:rPr>
                <w:rFonts w:cs="Arial"/>
                <w:lang w:val="en-US"/>
              </w:rPr>
              <w:t>7</w:t>
            </w:r>
          </w:p>
        </w:tc>
      </w:tr>
    </w:tbl>
    <w:p w:rsidR="005961E6" w:rsidRDefault="005961E6">
      <w:pPr>
        <w:rPr>
          <w:rFonts w:cs="Arial"/>
          <w:b/>
        </w:rPr>
      </w:pPr>
    </w:p>
    <w:bookmarkEnd w:id="0"/>
    <w:bookmarkEnd w:id="1"/>
    <w:p w:rsidR="008D1C0B" w:rsidRDefault="008D1C0B">
      <w:pPr>
        <w:pStyle w:val="Heading1"/>
        <w:keepNext w:val="0"/>
        <w:rPr>
          <w:rFonts w:cs="Arial"/>
          <w:i/>
          <w:sz w:val="20"/>
          <w:szCs w:val="20"/>
          <w:lang w:val="en-US"/>
        </w:rPr>
        <w:sectPr w:rsidR="008D1C0B" w:rsidSect="0099054B">
          <w:footerReference w:type="default" r:id="rId13"/>
          <w:footnotePr>
            <w:numStart w:val="49"/>
            <w:numRestart w:val="eachSect"/>
          </w:footnotePr>
          <w:pgSz w:w="11906" w:h="16838" w:code="9"/>
          <w:pgMar w:top="1440" w:right="1800" w:bottom="1440" w:left="1800" w:header="720" w:footer="720" w:gutter="0"/>
          <w:pgNumType w:fmt="lowerRoman" w:start="1"/>
          <w:cols w:space="425"/>
          <w:docGrid w:type="linesAndChars" w:linePitch="360"/>
        </w:sectPr>
      </w:pPr>
    </w:p>
    <w:p w:rsidR="008D1C0B" w:rsidRDefault="008D1C0B">
      <w:pPr>
        <w:jc w:val="center"/>
        <w:rPr>
          <w:rFonts w:cs="Arial"/>
          <w:b/>
          <w:sz w:val="28"/>
          <w:szCs w:val="28"/>
          <w:u w:val="single"/>
        </w:rPr>
      </w:pPr>
      <w:r>
        <w:rPr>
          <w:rFonts w:cs="Arial"/>
          <w:b/>
          <w:sz w:val="28"/>
          <w:szCs w:val="28"/>
          <w:u w:val="single"/>
        </w:rPr>
        <w:lastRenderedPageBreak/>
        <w:t xml:space="preserve">List of </w:t>
      </w:r>
      <w:r>
        <w:rPr>
          <w:rFonts w:cs="Arial" w:hint="eastAsia"/>
          <w:b/>
          <w:sz w:val="28"/>
          <w:szCs w:val="28"/>
          <w:u w:val="single"/>
        </w:rPr>
        <w:t>a</w:t>
      </w:r>
      <w:r>
        <w:rPr>
          <w:rFonts w:cs="Arial"/>
          <w:b/>
          <w:sz w:val="28"/>
          <w:szCs w:val="28"/>
          <w:u w:val="single"/>
        </w:rPr>
        <w:t>bbreviations</w:t>
      </w:r>
    </w:p>
    <w:p w:rsidR="008D1C0B" w:rsidRDefault="008D1C0B">
      <w:pPr>
        <w:rPr>
          <w:rFonts w:cs="Arial"/>
        </w:rPr>
      </w:pPr>
    </w:p>
    <w:p w:rsidR="008D1C0B" w:rsidRDefault="008D1C0B">
      <w:pPr>
        <w:rPr>
          <w:rFonts w:cs="Arial"/>
        </w:rPr>
      </w:pPr>
    </w:p>
    <w:p w:rsidR="008D1C0B" w:rsidRDefault="008D1C0B">
      <w:pPr>
        <w:rPr>
          <w:rFonts w:cs="Arial"/>
          <w:b/>
          <w:i/>
          <w:u w:val="single"/>
        </w:rPr>
      </w:pPr>
      <w:r>
        <w:rPr>
          <w:rFonts w:cs="Arial"/>
          <w:b/>
          <w:i/>
          <w:u w:val="single"/>
        </w:rPr>
        <w:t xml:space="preserve">Archival </w:t>
      </w:r>
      <w:r>
        <w:rPr>
          <w:rFonts w:cs="Arial" w:hint="eastAsia"/>
          <w:b/>
          <w:i/>
          <w:u w:val="single"/>
        </w:rPr>
        <w:t>b</w:t>
      </w:r>
      <w:r>
        <w:rPr>
          <w:rFonts w:cs="Arial"/>
          <w:b/>
          <w:i/>
          <w:u w:val="single"/>
        </w:rPr>
        <w:t>odies</w:t>
      </w:r>
    </w:p>
    <w:p w:rsidR="008D1C0B" w:rsidRDefault="008D1C0B">
      <w:pPr>
        <w:rPr>
          <w:rFonts w:cs="Arial"/>
        </w:rPr>
      </w:pPr>
    </w:p>
    <w:tbl>
      <w:tblPr>
        <w:tblW w:w="0" w:type="auto"/>
        <w:tblLook w:val="04A0" w:firstRow="1" w:lastRow="0" w:firstColumn="1" w:lastColumn="0" w:noHBand="0" w:noVBand="1"/>
      </w:tblPr>
      <w:tblGrid>
        <w:gridCol w:w="2376"/>
        <w:gridCol w:w="5986"/>
      </w:tblGrid>
      <w:tr w:rsidR="008D1C0B">
        <w:tc>
          <w:tcPr>
            <w:tcW w:w="2376" w:type="dxa"/>
            <w:shd w:val="clear" w:color="auto" w:fill="auto"/>
          </w:tcPr>
          <w:p w:rsidR="008D1C0B" w:rsidRDefault="008D1C0B">
            <w:pPr>
              <w:spacing w:before="60" w:after="60"/>
              <w:rPr>
                <w:rFonts w:cs="Arial"/>
              </w:rPr>
            </w:pPr>
            <w:r>
              <w:rPr>
                <w:rFonts w:cs="Arial"/>
              </w:rPr>
              <w:t>ACNRA</w:t>
            </w:r>
          </w:p>
        </w:tc>
        <w:tc>
          <w:tcPr>
            <w:tcW w:w="5986" w:type="dxa"/>
            <w:shd w:val="clear" w:color="auto" w:fill="auto"/>
            <w:vAlign w:val="center"/>
          </w:tcPr>
          <w:p w:rsidR="008D1C0B" w:rsidRDefault="008D1C0B">
            <w:pPr>
              <w:spacing w:before="60" w:after="60"/>
              <w:rPr>
                <w:rFonts w:cs="Arial"/>
              </w:rPr>
            </w:pPr>
            <w:r>
              <w:rPr>
                <w:rFonts w:cs="Arial"/>
              </w:rPr>
              <w:t>Advisory Council on National Records and Archives (England)</w:t>
            </w:r>
          </w:p>
        </w:tc>
      </w:tr>
      <w:tr w:rsidR="008D1C0B">
        <w:tc>
          <w:tcPr>
            <w:tcW w:w="2376" w:type="dxa"/>
            <w:shd w:val="clear" w:color="auto" w:fill="auto"/>
          </w:tcPr>
          <w:p w:rsidR="008D1C0B" w:rsidRDefault="008D1C0B">
            <w:pPr>
              <w:spacing w:before="60" w:after="60"/>
              <w:rPr>
                <w:rFonts w:cs="Arial"/>
              </w:rPr>
            </w:pPr>
            <w:r>
              <w:rPr>
                <w:rFonts w:cs="Arial"/>
              </w:rPr>
              <w:t>Advisory Council (Ire)</w:t>
            </w:r>
          </w:p>
        </w:tc>
        <w:tc>
          <w:tcPr>
            <w:tcW w:w="5986" w:type="dxa"/>
            <w:shd w:val="clear" w:color="auto" w:fill="auto"/>
          </w:tcPr>
          <w:p w:rsidR="008D1C0B" w:rsidRDefault="008D1C0B">
            <w:pPr>
              <w:spacing w:before="60" w:after="60"/>
              <w:rPr>
                <w:rFonts w:cs="Arial"/>
              </w:rPr>
            </w:pPr>
            <w:r>
              <w:rPr>
                <w:rFonts w:cs="Arial"/>
              </w:rPr>
              <w:t>National Archives Advisory Council (Ireland)</w:t>
            </w:r>
          </w:p>
        </w:tc>
      </w:tr>
      <w:tr w:rsidR="008D1C0B">
        <w:tc>
          <w:tcPr>
            <w:tcW w:w="2376" w:type="dxa"/>
            <w:shd w:val="clear" w:color="auto" w:fill="auto"/>
          </w:tcPr>
          <w:p w:rsidR="008D1C0B" w:rsidRDefault="008D1C0B">
            <w:pPr>
              <w:spacing w:before="60" w:after="60"/>
              <w:rPr>
                <w:rFonts w:cs="Arial"/>
              </w:rPr>
            </w:pPr>
            <w:r>
              <w:rPr>
                <w:rFonts w:cs="Arial"/>
              </w:rPr>
              <w:t xml:space="preserve">Archives Council (NZ) </w:t>
            </w:r>
          </w:p>
        </w:tc>
        <w:tc>
          <w:tcPr>
            <w:tcW w:w="5986" w:type="dxa"/>
            <w:shd w:val="clear" w:color="auto" w:fill="auto"/>
          </w:tcPr>
          <w:p w:rsidR="008D1C0B" w:rsidRDefault="008D1C0B">
            <w:pPr>
              <w:spacing w:before="60" w:after="60"/>
              <w:rPr>
                <w:rFonts w:cs="Arial"/>
              </w:rPr>
            </w:pPr>
            <w:r>
              <w:rPr>
                <w:rFonts w:cs="Arial"/>
              </w:rPr>
              <w:t>Advisory council established under Public Records Act 2005 (New Zealand)</w:t>
            </w:r>
          </w:p>
        </w:tc>
      </w:tr>
      <w:tr w:rsidR="008D1C0B">
        <w:tc>
          <w:tcPr>
            <w:tcW w:w="2376" w:type="dxa"/>
            <w:shd w:val="clear" w:color="auto" w:fill="auto"/>
          </w:tcPr>
          <w:p w:rsidR="008D1C0B" w:rsidRDefault="008D1C0B">
            <w:pPr>
              <w:spacing w:before="60" w:after="60"/>
              <w:rPr>
                <w:rFonts w:cs="Arial"/>
              </w:rPr>
            </w:pPr>
            <w:r>
              <w:rPr>
                <w:rFonts w:cs="Arial"/>
              </w:rPr>
              <w:t>ANZ</w:t>
            </w:r>
          </w:p>
        </w:tc>
        <w:tc>
          <w:tcPr>
            <w:tcW w:w="5986" w:type="dxa"/>
            <w:shd w:val="clear" w:color="auto" w:fill="auto"/>
          </w:tcPr>
          <w:p w:rsidR="008D1C0B" w:rsidRDefault="008D1C0B">
            <w:pPr>
              <w:spacing w:before="60" w:after="60"/>
              <w:rPr>
                <w:rFonts w:cs="Arial"/>
              </w:rPr>
            </w:pPr>
            <w:r>
              <w:rPr>
                <w:rFonts w:cs="Arial"/>
              </w:rPr>
              <w:t>Archives New Zealand</w:t>
            </w:r>
          </w:p>
        </w:tc>
      </w:tr>
      <w:tr w:rsidR="008D1C0B">
        <w:tc>
          <w:tcPr>
            <w:tcW w:w="2376" w:type="dxa"/>
            <w:shd w:val="clear" w:color="auto" w:fill="auto"/>
          </w:tcPr>
          <w:p w:rsidR="008D1C0B" w:rsidRDefault="008D1C0B">
            <w:pPr>
              <w:spacing w:before="60" w:after="60"/>
              <w:rPr>
                <w:rFonts w:cs="Arial"/>
              </w:rPr>
            </w:pPr>
            <w:r>
              <w:rPr>
                <w:rFonts w:cs="Arial"/>
              </w:rPr>
              <w:t>GRS</w:t>
            </w:r>
          </w:p>
        </w:tc>
        <w:tc>
          <w:tcPr>
            <w:tcW w:w="5986" w:type="dxa"/>
            <w:shd w:val="clear" w:color="auto" w:fill="auto"/>
          </w:tcPr>
          <w:p w:rsidR="008D1C0B" w:rsidRDefault="008D1C0B">
            <w:pPr>
              <w:spacing w:before="60" w:after="60"/>
              <w:rPr>
                <w:rFonts w:cs="Arial"/>
              </w:rPr>
            </w:pPr>
            <w:r>
              <w:rPr>
                <w:rFonts w:cs="Arial"/>
              </w:rPr>
              <w:t>Government Records Service (Hong Kong)</w:t>
            </w:r>
          </w:p>
        </w:tc>
      </w:tr>
      <w:tr w:rsidR="008D1C0B">
        <w:tc>
          <w:tcPr>
            <w:tcW w:w="2376" w:type="dxa"/>
            <w:shd w:val="clear" w:color="auto" w:fill="auto"/>
          </w:tcPr>
          <w:p w:rsidR="008D1C0B" w:rsidRDefault="008D1C0B">
            <w:pPr>
              <w:spacing w:before="60" w:after="60"/>
              <w:rPr>
                <w:rFonts w:cs="Arial"/>
              </w:rPr>
            </w:pPr>
            <w:r>
              <w:rPr>
                <w:rFonts w:cs="Arial"/>
              </w:rPr>
              <w:t>NAA</w:t>
            </w:r>
          </w:p>
        </w:tc>
        <w:tc>
          <w:tcPr>
            <w:tcW w:w="5986" w:type="dxa"/>
            <w:shd w:val="clear" w:color="auto" w:fill="auto"/>
          </w:tcPr>
          <w:p w:rsidR="008D1C0B" w:rsidRDefault="008D1C0B">
            <w:pPr>
              <w:spacing w:before="60" w:after="60"/>
              <w:rPr>
                <w:rFonts w:cs="Arial"/>
              </w:rPr>
            </w:pPr>
            <w:r>
              <w:rPr>
                <w:rFonts w:cs="Arial"/>
              </w:rPr>
              <w:t>National Archives of Australia</w:t>
            </w:r>
          </w:p>
        </w:tc>
      </w:tr>
      <w:tr w:rsidR="008D1C0B">
        <w:tc>
          <w:tcPr>
            <w:tcW w:w="2376" w:type="dxa"/>
            <w:shd w:val="clear" w:color="auto" w:fill="auto"/>
          </w:tcPr>
          <w:p w:rsidR="008D1C0B" w:rsidRDefault="008D1C0B">
            <w:pPr>
              <w:spacing w:before="60" w:after="60"/>
              <w:rPr>
                <w:rFonts w:cs="Arial"/>
              </w:rPr>
            </w:pPr>
            <w:r>
              <w:rPr>
                <w:rFonts w:cs="Arial"/>
              </w:rPr>
              <w:t>NAAAC</w:t>
            </w:r>
          </w:p>
        </w:tc>
        <w:tc>
          <w:tcPr>
            <w:tcW w:w="5986" w:type="dxa"/>
            <w:shd w:val="clear" w:color="auto" w:fill="auto"/>
          </w:tcPr>
          <w:p w:rsidR="008D1C0B" w:rsidRDefault="008D1C0B">
            <w:pPr>
              <w:spacing w:before="60" w:after="60"/>
              <w:rPr>
                <w:rFonts w:cs="Arial"/>
              </w:rPr>
            </w:pPr>
            <w:r>
              <w:rPr>
                <w:rFonts w:cs="Arial"/>
              </w:rPr>
              <w:t>National Archives of Australia Advisory Council</w:t>
            </w:r>
          </w:p>
        </w:tc>
      </w:tr>
      <w:tr w:rsidR="008D1C0B">
        <w:tc>
          <w:tcPr>
            <w:tcW w:w="2376" w:type="dxa"/>
            <w:shd w:val="clear" w:color="auto" w:fill="auto"/>
          </w:tcPr>
          <w:p w:rsidR="008D1C0B" w:rsidRDefault="008D1C0B">
            <w:pPr>
              <w:spacing w:before="60" w:after="60"/>
              <w:rPr>
                <w:rFonts w:cs="Arial"/>
              </w:rPr>
            </w:pPr>
            <w:r>
              <w:rPr>
                <w:rFonts w:cs="Arial"/>
              </w:rPr>
              <w:t>NAI</w:t>
            </w:r>
          </w:p>
        </w:tc>
        <w:tc>
          <w:tcPr>
            <w:tcW w:w="5986" w:type="dxa"/>
            <w:shd w:val="clear" w:color="auto" w:fill="auto"/>
          </w:tcPr>
          <w:p w:rsidR="008D1C0B" w:rsidRDefault="008D1C0B">
            <w:pPr>
              <w:spacing w:before="60" w:after="60"/>
              <w:rPr>
                <w:rFonts w:cs="Arial"/>
              </w:rPr>
            </w:pPr>
            <w:r>
              <w:rPr>
                <w:rFonts w:cs="Arial"/>
              </w:rPr>
              <w:t>National Archives of Ireland</w:t>
            </w:r>
          </w:p>
        </w:tc>
      </w:tr>
      <w:tr w:rsidR="008D1C0B">
        <w:tc>
          <w:tcPr>
            <w:tcW w:w="2376" w:type="dxa"/>
            <w:shd w:val="clear" w:color="auto" w:fill="auto"/>
          </w:tcPr>
          <w:p w:rsidR="008D1C0B" w:rsidRDefault="008D1C0B">
            <w:pPr>
              <w:spacing w:before="60" w:after="60"/>
              <w:rPr>
                <w:rFonts w:cs="Arial"/>
              </w:rPr>
            </w:pPr>
            <w:r>
              <w:rPr>
                <w:rFonts w:cs="Arial"/>
              </w:rPr>
              <w:t>NAS</w:t>
            </w:r>
          </w:p>
        </w:tc>
        <w:tc>
          <w:tcPr>
            <w:tcW w:w="5986" w:type="dxa"/>
            <w:shd w:val="clear" w:color="auto" w:fill="auto"/>
          </w:tcPr>
          <w:p w:rsidR="008D1C0B" w:rsidRDefault="008D1C0B">
            <w:pPr>
              <w:spacing w:before="60" w:after="60"/>
              <w:rPr>
                <w:rFonts w:cs="Arial"/>
              </w:rPr>
            </w:pPr>
            <w:r>
              <w:rPr>
                <w:rFonts w:cs="Arial"/>
              </w:rPr>
              <w:t>National Archives of Singapore</w:t>
            </w:r>
          </w:p>
        </w:tc>
      </w:tr>
      <w:tr w:rsidR="008D1C0B">
        <w:tc>
          <w:tcPr>
            <w:tcW w:w="2376" w:type="dxa"/>
            <w:shd w:val="clear" w:color="auto" w:fill="auto"/>
          </w:tcPr>
          <w:p w:rsidR="008D1C0B" w:rsidRDefault="008D1C0B">
            <w:pPr>
              <w:spacing w:before="60" w:after="60"/>
              <w:rPr>
                <w:rFonts w:cs="Arial"/>
              </w:rPr>
            </w:pPr>
            <w:r>
              <w:rPr>
                <w:rFonts w:cs="Arial"/>
              </w:rPr>
              <w:t>NLB</w:t>
            </w:r>
          </w:p>
        </w:tc>
        <w:tc>
          <w:tcPr>
            <w:tcW w:w="5986" w:type="dxa"/>
            <w:shd w:val="clear" w:color="auto" w:fill="auto"/>
          </w:tcPr>
          <w:p w:rsidR="008D1C0B" w:rsidRDefault="008D1C0B">
            <w:pPr>
              <w:spacing w:before="60" w:after="60"/>
              <w:rPr>
                <w:rFonts w:cs="Arial"/>
              </w:rPr>
            </w:pPr>
            <w:r>
              <w:rPr>
                <w:rFonts w:cs="Arial"/>
              </w:rPr>
              <w:t>National Library Board (Singapore)</w:t>
            </w:r>
          </w:p>
        </w:tc>
      </w:tr>
      <w:tr w:rsidR="008D1C0B">
        <w:tc>
          <w:tcPr>
            <w:tcW w:w="2376" w:type="dxa"/>
            <w:shd w:val="clear" w:color="auto" w:fill="auto"/>
          </w:tcPr>
          <w:p w:rsidR="008D1C0B" w:rsidRDefault="008D1C0B">
            <w:pPr>
              <w:spacing w:before="60" w:after="60"/>
              <w:rPr>
                <w:rFonts w:cs="Arial"/>
              </w:rPr>
            </w:pPr>
            <w:r>
              <w:rPr>
                <w:rFonts w:cs="Arial"/>
              </w:rPr>
              <w:t>PRO</w:t>
            </w:r>
          </w:p>
        </w:tc>
        <w:tc>
          <w:tcPr>
            <w:tcW w:w="5986" w:type="dxa"/>
            <w:shd w:val="clear" w:color="auto" w:fill="auto"/>
          </w:tcPr>
          <w:p w:rsidR="008D1C0B" w:rsidRDefault="008D1C0B">
            <w:pPr>
              <w:spacing w:before="60" w:after="60"/>
              <w:rPr>
                <w:rFonts w:cs="Arial"/>
              </w:rPr>
            </w:pPr>
            <w:r>
              <w:rPr>
                <w:rFonts w:cs="Arial"/>
              </w:rPr>
              <w:t>Public Record Office (England)</w:t>
            </w:r>
          </w:p>
        </w:tc>
      </w:tr>
      <w:tr w:rsidR="008D1C0B">
        <w:tc>
          <w:tcPr>
            <w:tcW w:w="2376" w:type="dxa"/>
            <w:shd w:val="clear" w:color="auto" w:fill="auto"/>
          </w:tcPr>
          <w:p w:rsidR="008D1C0B" w:rsidRDefault="008D1C0B">
            <w:pPr>
              <w:spacing w:before="60" w:after="60"/>
              <w:rPr>
                <w:rFonts w:cs="Arial"/>
              </w:rPr>
            </w:pPr>
            <w:r>
              <w:rPr>
                <w:rFonts w:cs="Arial"/>
              </w:rPr>
              <w:t>TNA</w:t>
            </w:r>
          </w:p>
        </w:tc>
        <w:tc>
          <w:tcPr>
            <w:tcW w:w="5986" w:type="dxa"/>
            <w:shd w:val="clear" w:color="auto" w:fill="auto"/>
          </w:tcPr>
          <w:p w:rsidR="008D1C0B" w:rsidRDefault="008D1C0B">
            <w:pPr>
              <w:spacing w:before="60" w:after="60"/>
              <w:rPr>
                <w:rFonts w:cs="Arial"/>
              </w:rPr>
            </w:pPr>
            <w:r>
              <w:rPr>
                <w:rFonts w:cs="Arial"/>
              </w:rPr>
              <w:t>The National Archives (England)</w:t>
            </w:r>
          </w:p>
        </w:tc>
      </w:tr>
    </w:tbl>
    <w:p w:rsidR="008D1C0B" w:rsidRDefault="008D1C0B">
      <w:pPr>
        <w:rPr>
          <w:rFonts w:cs="Arial"/>
        </w:rPr>
      </w:pPr>
    </w:p>
    <w:p w:rsidR="008D1C0B" w:rsidRDefault="008D1C0B">
      <w:pPr>
        <w:rPr>
          <w:rFonts w:cs="Arial"/>
        </w:rPr>
      </w:pPr>
    </w:p>
    <w:p w:rsidR="008D1C0B" w:rsidRDefault="008D1C0B">
      <w:pPr>
        <w:rPr>
          <w:rFonts w:cs="Arial"/>
          <w:b/>
          <w:i/>
          <w:u w:val="single"/>
        </w:rPr>
      </w:pPr>
      <w:r>
        <w:rPr>
          <w:rFonts w:cs="Arial"/>
          <w:b/>
          <w:i/>
          <w:u w:val="single"/>
        </w:rPr>
        <w:t>Legislation</w:t>
      </w:r>
    </w:p>
    <w:p w:rsidR="008D1C0B" w:rsidRDefault="008D1C0B">
      <w:pPr>
        <w:rPr>
          <w:rFonts w:cs="Arial"/>
        </w:rPr>
      </w:pPr>
    </w:p>
    <w:tbl>
      <w:tblPr>
        <w:tblW w:w="0" w:type="auto"/>
        <w:tblLook w:val="04A0" w:firstRow="1" w:lastRow="0" w:firstColumn="1" w:lastColumn="0" w:noHBand="0" w:noVBand="1"/>
      </w:tblPr>
      <w:tblGrid>
        <w:gridCol w:w="2376"/>
        <w:gridCol w:w="5986"/>
      </w:tblGrid>
      <w:tr w:rsidR="008D1C0B">
        <w:tc>
          <w:tcPr>
            <w:tcW w:w="2376" w:type="dxa"/>
            <w:shd w:val="clear" w:color="auto" w:fill="auto"/>
            <w:vAlign w:val="center"/>
          </w:tcPr>
          <w:p w:rsidR="008D1C0B" w:rsidRDefault="008D1C0B">
            <w:pPr>
              <w:spacing w:before="60" w:after="60"/>
              <w:rPr>
                <w:rFonts w:cs="Arial"/>
              </w:rPr>
            </w:pPr>
            <w:r>
              <w:rPr>
                <w:rFonts w:cs="Arial"/>
              </w:rPr>
              <w:t>1958 Act</w:t>
            </w:r>
          </w:p>
        </w:tc>
        <w:tc>
          <w:tcPr>
            <w:tcW w:w="5986" w:type="dxa"/>
            <w:shd w:val="clear" w:color="auto" w:fill="auto"/>
            <w:vAlign w:val="center"/>
          </w:tcPr>
          <w:p w:rsidR="008D1C0B" w:rsidRDefault="008D1C0B">
            <w:pPr>
              <w:spacing w:before="60" w:after="60"/>
              <w:rPr>
                <w:rFonts w:cs="Arial"/>
              </w:rPr>
            </w:pPr>
            <w:r>
              <w:rPr>
                <w:rFonts w:cs="Arial"/>
              </w:rPr>
              <w:t>Public Records Act 1958 (England)</w:t>
            </w:r>
          </w:p>
        </w:tc>
      </w:tr>
      <w:tr w:rsidR="008D1C0B">
        <w:tc>
          <w:tcPr>
            <w:tcW w:w="2376" w:type="dxa"/>
            <w:shd w:val="clear" w:color="auto" w:fill="auto"/>
            <w:vAlign w:val="center"/>
          </w:tcPr>
          <w:p w:rsidR="008D1C0B" w:rsidRDefault="008D1C0B">
            <w:pPr>
              <w:spacing w:before="60" w:after="60"/>
              <w:rPr>
                <w:rFonts w:cs="Arial"/>
              </w:rPr>
            </w:pPr>
            <w:r>
              <w:rPr>
                <w:rFonts w:cs="Arial"/>
              </w:rPr>
              <w:t>1983 Act</w:t>
            </w:r>
          </w:p>
        </w:tc>
        <w:tc>
          <w:tcPr>
            <w:tcW w:w="5986" w:type="dxa"/>
            <w:shd w:val="clear" w:color="auto" w:fill="auto"/>
            <w:vAlign w:val="center"/>
          </w:tcPr>
          <w:p w:rsidR="008D1C0B" w:rsidRDefault="008D1C0B">
            <w:pPr>
              <w:spacing w:before="60" w:after="60"/>
              <w:rPr>
                <w:rFonts w:cs="Arial"/>
              </w:rPr>
            </w:pPr>
            <w:r>
              <w:rPr>
                <w:rFonts w:cs="Arial"/>
              </w:rPr>
              <w:t>Archives Act 1983 (Australia)</w:t>
            </w:r>
          </w:p>
        </w:tc>
      </w:tr>
      <w:tr w:rsidR="008D1C0B">
        <w:tc>
          <w:tcPr>
            <w:tcW w:w="2376" w:type="dxa"/>
            <w:shd w:val="clear" w:color="auto" w:fill="auto"/>
            <w:vAlign w:val="center"/>
          </w:tcPr>
          <w:p w:rsidR="008D1C0B" w:rsidRDefault="008D1C0B">
            <w:pPr>
              <w:spacing w:before="60" w:after="60"/>
              <w:rPr>
                <w:rFonts w:cs="Arial"/>
              </w:rPr>
            </w:pPr>
            <w:r>
              <w:rPr>
                <w:rFonts w:cs="Arial"/>
              </w:rPr>
              <w:t>1986 Act</w:t>
            </w:r>
          </w:p>
        </w:tc>
        <w:tc>
          <w:tcPr>
            <w:tcW w:w="5986" w:type="dxa"/>
            <w:shd w:val="clear" w:color="auto" w:fill="auto"/>
            <w:vAlign w:val="center"/>
          </w:tcPr>
          <w:p w:rsidR="008D1C0B" w:rsidRDefault="008D1C0B">
            <w:pPr>
              <w:spacing w:before="60" w:after="60"/>
              <w:rPr>
                <w:rFonts w:cs="Arial"/>
              </w:rPr>
            </w:pPr>
            <w:r>
              <w:rPr>
                <w:rFonts w:cs="Arial"/>
              </w:rPr>
              <w:t>National Archives Act 1986 (Ireland)</w:t>
            </w:r>
          </w:p>
        </w:tc>
      </w:tr>
      <w:tr w:rsidR="008D1C0B">
        <w:tc>
          <w:tcPr>
            <w:tcW w:w="2376" w:type="dxa"/>
            <w:shd w:val="clear" w:color="auto" w:fill="auto"/>
            <w:vAlign w:val="center"/>
          </w:tcPr>
          <w:p w:rsidR="008D1C0B" w:rsidRDefault="008D1C0B">
            <w:pPr>
              <w:spacing w:before="60" w:after="60"/>
              <w:rPr>
                <w:rFonts w:cs="Arial"/>
              </w:rPr>
            </w:pPr>
            <w:r>
              <w:rPr>
                <w:rFonts w:cs="Arial"/>
              </w:rPr>
              <w:t>2005 Act</w:t>
            </w:r>
          </w:p>
        </w:tc>
        <w:tc>
          <w:tcPr>
            <w:tcW w:w="5986" w:type="dxa"/>
            <w:shd w:val="clear" w:color="auto" w:fill="auto"/>
            <w:vAlign w:val="center"/>
          </w:tcPr>
          <w:p w:rsidR="008D1C0B" w:rsidRDefault="008D1C0B">
            <w:pPr>
              <w:spacing w:before="60" w:after="60"/>
              <w:rPr>
                <w:rFonts w:cs="Arial"/>
              </w:rPr>
            </w:pPr>
            <w:r>
              <w:rPr>
                <w:rFonts w:cs="Arial"/>
              </w:rPr>
              <w:t>Public Records Act 2005 (New Zealand)</w:t>
            </w:r>
          </w:p>
        </w:tc>
      </w:tr>
      <w:tr w:rsidR="008D1C0B">
        <w:tc>
          <w:tcPr>
            <w:tcW w:w="2376" w:type="dxa"/>
            <w:shd w:val="clear" w:color="auto" w:fill="auto"/>
            <w:vAlign w:val="center"/>
          </w:tcPr>
          <w:p w:rsidR="008D1C0B" w:rsidRDefault="008D1C0B">
            <w:pPr>
              <w:spacing w:before="60" w:after="60"/>
              <w:rPr>
                <w:rFonts w:cs="Arial"/>
              </w:rPr>
            </w:pPr>
            <w:r>
              <w:rPr>
                <w:rFonts w:cs="Arial"/>
              </w:rPr>
              <w:t>NLBA</w:t>
            </w:r>
          </w:p>
        </w:tc>
        <w:tc>
          <w:tcPr>
            <w:tcW w:w="5986" w:type="dxa"/>
            <w:shd w:val="clear" w:color="auto" w:fill="auto"/>
            <w:vAlign w:val="center"/>
          </w:tcPr>
          <w:p w:rsidR="008D1C0B" w:rsidRDefault="008D1C0B">
            <w:pPr>
              <w:spacing w:before="60" w:after="60"/>
              <w:rPr>
                <w:rFonts w:cs="Arial"/>
              </w:rPr>
            </w:pPr>
            <w:r>
              <w:rPr>
                <w:rFonts w:cs="Arial"/>
              </w:rPr>
              <w:t>National Library Board Act (Cap 197)(Singapore)</w:t>
            </w:r>
          </w:p>
        </w:tc>
      </w:tr>
      <w:tr w:rsidR="008D1C0B">
        <w:tc>
          <w:tcPr>
            <w:tcW w:w="2376" w:type="dxa"/>
            <w:shd w:val="clear" w:color="auto" w:fill="auto"/>
            <w:vAlign w:val="center"/>
          </w:tcPr>
          <w:p w:rsidR="008D1C0B" w:rsidRDefault="008D1C0B">
            <w:pPr>
              <w:spacing w:before="60" w:after="60"/>
              <w:rPr>
                <w:rFonts w:cs="Arial"/>
              </w:rPr>
            </w:pPr>
            <w:r>
              <w:rPr>
                <w:rFonts w:cs="Arial"/>
              </w:rPr>
              <w:t>FOIA 2000</w:t>
            </w:r>
          </w:p>
        </w:tc>
        <w:tc>
          <w:tcPr>
            <w:tcW w:w="5986" w:type="dxa"/>
            <w:shd w:val="clear" w:color="auto" w:fill="auto"/>
            <w:vAlign w:val="center"/>
          </w:tcPr>
          <w:p w:rsidR="008D1C0B" w:rsidRDefault="008D1C0B">
            <w:pPr>
              <w:spacing w:before="60" w:after="60"/>
              <w:rPr>
                <w:rFonts w:cs="Arial"/>
              </w:rPr>
            </w:pPr>
            <w:r>
              <w:rPr>
                <w:rFonts w:cs="Arial"/>
              </w:rPr>
              <w:t>Freedom of Information Act 2000 (England)</w:t>
            </w:r>
          </w:p>
        </w:tc>
      </w:tr>
    </w:tbl>
    <w:p w:rsidR="008D1C0B" w:rsidRDefault="008D1C0B">
      <w:pPr>
        <w:rPr>
          <w:rFonts w:cs="Arial"/>
        </w:rPr>
      </w:pPr>
    </w:p>
    <w:p w:rsidR="008D1C0B" w:rsidRDefault="008D1C0B">
      <w:pPr>
        <w:rPr>
          <w:rFonts w:cs="Arial"/>
        </w:rPr>
      </w:pPr>
    </w:p>
    <w:p w:rsidR="008D1C0B" w:rsidRDefault="008D1C0B">
      <w:pPr>
        <w:rPr>
          <w:rFonts w:cs="Arial"/>
          <w:b/>
          <w:i/>
          <w:u w:val="single"/>
        </w:rPr>
      </w:pPr>
      <w:r>
        <w:rPr>
          <w:rFonts w:cs="Arial"/>
          <w:b/>
          <w:i/>
          <w:u w:val="single"/>
        </w:rPr>
        <w:t>Reports</w:t>
      </w:r>
    </w:p>
    <w:p w:rsidR="008D1C0B" w:rsidRDefault="008D1C0B">
      <w:pPr>
        <w:rPr>
          <w:rFonts w:cs="Arial"/>
        </w:rPr>
      </w:pPr>
    </w:p>
    <w:tbl>
      <w:tblPr>
        <w:tblW w:w="0" w:type="auto"/>
        <w:tblLook w:val="04A0" w:firstRow="1" w:lastRow="0" w:firstColumn="1" w:lastColumn="0" w:noHBand="0" w:noVBand="1"/>
      </w:tblPr>
      <w:tblGrid>
        <w:gridCol w:w="2376"/>
        <w:gridCol w:w="5986"/>
      </w:tblGrid>
      <w:tr w:rsidR="008D1C0B">
        <w:tc>
          <w:tcPr>
            <w:tcW w:w="2376" w:type="dxa"/>
            <w:shd w:val="clear" w:color="auto" w:fill="auto"/>
          </w:tcPr>
          <w:p w:rsidR="008D1C0B" w:rsidRDefault="008D1C0B" w:rsidP="00CD680D">
            <w:pPr>
              <w:spacing w:before="60" w:after="60"/>
              <w:jc w:val="left"/>
              <w:rPr>
                <w:rFonts w:cs="Arial"/>
              </w:rPr>
            </w:pPr>
            <w:r>
              <w:rPr>
                <w:rFonts w:cs="Arial"/>
              </w:rPr>
              <w:t>2007 Civic Exchange Report</w:t>
            </w:r>
          </w:p>
        </w:tc>
        <w:tc>
          <w:tcPr>
            <w:tcW w:w="5986" w:type="dxa"/>
            <w:shd w:val="clear" w:color="auto" w:fill="auto"/>
            <w:vAlign w:val="center"/>
          </w:tcPr>
          <w:p w:rsidR="008D1C0B" w:rsidRDefault="008D1C0B">
            <w:pPr>
              <w:spacing w:before="60" w:after="60"/>
              <w:rPr>
                <w:rFonts w:cs="Arial"/>
              </w:rPr>
            </w:pPr>
            <w:r>
              <w:rPr>
                <w:rFonts w:cs="Arial"/>
              </w:rPr>
              <w:t>Christine Loh, Marcos Van Rafelghem and Jaimie C Graham, "</w:t>
            </w:r>
            <w:r>
              <w:rPr>
                <w:rFonts w:cs="Arial"/>
                <w:i/>
              </w:rPr>
              <w:t>Managing Public Records for Good Governance and Preservation of Collective Memory: The Case for Archival Legislation</w:t>
            </w:r>
            <w:r>
              <w:rPr>
                <w:rFonts w:cs="Arial"/>
              </w:rPr>
              <w:t>", Civic Exchange, March 2007</w:t>
            </w:r>
          </w:p>
        </w:tc>
      </w:tr>
      <w:tr w:rsidR="008D1C0B">
        <w:tc>
          <w:tcPr>
            <w:tcW w:w="2376" w:type="dxa"/>
            <w:shd w:val="clear" w:color="auto" w:fill="auto"/>
          </w:tcPr>
          <w:p w:rsidR="008D1C0B" w:rsidRDefault="008D1C0B" w:rsidP="00CD680D">
            <w:pPr>
              <w:keepNext/>
              <w:spacing w:before="60" w:after="60"/>
              <w:jc w:val="left"/>
              <w:rPr>
                <w:rFonts w:cs="Arial"/>
              </w:rPr>
            </w:pPr>
            <w:r>
              <w:rPr>
                <w:rFonts w:cs="Arial"/>
              </w:rPr>
              <w:lastRenderedPageBreak/>
              <w:t>2011 Civic Exchange Report</w:t>
            </w:r>
          </w:p>
        </w:tc>
        <w:tc>
          <w:tcPr>
            <w:tcW w:w="5986" w:type="dxa"/>
            <w:shd w:val="clear" w:color="auto" w:fill="auto"/>
            <w:vAlign w:val="center"/>
          </w:tcPr>
          <w:p w:rsidR="008D1C0B" w:rsidRDefault="008D1C0B">
            <w:pPr>
              <w:spacing w:before="60" w:after="60"/>
              <w:rPr>
                <w:rFonts w:cs="Arial"/>
              </w:rPr>
            </w:pPr>
            <w:r>
              <w:rPr>
                <w:rFonts w:cs="Arial"/>
              </w:rPr>
              <w:t>Christine Loh and Nick Frisch, "</w:t>
            </w:r>
            <w:r>
              <w:rPr>
                <w:rFonts w:cs="Arial"/>
                <w:i/>
              </w:rPr>
              <w:t>The Memory Hole: Why Hong Kong Needs an Archives Law</w:t>
            </w:r>
            <w:r>
              <w:rPr>
                <w:rFonts w:cs="Arial"/>
              </w:rPr>
              <w:t>", Civic Exchange, November 2011</w:t>
            </w:r>
          </w:p>
        </w:tc>
      </w:tr>
      <w:tr w:rsidR="008D1C0B">
        <w:tc>
          <w:tcPr>
            <w:tcW w:w="2376" w:type="dxa"/>
            <w:shd w:val="clear" w:color="auto" w:fill="auto"/>
          </w:tcPr>
          <w:p w:rsidR="008D1C0B" w:rsidRDefault="008D1C0B">
            <w:pPr>
              <w:spacing w:before="60" w:after="60"/>
              <w:rPr>
                <w:rFonts w:cs="Arial"/>
              </w:rPr>
            </w:pPr>
            <w:r>
              <w:rPr>
                <w:rFonts w:cs="Arial"/>
              </w:rPr>
              <w:t>Audit Commission's Report</w:t>
            </w:r>
          </w:p>
        </w:tc>
        <w:tc>
          <w:tcPr>
            <w:tcW w:w="5986" w:type="dxa"/>
            <w:shd w:val="clear" w:color="auto" w:fill="auto"/>
            <w:vAlign w:val="center"/>
          </w:tcPr>
          <w:p w:rsidR="008D1C0B" w:rsidRDefault="008D1C0B" w:rsidP="00331EDA">
            <w:pPr>
              <w:spacing w:before="60" w:after="60"/>
              <w:rPr>
                <w:rFonts w:cs="Arial"/>
              </w:rPr>
            </w:pPr>
            <w:r>
              <w:rPr>
                <w:rFonts w:cs="Arial" w:hint="eastAsia"/>
                <w:lang w:eastAsia="zh-HK"/>
              </w:rPr>
              <w:t xml:space="preserve">Chapter 10, </w:t>
            </w:r>
            <w:r w:rsidRPr="00E6327C">
              <w:rPr>
                <w:rFonts w:cs="Arial" w:hint="eastAsia"/>
                <w:i/>
                <w:lang w:eastAsia="zh-HK"/>
              </w:rPr>
              <w:t xml:space="preserve">Report No. 57 of the Director of Audit </w:t>
            </w:r>
            <w:r>
              <w:rPr>
                <w:rFonts w:cs="Arial"/>
                <w:i/>
              </w:rPr>
              <w:t>on records management work of the Government Records Service</w:t>
            </w:r>
            <w:r>
              <w:rPr>
                <w:rFonts w:cs="Arial"/>
              </w:rPr>
              <w:t>, 25 October 2011</w:t>
            </w:r>
          </w:p>
        </w:tc>
      </w:tr>
      <w:tr w:rsidR="008D1C0B">
        <w:tc>
          <w:tcPr>
            <w:tcW w:w="2376" w:type="dxa"/>
            <w:shd w:val="clear" w:color="auto" w:fill="auto"/>
          </w:tcPr>
          <w:p w:rsidR="008D1C0B" w:rsidRDefault="008D1C0B">
            <w:pPr>
              <w:spacing w:before="60" w:after="60"/>
              <w:rPr>
                <w:rFonts w:cs="Arial"/>
              </w:rPr>
            </w:pPr>
            <w:r>
              <w:rPr>
                <w:rFonts w:cs="Arial"/>
              </w:rPr>
              <w:t>Ombudsman's Report</w:t>
            </w:r>
          </w:p>
        </w:tc>
        <w:tc>
          <w:tcPr>
            <w:tcW w:w="5986" w:type="dxa"/>
            <w:shd w:val="clear" w:color="auto" w:fill="auto"/>
          </w:tcPr>
          <w:p w:rsidR="008D1C0B" w:rsidRDefault="008D1C0B">
            <w:pPr>
              <w:spacing w:before="60" w:after="60"/>
              <w:rPr>
                <w:rFonts w:cs="Arial"/>
              </w:rPr>
            </w:pPr>
            <w:r>
              <w:rPr>
                <w:rFonts w:cs="Arial"/>
              </w:rPr>
              <w:t>Direct Investigation Report - Public Records Management in Hong Kong issued by the Office of The Ombudsman in March 2014</w:t>
            </w:r>
          </w:p>
        </w:tc>
      </w:tr>
      <w:tr w:rsidR="008D1C0B">
        <w:tc>
          <w:tcPr>
            <w:tcW w:w="2376" w:type="dxa"/>
            <w:shd w:val="clear" w:color="auto" w:fill="auto"/>
          </w:tcPr>
          <w:p w:rsidR="008D1C0B" w:rsidRDefault="008D1C0B">
            <w:pPr>
              <w:spacing w:before="60" w:after="60"/>
              <w:rPr>
                <w:rFonts w:cs="Arial"/>
              </w:rPr>
            </w:pPr>
            <w:r>
              <w:rPr>
                <w:rFonts w:cs="Arial"/>
              </w:rPr>
              <w:t>Parer's Report</w:t>
            </w:r>
          </w:p>
        </w:tc>
        <w:tc>
          <w:tcPr>
            <w:tcW w:w="5986" w:type="dxa"/>
            <w:shd w:val="clear" w:color="auto" w:fill="auto"/>
          </w:tcPr>
          <w:p w:rsidR="008D1C0B" w:rsidRDefault="008D1C0B">
            <w:pPr>
              <w:spacing w:before="60" w:after="60"/>
              <w:rPr>
                <w:rFonts w:cs="Arial"/>
              </w:rPr>
            </w:pPr>
            <w:r>
              <w:rPr>
                <w:rFonts w:cs="Arial"/>
              </w:rPr>
              <w:t>Dagmar Parer, "</w:t>
            </w:r>
            <w:r>
              <w:rPr>
                <w:rFonts w:cs="Arial"/>
                <w:i/>
              </w:rPr>
              <w:t>Archival Legislation for Commonwealth Countries</w:t>
            </w:r>
            <w:r>
              <w:rPr>
                <w:rFonts w:cs="Arial"/>
              </w:rPr>
              <w:t>" (Association of Commonwealth Archivists and Records Managers, 2001)</w:t>
            </w:r>
          </w:p>
        </w:tc>
      </w:tr>
      <w:tr w:rsidR="008D1C0B">
        <w:tc>
          <w:tcPr>
            <w:tcW w:w="2376" w:type="dxa"/>
            <w:shd w:val="clear" w:color="auto" w:fill="auto"/>
          </w:tcPr>
          <w:p w:rsidR="008D1C0B" w:rsidRDefault="008D1C0B">
            <w:pPr>
              <w:spacing w:before="60" w:after="60"/>
              <w:rPr>
                <w:rFonts w:cs="Arial"/>
              </w:rPr>
            </w:pPr>
            <w:r>
              <w:rPr>
                <w:rFonts w:cs="Arial"/>
              </w:rPr>
              <w:t>RAMP Study</w:t>
            </w:r>
          </w:p>
        </w:tc>
        <w:tc>
          <w:tcPr>
            <w:tcW w:w="5986" w:type="dxa"/>
            <w:shd w:val="clear" w:color="auto" w:fill="auto"/>
          </w:tcPr>
          <w:p w:rsidR="008D1C0B" w:rsidRDefault="008D1C0B">
            <w:pPr>
              <w:spacing w:before="60" w:after="60"/>
              <w:rPr>
                <w:rFonts w:cs="Arial"/>
              </w:rPr>
            </w:pPr>
            <w:r>
              <w:rPr>
                <w:rFonts w:cs="Arial"/>
              </w:rPr>
              <w:t>Eric Ketelaar, "</w:t>
            </w:r>
            <w:r>
              <w:rPr>
                <w:rFonts w:cs="Arial"/>
                <w:i/>
              </w:rPr>
              <w:t>Archival and Records Management Legislation and Regulations: A RAMP Study with Guidelines</w:t>
            </w:r>
            <w:r>
              <w:rPr>
                <w:rFonts w:cs="Arial"/>
              </w:rPr>
              <w:t>" (United Nations Educational, Scientific and Cultural Organisation (UNESCO), 1985)</w:t>
            </w:r>
          </w:p>
        </w:tc>
      </w:tr>
    </w:tbl>
    <w:p w:rsidR="008D1C0B" w:rsidRDefault="008D1C0B">
      <w:pPr>
        <w:rPr>
          <w:rFonts w:cs="Arial"/>
        </w:rPr>
      </w:pPr>
    </w:p>
    <w:p w:rsidR="008D1C0B" w:rsidRDefault="008D1C0B">
      <w:pPr>
        <w:rPr>
          <w:rFonts w:cs="Arial"/>
        </w:rPr>
      </w:pPr>
    </w:p>
    <w:p w:rsidR="008D1C0B" w:rsidRDefault="008D1C0B">
      <w:pPr>
        <w:rPr>
          <w:rFonts w:cs="Arial"/>
          <w:b/>
          <w:i/>
          <w:u w:val="single"/>
        </w:rPr>
      </w:pPr>
      <w:r>
        <w:rPr>
          <w:rFonts w:cs="Arial"/>
          <w:b/>
          <w:i/>
          <w:u w:val="single"/>
        </w:rPr>
        <w:t>Miscellaneous</w:t>
      </w:r>
    </w:p>
    <w:p w:rsidR="008D1C0B" w:rsidRDefault="008D1C0B">
      <w:pPr>
        <w:rPr>
          <w:rFonts w:cs="Arial"/>
        </w:rPr>
      </w:pPr>
    </w:p>
    <w:tbl>
      <w:tblPr>
        <w:tblW w:w="0" w:type="auto"/>
        <w:tblLook w:val="04A0" w:firstRow="1" w:lastRow="0" w:firstColumn="1" w:lastColumn="0" w:noHBand="0" w:noVBand="1"/>
      </w:tblPr>
      <w:tblGrid>
        <w:gridCol w:w="2376"/>
        <w:gridCol w:w="5986"/>
      </w:tblGrid>
      <w:tr w:rsidR="008D1C0B">
        <w:tc>
          <w:tcPr>
            <w:tcW w:w="2376" w:type="dxa"/>
            <w:shd w:val="clear" w:color="auto" w:fill="auto"/>
          </w:tcPr>
          <w:p w:rsidR="008D1C0B" w:rsidRDefault="008D1C0B">
            <w:pPr>
              <w:spacing w:before="60" w:after="60"/>
              <w:rPr>
                <w:rFonts w:cs="Arial"/>
              </w:rPr>
            </w:pPr>
            <w:r>
              <w:rPr>
                <w:rFonts w:cs="Arial"/>
              </w:rPr>
              <w:t>ATI Sub-committee</w:t>
            </w:r>
          </w:p>
        </w:tc>
        <w:tc>
          <w:tcPr>
            <w:tcW w:w="5986" w:type="dxa"/>
            <w:shd w:val="clear" w:color="auto" w:fill="auto"/>
          </w:tcPr>
          <w:p w:rsidR="008D1C0B" w:rsidRDefault="008D1C0B">
            <w:pPr>
              <w:spacing w:before="60" w:after="60"/>
              <w:rPr>
                <w:rFonts w:cs="Arial"/>
              </w:rPr>
            </w:pPr>
            <w:r>
              <w:rPr>
                <w:rFonts w:cs="Arial"/>
              </w:rPr>
              <w:t>Sub-committee on Access to Information of the Law Reform Commission of Hong Kong</w:t>
            </w:r>
          </w:p>
        </w:tc>
      </w:tr>
      <w:tr w:rsidR="008D1C0B">
        <w:tc>
          <w:tcPr>
            <w:tcW w:w="2376" w:type="dxa"/>
            <w:shd w:val="clear" w:color="auto" w:fill="auto"/>
          </w:tcPr>
          <w:p w:rsidR="008D1C0B" w:rsidRDefault="008D1C0B">
            <w:pPr>
              <w:spacing w:before="60" w:after="60"/>
              <w:rPr>
                <w:rFonts w:cs="Arial"/>
              </w:rPr>
            </w:pPr>
            <w:r>
              <w:rPr>
                <w:rFonts w:cs="Arial"/>
              </w:rPr>
              <w:t>B/D</w:t>
            </w:r>
          </w:p>
        </w:tc>
        <w:tc>
          <w:tcPr>
            <w:tcW w:w="5986" w:type="dxa"/>
            <w:shd w:val="clear" w:color="auto" w:fill="auto"/>
          </w:tcPr>
          <w:p w:rsidR="008D1C0B" w:rsidRDefault="008D1C0B">
            <w:pPr>
              <w:spacing w:before="60" w:after="60"/>
              <w:rPr>
                <w:rFonts w:cs="Arial"/>
              </w:rPr>
            </w:pPr>
            <w:r>
              <w:rPr>
                <w:rFonts w:cs="Arial"/>
              </w:rPr>
              <w:t>Government bureau or department</w:t>
            </w:r>
          </w:p>
        </w:tc>
      </w:tr>
      <w:tr w:rsidR="008D1C0B">
        <w:tc>
          <w:tcPr>
            <w:tcW w:w="2376" w:type="dxa"/>
            <w:shd w:val="clear" w:color="auto" w:fill="auto"/>
          </w:tcPr>
          <w:p w:rsidR="008D1C0B" w:rsidRDefault="008D1C0B">
            <w:pPr>
              <w:spacing w:before="60" w:after="60"/>
              <w:rPr>
                <w:rFonts w:cs="Arial"/>
              </w:rPr>
            </w:pPr>
            <w:r>
              <w:rPr>
                <w:rFonts w:cs="Arial"/>
              </w:rPr>
              <w:t>CAI</w:t>
            </w:r>
          </w:p>
        </w:tc>
        <w:tc>
          <w:tcPr>
            <w:tcW w:w="5986" w:type="dxa"/>
            <w:shd w:val="clear" w:color="auto" w:fill="auto"/>
          </w:tcPr>
          <w:p w:rsidR="008D1C0B" w:rsidRDefault="008D1C0B">
            <w:pPr>
              <w:spacing w:before="60" w:after="60"/>
              <w:rPr>
                <w:rFonts w:cs="Arial"/>
              </w:rPr>
            </w:pPr>
            <w:r>
              <w:rPr>
                <w:rFonts w:cs="Arial"/>
              </w:rPr>
              <w:t>Code on Access to Information (Hong Kong)</w:t>
            </w:r>
          </w:p>
        </w:tc>
      </w:tr>
      <w:tr w:rsidR="008D1C0B">
        <w:tc>
          <w:tcPr>
            <w:tcW w:w="2376" w:type="dxa"/>
            <w:shd w:val="clear" w:color="auto" w:fill="auto"/>
          </w:tcPr>
          <w:p w:rsidR="008D1C0B" w:rsidRDefault="008D1C0B">
            <w:pPr>
              <w:spacing w:before="60" w:after="60"/>
              <w:rPr>
                <w:rFonts w:cs="Arial"/>
              </w:rPr>
            </w:pPr>
            <w:r>
              <w:rPr>
                <w:rFonts w:cs="Arial"/>
              </w:rPr>
              <w:t>DRM</w:t>
            </w:r>
          </w:p>
        </w:tc>
        <w:tc>
          <w:tcPr>
            <w:tcW w:w="5986" w:type="dxa"/>
            <w:shd w:val="clear" w:color="auto" w:fill="auto"/>
          </w:tcPr>
          <w:p w:rsidR="008D1C0B" w:rsidRDefault="008D1C0B">
            <w:pPr>
              <w:spacing w:before="60" w:after="60"/>
              <w:rPr>
                <w:rFonts w:cs="Arial"/>
              </w:rPr>
            </w:pPr>
            <w:r>
              <w:rPr>
                <w:rFonts w:cs="Arial"/>
              </w:rPr>
              <w:t>Departmental Records Manager</w:t>
            </w:r>
          </w:p>
        </w:tc>
      </w:tr>
      <w:tr w:rsidR="008D1C0B">
        <w:tc>
          <w:tcPr>
            <w:tcW w:w="2376" w:type="dxa"/>
            <w:shd w:val="clear" w:color="auto" w:fill="auto"/>
          </w:tcPr>
          <w:p w:rsidR="008D1C0B" w:rsidRDefault="008D1C0B">
            <w:pPr>
              <w:spacing w:before="60" w:after="60"/>
              <w:rPr>
                <w:rFonts w:cs="Arial"/>
              </w:rPr>
            </w:pPr>
            <w:r>
              <w:rPr>
                <w:rFonts w:cs="Arial"/>
              </w:rPr>
              <w:t>ERKS</w:t>
            </w:r>
          </w:p>
        </w:tc>
        <w:tc>
          <w:tcPr>
            <w:tcW w:w="5986" w:type="dxa"/>
            <w:shd w:val="clear" w:color="auto" w:fill="auto"/>
          </w:tcPr>
          <w:p w:rsidR="008D1C0B" w:rsidRDefault="008D1C0B">
            <w:pPr>
              <w:spacing w:before="60" w:after="60"/>
              <w:rPr>
                <w:rFonts w:cs="Arial"/>
              </w:rPr>
            </w:pPr>
            <w:r>
              <w:rPr>
                <w:rFonts w:cs="Arial"/>
              </w:rPr>
              <w:t xml:space="preserve">Electronic Recordkeeping System </w:t>
            </w:r>
          </w:p>
        </w:tc>
      </w:tr>
      <w:tr w:rsidR="008D1C0B">
        <w:tc>
          <w:tcPr>
            <w:tcW w:w="2376" w:type="dxa"/>
            <w:shd w:val="clear" w:color="auto" w:fill="auto"/>
          </w:tcPr>
          <w:p w:rsidR="008D1C0B" w:rsidRDefault="008D1C0B">
            <w:pPr>
              <w:spacing w:before="60" w:after="60"/>
              <w:rPr>
                <w:rFonts w:cs="Arial"/>
              </w:rPr>
            </w:pPr>
            <w:r>
              <w:rPr>
                <w:rFonts w:cs="Arial"/>
              </w:rPr>
              <w:t>GARDS</w:t>
            </w:r>
          </w:p>
        </w:tc>
        <w:tc>
          <w:tcPr>
            <w:tcW w:w="5986" w:type="dxa"/>
            <w:shd w:val="clear" w:color="auto" w:fill="auto"/>
          </w:tcPr>
          <w:p w:rsidR="008D1C0B" w:rsidRDefault="008D1C0B">
            <w:pPr>
              <w:spacing w:before="60" w:after="60"/>
              <w:rPr>
                <w:rFonts w:cs="Arial"/>
              </w:rPr>
            </w:pPr>
            <w:r>
              <w:rPr>
                <w:rFonts w:cs="Arial"/>
              </w:rPr>
              <w:t>General Administrative Records Disposal Schedules</w:t>
            </w:r>
          </w:p>
        </w:tc>
      </w:tr>
      <w:tr w:rsidR="008D1C0B">
        <w:tc>
          <w:tcPr>
            <w:tcW w:w="2376" w:type="dxa"/>
            <w:shd w:val="clear" w:color="auto" w:fill="auto"/>
          </w:tcPr>
          <w:p w:rsidR="008D1C0B" w:rsidRDefault="008D1C0B">
            <w:pPr>
              <w:spacing w:before="60" w:after="60"/>
              <w:rPr>
                <w:rFonts w:cs="Arial"/>
              </w:rPr>
            </w:pPr>
            <w:r>
              <w:rPr>
                <w:rFonts w:cs="Arial"/>
              </w:rPr>
              <w:t>LegCo</w:t>
            </w:r>
          </w:p>
        </w:tc>
        <w:tc>
          <w:tcPr>
            <w:tcW w:w="5986" w:type="dxa"/>
            <w:shd w:val="clear" w:color="auto" w:fill="auto"/>
          </w:tcPr>
          <w:p w:rsidR="008D1C0B" w:rsidRDefault="008D1C0B">
            <w:pPr>
              <w:spacing w:before="60" w:after="60"/>
              <w:rPr>
                <w:rFonts w:cs="Arial"/>
              </w:rPr>
            </w:pPr>
            <w:r>
              <w:rPr>
                <w:rFonts w:cs="Arial"/>
              </w:rPr>
              <w:t>Legislative Council of Hong Kong Special Administrative Region</w:t>
            </w:r>
          </w:p>
        </w:tc>
      </w:tr>
      <w:tr w:rsidR="008D1C0B">
        <w:tc>
          <w:tcPr>
            <w:tcW w:w="2376" w:type="dxa"/>
            <w:shd w:val="clear" w:color="auto" w:fill="auto"/>
          </w:tcPr>
          <w:p w:rsidR="008D1C0B" w:rsidRDefault="008D1C0B">
            <w:pPr>
              <w:spacing w:before="60" w:after="60"/>
              <w:rPr>
                <w:rFonts w:cs="Arial"/>
              </w:rPr>
            </w:pPr>
            <w:r>
              <w:rPr>
                <w:rFonts w:cs="Arial"/>
              </w:rPr>
              <w:t>Lord Chancellor's Code</w:t>
            </w:r>
          </w:p>
        </w:tc>
        <w:tc>
          <w:tcPr>
            <w:tcW w:w="5986" w:type="dxa"/>
            <w:shd w:val="clear" w:color="auto" w:fill="auto"/>
          </w:tcPr>
          <w:p w:rsidR="008D1C0B" w:rsidRDefault="008D1C0B">
            <w:pPr>
              <w:spacing w:before="60" w:after="60"/>
              <w:rPr>
                <w:rFonts w:cs="Arial"/>
              </w:rPr>
            </w:pPr>
            <w:r>
              <w:rPr>
                <w:rFonts w:cs="Arial"/>
              </w:rPr>
              <w:t>Lord Chancellor's Code of Practice on the management of records issued under section 46 of the Freedom of Information Act 2000 (England)</w:t>
            </w:r>
          </w:p>
        </w:tc>
      </w:tr>
      <w:tr w:rsidR="008D1C0B">
        <w:tc>
          <w:tcPr>
            <w:tcW w:w="2376" w:type="dxa"/>
            <w:shd w:val="clear" w:color="auto" w:fill="auto"/>
          </w:tcPr>
          <w:p w:rsidR="008D1C0B" w:rsidRDefault="008D1C0B">
            <w:pPr>
              <w:spacing w:before="60" w:after="60"/>
              <w:rPr>
                <w:rFonts w:cs="Arial"/>
              </w:rPr>
            </w:pPr>
            <w:r>
              <w:rPr>
                <w:rFonts w:cs="Arial"/>
              </w:rPr>
              <w:t>OGCIO</w:t>
            </w:r>
          </w:p>
        </w:tc>
        <w:tc>
          <w:tcPr>
            <w:tcW w:w="5986" w:type="dxa"/>
            <w:shd w:val="clear" w:color="auto" w:fill="auto"/>
          </w:tcPr>
          <w:p w:rsidR="008D1C0B" w:rsidRDefault="008D1C0B">
            <w:pPr>
              <w:spacing w:before="60" w:after="60"/>
              <w:rPr>
                <w:rFonts w:cs="Arial"/>
              </w:rPr>
            </w:pPr>
            <w:r>
              <w:rPr>
                <w:rFonts w:cs="Arial"/>
              </w:rPr>
              <w:t>Office of the Government Chief Information Officer</w:t>
            </w:r>
          </w:p>
        </w:tc>
      </w:tr>
      <w:tr w:rsidR="008D1C0B">
        <w:tc>
          <w:tcPr>
            <w:tcW w:w="2376" w:type="dxa"/>
            <w:shd w:val="clear" w:color="auto" w:fill="auto"/>
          </w:tcPr>
          <w:p w:rsidR="008D1C0B" w:rsidRDefault="008D1C0B">
            <w:pPr>
              <w:spacing w:before="60" w:after="60"/>
              <w:rPr>
                <w:rFonts w:cs="Arial"/>
              </w:rPr>
            </w:pPr>
            <w:r>
              <w:rPr>
                <w:rFonts w:cs="Arial"/>
              </w:rPr>
              <w:t>PAC Information Note</w:t>
            </w:r>
          </w:p>
        </w:tc>
        <w:tc>
          <w:tcPr>
            <w:tcW w:w="5986" w:type="dxa"/>
            <w:shd w:val="clear" w:color="auto" w:fill="auto"/>
          </w:tcPr>
          <w:p w:rsidR="008D1C0B" w:rsidRDefault="008D1C0B">
            <w:pPr>
              <w:spacing w:before="60" w:after="60"/>
              <w:rPr>
                <w:rFonts w:cs="Arial"/>
              </w:rPr>
            </w:pPr>
            <w:r>
              <w:rPr>
                <w:rFonts w:cs="Arial"/>
              </w:rPr>
              <w:t>Information Note to Public Accounts Committee on Chapter 10 of the Director of Audit's Report No 57 entitled "Records Management Work of the Government Records Service" contained in the letter dated 19 December 2011 to the Clerk of PAC</w:t>
            </w:r>
          </w:p>
        </w:tc>
      </w:tr>
    </w:tbl>
    <w:p w:rsidR="008D1C0B" w:rsidRDefault="008D1C0B">
      <w:pPr>
        <w:rPr>
          <w:rFonts w:cs="Arial" w:hint="eastAsia"/>
          <w:lang w:eastAsia="zh-HK"/>
        </w:rPr>
      </w:pPr>
    </w:p>
    <w:p w:rsidR="008D1C0B" w:rsidRDefault="008D1C0B" w:rsidP="00331EDA">
      <w:pPr>
        <w:rPr>
          <w:rFonts w:cs="Arial" w:hint="eastAsia"/>
          <w:lang w:eastAsia="zh-HK"/>
        </w:rPr>
      </w:pPr>
    </w:p>
    <w:p w:rsidR="008D1C0B" w:rsidRDefault="008D1C0B">
      <w:pPr>
        <w:rPr>
          <w:rFonts w:cs="Arial"/>
        </w:rPr>
      </w:pPr>
    </w:p>
    <w:p w:rsidR="008D1C0B" w:rsidRDefault="008D1C0B" w:rsidP="00331EDA">
      <w:pPr>
        <w:rPr>
          <w:rFonts w:cs="Arial"/>
          <w:b/>
          <w:sz w:val="28"/>
          <w:szCs w:val="28"/>
          <w:u w:val="single"/>
        </w:rPr>
      </w:pPr>
    </w:p>
    <w:p w:rsidR="008D1C0B" w:rsidRDefault="008D1C0B">
      <w:pPr>
        <w:jc w:val="center"/>
        <w:rPr>
          <w:rFonts w:cs="Arial"/>
          <w:b/>
          <w:sz w:val="28"/>
          <w:szCs w:val="28"/>
          <w:u w:val="single"/>
        </w:rPr>
      </w:pPr>
      <w:r>
        <w:rPr>
          <w:rFonts w:cs="Arial"/>
          <w:b/>
          <w:sz w:val="28"/>
          <w:szCs w:val="28"/>
          <w:u w:val="single"/>
        </w:rPr>
        <w:lastRenderedPageBreak/>
        <w:t xml:space="preserve">List of </w:t>
      </w:r>
      <w:r>
        <w:rPr>
          <w:rFonts w:cs="Arial" w:hint="eastAsia"/>
          <w:b/>
          <w:sz w:val="28"/>
          <w:szCs w:val="28"/>
          <w:u w:val="single"/>
        </w:rPr>
        <w:t>m</w:t>
      </w:r>
      <w:r>
        <w:rPr>
          <w:rFonts w:cs="Arial"/>
          <w:b/>
          <w:sz w:val="28"/>
          <w:szCs w:val="28"/>
          <w:u w:val="single"/>
        </w:rPr>
        <w:t xml:space="preserve">ajor </w:t>
      </w:r>
      <w:r>
        <w:rPr>
          <w:rFonts w:cs="Arial" w:hint="eastAsia"/>
          <w:b/>
          <w:sz w:val="28"/>
          <w:szCs w:val="28"/>
          <w:u w:val="single"/>
        </w:rPr>
        <w:t>r</w:t>
      </w:r>
      <w:r>
        <w:rPr>
          <w:rFonts w:cs="Arial"/>
          <w:b/>
          <w:sz w:val="28"/>
          <w:szCs w:val="28"/>
          <w:u w:val="single"/>
        </w:rPr>
        <w:t xml:space="preserve">ules and </w:t>
      </w:r>
      <w:r>
        <w:rPr>
          <w:rFonts w:cs="Arial" w:hint="eastAsia"/>
          <w:b/>
          <w:sz w:val="28"/>
          <w:szCs w:val="28"/>
          <w:u w:val="single"/>
        </w:rPr>
        <w:t>g</w:t>
      </w:r>
      <w:r>
        <w:rPr>
          <w:rFonts w:cs="Arial"/>
          <w:b/>
          <w:sz w:val="28"/>
          <w:szCs w:val="28"/>
          <w:u w:val="single"/>
        </w:rPr>
        <w:t xml:space="preserve">uidelines on </w:t>
      </w:r>
    </w:p>
    <w:p w:rsidR="008D1C0B" w:rsidRDefault="008D1C0B">
      <w:pPr>
        <w:jc w:val="center"/>
        <w:rPr>
          <w:rFonts w:cs="Arial"/>
          <w:b/>
          <w:sz w:val="28"/>
          <w:szCs w:val="28"/>
          <w:u w:val="single"/>
        </w:rPr>
      </w:pPr>
      <w:r>
        <w:rPr>
          <w:rFonts w:cs="Arial" w:hint="eastAsia"/>
          <w:b/>
          <w:sz w:val="28"/>
          <w:szCs w:val="28"/>
          <w:u w:val="single"/>
        </w:rPr>
        <w:t>p</w:t>
      </w:r>
      <w:r>
        <w:rPr>
          <w:rFonts w:cs="Arial"/>
          <w:b/>
          <w:sz w:val="28"/>
          <w:szCs w:val="28"/>
          <w:u w:val="single"/>
        </w:rPr>
        <w:t xml:space="preserve">ublic </w:t>
      </w:r>
      <w:r>
        <w:rPr>
          <w:rFonts w:cs="Arial" w:hint="eastAsia"/>
          <w:b/>
          <w:sz w:val="28"/>
          <w:szCs w:val="28"/>
          <w:u w:val="single"/>
        </w:rPr>
        <w:t>r</w:t>
      </w:r>
      <w:r>
        <w:rPr>
          <w:rFonts w:cs="Arial"/>
          <w:b/>
          <w:sz w:val="28"/>
          <w:szCs w:val="28"/>
          <w:u w:val="single"/>
        </w:rPr>
        <w:t xml:space="preserve">ecords </w:t>
      </w:r>
      <w:r>
        <w:rPr>
          <w:rFonts w:cs="Arial" w:hint="eastAsia"/>
          <w:b/>
          <w:sz w:val="28"/>
          <w:szCs w:val="28"/>
          <w:u w:val="single"/>
        </w:rPr>
        <w:t>m</w:t>
      </w:r>
      <w:r>
        <w:rPr>
          <w:rFonts w:cs="Arial"/>
          <w:b/>
          <w:sz w:val="28"/>
          <w:szCs w:val="28"/>
          <w:u w:val="single"/>
        </w:rPr>
        <w:t>anagement in Hong Kong</w:t>
      </w:r>
    </w:p>
    <w:p w:rsidR="008D1C0B" w:rsidRDefault="008D1C0B">
      <w:pPr>
        <w:rPr>
          <w:rFonts w:cs="Arial"/>
        </w:rPr>
      </w:pPr>
    </w:p>
    <w:p w:rsidR="008D1C0B" w:rsidRDefault="008D1C0B">
      <w:pPr>
        <w:rPr>
          <w:rFonts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962"/>
        <w:gridCol w:w="1984"/>
      </w:tblGrid>
      <w:tr w:rsidR="008D1C0B">
        <w:trPr>
          <w:tblHeader/>
        </w:trPr>
        <w:tc>
          <w:tcPr>
            <w:tcW w:w="567" w:type="dxa"/>
            <w:shd w:val="clear" w:color="auto" w:fill="auto"/>
            <w:vAlign w:val="center"/>
          </w:tcPr>
          <w:p w:rsidR="008D1C0B" w:rsidRDefault="008D1C0B">
            <w:pPr>
              <w:spacing w:before="60" w:after="60"/>
              <w:jc w:val="center"/>
              <w:rPr>
                <w:rFonts w:cs="Arial"/>
              </w:rPr>
            </w:pPr>
          </w:p>
        </w:tc>
        <w:tc>
          <w:tcPr>
            <w:tcW w:w="1701" w:type="dxa"/>
            <w:shd w:val="clear" w:color="auto" w:fill="auto"/>
            <w:vAlign w:val="center"/>
          </w:tcPr>
          <w:p w:rsidR="008D1C0B" w:rsidRDefault="008D1C0B">
            <w:pPr>
              <w:spacing w:before="60" w:after="60"/>
              <w:jc w:val="center"/>
              <w:rPr>
                <w:rFonts w:cs="Arial"/>
              </w:rPr>
            </w:pPr>
            <w:r>
              <w:rPr>
                <w:rFonts w:cs="Arial"/>
              </w:rPr>
              <w:t>Abbreviation</w:t>
            </w:r>
          </w:p>
        </w:tc>
        <w:tc>
          <w:tcPr>
            <w:tcW w:w="4962" w:type="dxa"/>
            <w:shd w:val="clear" w:color="auto" w:fill="auto"/>
            <w:vAlign w:val="center"/>
          </w:tcPr>
          <w:p w:rsidR="008D1C0B" w:rsidRDefault="008D1C0B">
            <w:pPr>
              <w:spacing w:before="60" w:after="60"/>
              <w:jc w:val="center"/>
              <w:rPr>
                <w:rFonts w:cs="Arial"/>
              </w:rPr>
            </w:pPr>
            <w:r>
              <w:rPr>
                <w:rFonts w:cs="Arial"/>
              </w:rPr>
              <w:t>Publication</w:t>
            </w:r>
          </w:p>
        </w:tc>
        <w:tc>
          <w:tcPr>
            <w:tcW w:w="1984" w:type="dxa"/>
            <w:shd w:val="clear" w:color="auto" w:fill="auto"/>
            <w:vAlign w:val="center"/>
          </w:tcPr>
          <w:p w:rsidR="008D1C0B" w:rsidRDefault="008D1C0B">
            <w:pPr>
              <w:spacing w:before="60" w:after="60"/>
              <w:jc w:val="center"/>
              <w:rPr>
                <w:rFonts w:cs="Arial"/>
              </w:rPr>
            </w:pPr>
            <w:r>
              <w:rPr>
                <w:rFonts w:cs="Arial"/>
              </w:rPr>
              <w:t>Date of Issue/ Last Update</w:t>
            </w:r>
          </w:p>
        </w:tc>
      </w:tr>
      <w:tr w:rsidR="008D1C0B">
        <w:tc>
          <w:tcPr>
            <w:tcW w:w="567" w:type="dxa"/>
            <w:shd w:val="clear" w:color="auto" w:fill="auto"/>
          </w:tcPr>
          <w:p w:rsidR="008D1C0B" w:rsidRDefault="008D1C0B">
            <w:pPr>
              <w:spacing w:before="60" w:after="60"/>
              <w:jc w:val="center"/>
              <w:rPr>
                <w:rFonts w:cs="Arial"/>
              </w:rPr>
            </w:pPr>
            <w:r>
              <w:rPr>
                <w:rFonts w:cs="Arial"/>
              </w:rPr>
              <w:t>1</w:t>
            </w:r>
          </w:p>
        </w:tc>
        <w:tc>
          <w:tcPr>
            <w:tcW w:w="1701" w:type="dxa"/>
            <w:shd w:val="clear" w:color="auto" w:fill="auto"/>
          </w:tcPr>
          <w:p w:rsidR="008D1C0B" w:rsidRDefault="008D1C0B">
            <w:pPr>
              <w:spacing w:before="60" w:after="60"/>
              <w:rPr>
                <w:rFonts w:cs="Arial"/>
              </w:rPr>
            </w:pPr>
            <w:r>
              <w:rPr>
                <w:rFonts w:cs="Arial"/>
              </w:rPr>
              <w:t>DOR</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Disposal of Original Records (for records that have been digitised and stored in a digital form)</w:t>
            </w:r>
            <w:r>
              <w:rPr>
                <w:rFonts w:cs="Arial" w:hint="eastAsia"/>
                <w:lang w:eastAsia="zh-HK"/>
              </w:rPr>
              <w:t xml:space="preserve"> (English version only) </w:t>
            </w:r>
          </w:p>
        </w:tc>
        <w:tc>
          <w:tcPr>
            <w:tcW w:w="1984" w:type="dxa"/>
            <w:shd w:val="clear" w:color="auto" w:fill="auto"/>
          </w:tcPr>
          <w:p w:rsidR="008D1C0B" w:rsidRDefault="008D1C0B">
            <w:pPr>
              <w:spacing w:before="60" w:after="60"/>
              <w:jc w:val="center"/>
              <w:rPr>
                <w:rFonts w:cs="Arial"/>
              </w:rPr>
            </w:pPr>
            <w:r>
              <w:rPr>
                <w:rFonts w:cs="Arial"/>
              </w:rPr>
              <w:t>April 2017</w:t>
            </w:r>
          </w:p>
        </w:tc>
      </w:tr>
      <w:tr w:rsidR="008D1C0B">
        <w:tc>
          <w:tcPr>
            <w:tcW w:w="567" w:type="dxa"/>
            <w:shd w:val="clear" w:color="auto" w:fill="auto"/>
          </w:tcPr>
          <w:p w:rsidR="008D1C0B" w:rsidRDefault="008D1C0B">
            <w:pPr>
              <w:spacing w:before="60" w:after="60"/>
              <w:jc w:val="center"/>
              <w:rPr>
                <w:rFonts w:cs="Arial"/>
              </w:rPr>
            </w:pPr>
            <w:r>
              <w:rPr>
                <w:rFonts w:cs="Arial"/>
              </w:rPr>
              <w:t>2</w:t>
            </w:r>
          </w:p>
        </w:tc>
        <w:tc>
          <w:tcPr>
            <w:tcW w:w="1701" w:type="dxa"/>
            <w:shd w:val="clear" w:color="auto" w:fill="auto"/>
          </w:tcPr>
          <w:p w:rsidR="008D1C0B" w:rsidRDefault="008D1C0B">
            <w:pPr>
              <w:spacing w:before="60" w:after="60"/>
              <w:rPr>
                <w:rFonts w:cs="Arial"/>
              </w:rPr>
            </w:pPr>
            <w:r>
              <w:rPr>
                <w:rFonts w:cs="Arial"/>
              </w:rPr>
              <w:t>ECPLGP</w:t>
            </w:r>
          </w:p>
        </w:tc>
        <w:tc>
          <w:tcPr>
            <w:tcW w:w="4962" w:type="dxa"/>
            <w:shd w:val="clear" w:color="auto" w:fill="auto"/>
          </w:tcPr>
          <w:p w:rsidR="008D1C0B" w:rsidRDefault="008D1C0B" w:rsidP="00F15744">
            <w:pPr>
              <w:spacing w:before="60" w:after="60"/>
              <w:jc w:val="left"/>
              <w:rPr>
                <w:rFonts w:cs="Arial"/>
              </w:rPr>
            </w:pPr>
            <w:r>
              <w:rPr>
                <w:rFonts w:cs="Arial"/>
              </w:rPr>
              <w:t>General Circular No 1/2001: "Establishment</w:t>
            </w:r>
            <w:r>
              <w:rPr>
                <w:rFonts w:cs="Arial"/>
                <w:lang w:eastAsia="zh-HK"/>
              </w:rPr>
              <w:t xml:space="preserve"> of the Central Preservation Library for Government Publications" </w:t>
            </w:r>
          </w:p>
        </w:tc>
        <w:tc>
          <w:tcPr>
            <w:tcW w:w="1984" w:type="dxa"/>
            <w:shd w:val="clear" w:color="auto" w:fill="auto"/>
          </w:tcPr>
          <w:p w:rsidR="008D1C0B" w:rsidRDefault="008D1C0B">
            <w:pPr>
              <w:spacing w:before="60" w:after="60"/>
              <w:jc w:val="center"/>
              <w:rPr>
                <w:rFonts w:cs="Arial"/>
              </w:rPr>
            </w:pPr>
            <w:r>
              <w:rPr>
                <w:rFonts w:cs="Arial"/>
                <w:lang w:eastAsia="zh-HK"/>
              </w:rPr>
              <w:t>30 January 2001</w:t>
            </w:r>
          </w:p>
        </w:tc>
      </w:tr>
      <w:tr w:rsidR="008D1C0B">
        <w:tc>
          <w:tcPr>
            <w:tcW w:w="567" w:type="dxa"/>
            <w:shd w:val="clear" w:color="auto" w:fill="auto"/>
          </w:tcPr>
          <w:p w:rsidR="008D1C0B" w:rsidRDefault="008D1C0B">
            <w:pPr>
              <w:spacing w:before="60" w:after="60"/>
              <w:jc w:val="center"/>
              <w:rPr>
                <w:rFonts w:cs="Arial"/>
              </w:rPr>
            </w:pPr>
            <w:r>
              <w:rPr>
                <w:rFonts w:cs="Arial"/>
              </w:rPr>
              <w:t>3</w:t>
            </w:r>
          </w:p>
        </w:tc>
        <w:tc>
          <w:tcPr>
            <w:tcW w:w="1701" w:type="dxa"/>
            <w:shd w:val="clear" w:color="auto" w:fill="auto"/>
          </w:tcPr>
          <w:p w:rsidR="008D1C0B" w:rsidRDefault="008D1C0B">
            <w:pPr>
              <w:spacing w:before="60" w:after="60"/>
              <w:rPr>
                <w:rFonts w:cs="Arial"/>
              </w:rPr>
            </w:pPr>
            <w:r>
              <w:rPr>
                <w:rFonts w:cs="Arial"/>
              </w:rPr>
              <w:t>EDRMP</w:t>
            </w:r>
          </w:p>
        </w:tc>
        <w:tc>
          <w:tcPr>
            <w:tcW w:w="4962" w:type="dxa"/>
            <w:shd w:val="clear" w:color="auto" w:fill="auto"/>
          </w:tcPr>
          <w:p w:rsidR="008D1C0B" w:rsidRDefault="008D1C0B" w:rsidP="00F15744">
            <w:pPr>
              <w:spacing w:before="60" w:after="60"/>
              <w:jc w:val="left"/>
              <w:rPr>
                <w:rFonts w:cs="Arial"/>
              </w:rPr>
            </w:pPr>
            <w:r>
              <w:rPr>
                <w:rFonts w:cs="Arial"/>
              </w:rPr>
              <w:t>Administration Wing Circular Memorandum No 5/2012: "Establishment</w:t>
            </w:r>
            <w:r>
              <w:rPr>
                <w:rFonts w:cs="Arial"/>
                <w:lang w:eastAsia="zh-HK"/>
              </w:rPr>
              <w:t xml:space="preserve"> of Departmental Records Management Policies" </w:t>
            </w:r>
            <w:r>
              <w:rPr>
                <w:rFonts w:cs="Arial" w:hint="eastAsia"/>
                <w:lang w:eastAsia="zh-HK"/>
              </w:rPr>
              <w:t>(English version only)</w:t>
            </w:r>
          </w:p>
        </w:tc>
        <w:tc>
          <w:tcPr>
            <w:tcW w:w="1984" w:type="dxa"/>
            <w:shd w:val="clear" w:color="auto" w:fill="auto"/>
          </w:tcPr>
          <w:p w:rsidR="008D1C0B" w:rsidRDefault="008D1C0B">
            <w:pPr>
              <w:spacing w:before="60" w:after="60"/>
              <w:jc w:val="center"/>
              <w:rPr>
                <w:rFonts w:cs="Arial"/>
              </w:rPr>
            </w:pPr>
            <w:r>
              <w:rPr>
                <w:rFonts w:cs="Arial"/>
                <w:lang w:eastAsia="zh-HK"/>
              </w:rPr>
              <w:t>11 July 2012</w:t>
            </w:r>
          </w:p>
        </w:tc>
      </w:tr>
      <w:tr w:rsidR="008D1C0B">
        <w:tc>
          <w:tcPr>
            <w:tcW w:w="567" w:type="dxa"/>
            <w:shd w:val="clear" w:color="auto" w:fill="auto"/>
          </w:tcPr>
          <w:p w:rsidR="008D1C0B" w:rsidRDefault="008D1C0B">
            <w:pPr>
              <w:spacing w:before="60" w:after="60"/>
              <w:jc w:val="center"/>
              <w:rPr>
                <w:rFonts w:cs="Arial"/>
              </w:rPr>
            </w:pPr>
            <w:r>
              <w:rPr>
                <w:rFonts w:cs="Arial"/>
              </w:rPr>
              <w:t>4</w:t>
            </w:r>
          </w:p>
        </w:tc>
        <w:tc>
          <w:tcPr>
            <w:tcW w:w="1701" w:type="dxa"/>
            <w:shd w:val="clear" w:color="auto" w:fill="auto"/>
          </w:tcPr>
          <w:p w:rsidR="008D1C0B" w:rsidRDefault="008D1C0B">
            <w:pPr>
              <w:spacing w:before="60" w:after="60"/>
              <w:rPr>
                <w:rFonts w:cs="Arial"/>
              </w:rPr>
            </w:pPr>
            <w:r>
              <w:rPr>
                <w:rFonts w:cs="Arial"/>
              </w:rPr>
              <w:t>EIMSF</w:t>
            </w:r>
          </w:p>
        </w:tc>
        <w:tc>
          <w:tcPr>
            <w:tcW w:w="4962" w:type="dxa"/>
            <w:shd w:val="clear" w:color="auto" w:fill="auto"/>
          </w:tcPr>
          <w:p w:rsidR="008D1C0B" w:rsidRDefault="008D1C0B" w:rsidP="00F15744">
            <w:pPr>
              <w:spacing w:before="60" w:after="60"/>
              <w:jc w:val="left"/>
              <w:rPr>
                <w:rFonts w:cs="Arial"/>
              </w:rPr>
            </w:pPr>
            <w:r w:rsidRPr="002D45CC">
              <w:rPr>
                <w:rFonts w:cs="Arial"/>
                <w:lang w:eastAsia="zh-HK"/>
              </w:rPr>
              <w:t>Office of the Government Chief Information Officer Circular No 1/2011</w:t>
            </w:r>
            <w:r>
              <w:rPr>
                <w:rFonts w:cs="Arial"/>
                <w:lang w:eastAsia="zh-HK"/>
              </w:rPr>
              <w:t>: "Electronic Information Management Strategy and Framewo</w:t>
            </w:r>
            <w:r>
              <w:rPr>
                <w:rFonts w:cs="Arial"/>
              </w:rPr>
              <w:t>r</w:t>
            </w:r>
            <w:r>
              <w:rPr>
                <w:rFonts w:cs="Arial"/>
                <w:lang w:eastAsia="zh-HK"/>
              </w:rPr>
              <w:t xml:space="preserve">k" </w:t>
            </w:r>
            <w:r>
              <w:rPr>
                <w:rFonts w:cs="Arial" w:hint="eastAsia"/>
                <w:lang w:eastAsia="zh-HK"/>
              </w:rPr>
              <w:t>(English version only)</w:t>
            </w:r>
          </w:p>
        </w:tc>
        <w:tc>
          <w:tcPr>
            <w:tcW w:w="1984" w:type="dxa"/>
            <w:shd w:val="clear" w:color="auto" w:fill="auto"/>
          </w:tcPr>
          <w:p w:rsidR="008D1C0B" w:rsidRDefault="008D1C0B">
            <w:pPr>
              <w:spacing w:before="60" w:after="60"/>
              <w:jc w:val="center"/>
              <w:rPr>
                <w:rFonts w:cs="Arial"/>
              </w:rPr>
            </w:pPr>
            <w:r>
              <w:rPr>
                <w:rFonts w:cs="Arial"/>
                <w:lang w:eastAsia="zh-HK"/>
              </w:rPr>
              <w:t>3 May 2011</w:t>
            </w:r>
          </w:p>
        </w:tc>
      </w:tr>
      <w:tr w:rsidR="008D1C0B">
        <w:tc>
          <w:tcPr>
            <w:tcW w:w="567" w:type="dxa"/>
            <w:shd w:val="clear" w:color="auto" w:fill="auto"/>
          </w:tcPr>
          <w:p w:rsidR="008D1C0B" w:rsidRDefault="008D1C0B">
            <w:pPr>
              <w:spacing w:before="60" w:after="60"/>
              <w:jc w:val="center"/>
              <w:rPr>
                <w:rFonts w:cs="Arial"/>
              </w:rPr>
            </w:pPr>
            <w:r>
              <w:rPr>
                <w:rFonts w:cs="Arial"/>
              </w:rPr>
              <w:t>5</w:t>
            </w:r>
          </w:p>
        </w:tc>
        <w:tc>
          <w:tcPr>
            <w:tcW w:w="1701" w:type="dxa"/>
            <w:shd w:val="clear" w:color="auto" w:fill="auto"/>
          </w:tcPr>
          <w:p w:rsidR="008D1C0B" w:rsidRDefault="008D1C0B">
            <w:pPr>
              <w:spacing w:before="60" w:after="60"/>
              <w:rPr>
                <w:rFonts w:cs="Arial"/>
              </w:rPr>
            </w:pPr>
            <w:r>
              <w:rPr>
                <w:rFonts w:cs="Arial"/>
              </w:rPr>
              <w:t>FRERKS</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Functional Requirements of an Electronic Recordkeeping System (version 1.2)</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rPr>
              <w:t>September 2016</w:t>
            </w:r>
          </w:p>
        </w:tc>
      </w:tr>
      <w:tr w:rsidR="008D1C0B">
        <w:tc>
          <w:tcPr>
            <w:tcW w:w="567" w:type="dxa"/>
            <w:shd w:val="clear" w:color="auto" w:fill="auto"/>
          </w:tcPr>
          <w:p w:rsidR="008D1C0B" w:rsidRDefault="008D1C0B">
            <w:pPr>
              <w:spacing w:before="60" w:after="60"/>
              <w:jc w:val="center"/>
              <w:rPr>
                <w:rFonts w:cs="Arial"/>
              </w:rPr>
            </w:pPr>
            <w:r>
              <w:rPr>
                <w:rFonts w:cs="Arial"/>
              </w:rPr>
              <w:t>6</w:t>
            </w:r>
          </w:p>
        </w:tc>
        <w:tc>
          <w:tcPr>
            <w:tcW w:w="1701" w:type="dxa"/>
            <w:shd w:val="clear" w:color="auto" w:fill="auto"/>
          </w:tcPr>
          <w:p w:rsidR="008D1C0B" w:rsidRDefault="008D1C0B">
            <w:pPr>
              <w:spacing w:before="60" w:after="60"/>
              <w:rPr>
                <w:rFonts w:cs="Arial"/>
              </w:rPr>
            </w:pPr>
            <w:r>
              <w:rPr>
                <w:rFonts w:cs="Arial"/>
              </w:rPr>
              <w:t>GBR</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Guidelines on Bulk Relocation of Government Records (English version only)</w:t>
            </w:r>
          </w:p>
        </w:tc>
        <w:tc>
          <w:tcPr>
            <w:tcW w:w="1984" w:type="dxa"/>
            <w:shd w:val="clear" w:color="auto" w:fill="auto"/>
          </w:tcPr>
          <w:p w:rsidR="008D1C0B" w:rsidRDefault="008D1C0B">
            <w:pPr>
              <w:spacing w:before="60" w:after="60"/>
              <w:jc w:val="center"/>
              <w:rPr>
                <w:rFonts w:cs="Arial"/>
              </w:rPr>
            </w:pPr>
            <w:r>
              <w:rPr>
                <w:rFonts w:cs="Arial"/>
                <w:lang w:eastAsia="zh-HK"/>
              </w:rPr>
              <w:t>July 2015</w:t>
            </w:r>
          </w:p>
        </w:tc>
      </w:tr>
      <w:tr w:rsidR="008D1C0B">
        <w:tc>
          <w:tcPr>
            <w:tcW w:w="567" w:type="dxa"/>
            <w:shd w:val="clear" w:color="auto" w:fill="auto"/>
          </w:tcPr>
          <w:p w:rsidR="008D1C0B" w:rsidRDefault="008D1C0B">
            <w:pPr>
              <w:spacing w:before="60" w:after="60"/>
              <w:jc w:val="center"/>
              <w:rPr>
                <w:rFonts w:cs="Arial"/>
              </w:rPr>
            </w:pPr>
            <w:r>
              <w:rPr>
                <w:rFonts w:cs="Arial"/>
              </w:rPr>
              <w:t>7</w:t>
            </w:r>
          </w:p>
        </w:tc>
        <w:tc>
          <w:tcPr>
            <w:tcW w:w="1701" w:type="dxa"/>
            <w:shd w:val="clear" w:color="auto" w:fill="auto"/>
          </w:tcPr>
          <w:p w:rsidR="008D1C0B" w:rsidRDefault="008D1C0B">
            <w:pPr>
              <w:spacing w:before="60" w:after="60"/>
              <w:rPr>
                <w:rFonts w:cs="Arial"/>
              </w:rPr>
            </w:pPr>
            <w:r>
              <w:rPr>
                <w:rFonts w:cs="Arial"/>
              </w:rPr>
              <w:t>GC06</w:t>
            </w:r>
          </w:p>
        </w:tc>
        <w:tc>
          <w:tcPr>
            <w:tcW w:w="4962" w:type="dxa"/>
            <w:shd w:val="clear" w:color="auto" w:fill="auto"/>
          </w:tcPr>
          <w:p w:rsidR="008D1C0B" w:rsidRDefault="008D1C0B" w:rsidP="00F15744">
            <w:pPr>
              <w:spacing w:before="60" w:after="60"/>
              <w:jc w:val="left"/>
              <w:rPr>
                <w:rFonts w:cs="Arial"/>
                <w:lang w:eastAsia="zh-HK"/>
              </w:rPr>
            </w:pPr>
            <w:r>
              <w:rPr>
                <w:rFonts w:cs="Arial"/>
              </w:rPr>
              <w:t>General Circular No</w:t>
            </w:r>
            <w:r>
              <w:rPr>
                <w:rFonts w:cs="Arial" w:hint="eastAsia"/>
              </w:rPr>
              <w:t xml:space="preserve"> </w:t>
            </w:r>
            <w:r>
              <w:rPr>
                <w:rFonts w:cs="Arial"/>
              </w:rPr>
              <w:t>5/2006: "Management of Government Records"</w:t>
            </w:r>
          </w:p>
        </w:tc>
        <w:tc>
          <w:tcPr>
            <w:tcW w:w="1984" w:type="dxa"/>
            <w:shd w:val="clear" w:color="auto" w:fill="auto"/>
          </w:tcPr>
          <w:p w:rsidR="008D1C0B" w:rsidRDefault="008D1C0B">
            <w:pPr>
              <w:spacing w:before="60" w:after="60"/>
              <w:jc w:val="center"/>
              <w:rPr>
                <w:rFonts w:cs="Arial"/>
              </w:rPr>
            </w:pPr>
            <w:r>
              <w:rPr>
                <w:rFonts w:cs="Arial"/>
              </w:rPr>
              <w:t>28 December 2006</w:t>
            </w:r>
          </w:p>
        </w:tc>
      </w:tr>
      <w:tr w:rsidR="008D1C0B">
        <w:tc>
          <w:tcPr>
            <w:tcW w:w="567" w:type="dxa"/>
            <w:shd w:val="clear" w:color="auto" w:fill="auto"/>
          </w:tcPr>
          <w:p w:rsidR="008D1C0B" w:rsidRDefault="008D1C0B">
            <w:pPr>
              <w:spacing w:before="60" w:after="60"/>
              <w:jc w:val="center"/>
              <w:rPr>
                <w:rFonts w:cs="Arial"/>
              </w:rPr>
            </w:pPr>
            <w:r>
              <w:rPr>
                <w:rFonts w:cs="Arial"/>
              </w:rPr>
              <w:t>8</w:t>
            </w:r>
          </w:p>
        </w:tc>
        <w:tc>
          <w:tcPr>
            <w:tcW w:w="1701" w:type="dxa"/>
            <w:shd w:val="clear" w:color="auto" w:fill="auto"/>
          </w:tcPr>
          <w:p w:rsidR="008D1C0B" w:rsidRDefault="008D1C0B">
            <w:pPr>
              <w:spacing w:before="60" w:after="60"/>
              <w:rPr>
                <w:rFonts w:cs="Arial"/>
              </w:rPr>
            </w:pPr>
            <w:r>
              <w:rPr>
                <w:rFonts w:cs="Arial"/>
              </w:rPr>
              <w:t>GC09</w:t>
            </w:r>
          </w:p>
        </w:tc>
        <w:tc>
          <w:tcPr>
            <w:tcW w:w="4962" w:type="dxa"/>
            <w:shd w:val="clear" w:color="auto" w:fill="auto"/>
          </w:tcPr>
          <w:p w:rsidR="008D1C0B" w:rsidRDefault="008D1C0B" w:rsidP="00F15744">
            <w:pPr>
              <w:spacing w:before="60" w:after="60"/>
              <w:jc w:val="left"/>
              <w:rPr>
                <w:rFonts w:cs="Arial"/>
                <w:lang w:eastAsia="zh-HK"/>
              </w:rPr>
            </w:pPr>
            <w:r>
              <w:rPr>
                <w:rFonts w:cs="Arial"/>
              </w:rPr>
              <w:t>General Circular No 2/2009: "Mandatory Records Management Requirements"</w:t>
            </w:r>
          </w:p>
        </w:tc>
        <w:tc>
          <w:tcPr>
            <w:tcW w:w="1984" w:type="dxa"/>
            <w:shd w:val="clear" w:color="auto" w:fill="auto"/>
          </w:tcPr>
          <w:p w:rsidR="008D1C0B" w:rsidRDefault="008D1C0B">
            <w:pPr>
              <w:spacing w:before="60" w:after="60"/>
              <w:jc w:val="center"/>
              <w:rPr>
                <w:rFonts w:cs="Arial"/>
              </w:rPr>
            </w:pPr>
            <w:r>
              <w:rPr>
                <w:rFonts w:cs="Arial"/>
              </w:rPr>
              <w:t>22 April 2009</w:t>
            </w:r>
          </w:p>
        </w:tc>
      </w:tr>
      <w:tr w:rsidR="008D1C0B">
        <w:tc>
          <w:tcPr>
            <w:tcW w:w="567" w:type="dxa"/>
            <w:shd w:val="clear" w:color="auto" w:fill="auto"/>
          </w:tcPr>
          <w:p w:rsidR="008D1C0B" w:rsidRDefault="008D1C0B">
            <w:pPr>
              <w:spacing w:before="60" w:after="60"/>
              <w:jc w:val="center"/>
              <w:rPr>
                <w:rFonts w:cs="Arial"/>
              </w:rPr>
            </w:pPr>
            <w:r>
              <w:rPr>
                <w:rFonts w:cs="Arial"/>
              </w:rPr>
              <w:t>9</w:t>
            </w:r>
          </w:p>
        </w:tc>
        <w:tc>
          <w:tcPr>
            <w:tcW w:w="1701" w:type="dxa"/>
            <w:shd w:val="clear" w:color="auto" w:fill="auto"/>
          </w:tcPr>
          <w:p w:rsidR="008D1C0B" w:rsidRDefault="008D1C0B">
            <w:pPr>
              <w:spacing w:before="60" w:after="60"/>
              <w:rPr>
                <w:rFonts w:cs="Arial"/>
              </w:rPr>
            </w:pPr>
            <w:r>
              <w:rPr>
                <w:rFonts w:cs="Arial"/>
              </w:rPr>
              <w:t>GC12</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General Circular No 5/2012: "Records Management Reviews"</w:t>
            </w:r>
          </w:p>
        </w:tc>
        <w:tc>
          <w:tcPr>
            <w:tcW w:w="1984" w:type="dxa"/>
            <w:shd w:val="clear" w:color="auto" w:fill="auto"/>
          </w:tcPr>
          <w:p w:rsidR="008D1C0B" w:rsidRDefault="008D1C0B">
            <w:pPr>
              <w:spacing w:before="60" w:after="60"/>
              <w:jc w:val="center"/>
              <w:rPr>
                <w:rFonts w:cs="Arial"/>
              </w:rPr>
            </w:pPr>
            <w:r>
              <w:rPr>
                <w:rFonts w:cs="Arial"/>
                <w:lang w:eastAsia="zh-HK"/>
              </w:rPr>
              <w:t>5 October 2012</w:t>
            </w:r>
          </w:p>
        </w:tc>
      </w:tr>
      <w:tr w:rsidR="008D1C0B">
        <w:tc>
          <w:tcPr>
            <w:tcW w:w="567" w:type="dxa"/>
            <w:shd w:val="clear" w:color="auto" w:fill="auto"/>
          </w:tcPr>
          <w:p w:rsidR="008D1C0B" w:rsidRDefault="008D1C0B">
            <w:pPr>
              <w:spacing w:before="60" w:after="60"/>
              <w:jc w:val="center"/>
              <w:rPr>
                <w:rFonts w:cs="Arial"/>
              </w:rPr>
            </w:pPr>
            <w:r>
              <w:rPr>
                <w:rFonts w:cs="Arial"/>
              </w:rPr>
              <w:t>10</w:t>
            </w:r>
          </w:p>
        </w:tc>
        <w:tc>
          <w:tcPr>
            <w:tcW w:w="1701" w:type="dxa"/>
            <w:shd w:val="clear" w:color="auto" w:fill="auto"/>
          </w:tcPr>
          <w:p w:rsidR="008D1C0B" w:rsidRDefault="008D1C0B">
            <w:pPr>
              <w:spacing w:before="60" w:after="60"/>
              <w:rPr>
                <w:rFonts w:cs="Arial"/>
              </w:rPr>
            </w:pPr>
            <w:r>
              <w:rPr>
                <w:rFonts w:cs="Arial"/>
              </w:rPr>
              <w:t>GCCR</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 xml:space="preserve">Administration Wing Circular Memorandum No 4/2012: "Guidelines on Creation and Collection of Records" </w:t>
            </w:r>
            <w:r>
              <w:rPr>
                <w:rFonts w:cs="Arial" w:hint="eastAsia"/>
                <w:lang w:eastAsia="zh-HK"/>
              </w:rPr>
              <w:t>(English version only)</w:t>
            </w:r>
          </w:p>
        </w:tc>
        <w:tc>
          <w:tcPr>
            <w:tcW w:w="1984" w:type="dxa"/>
            <w:shd w:val="clear" w:color="auto" w:fill="auto"/>
          </w:tcPr>
          <w:p w:rsidR="008D1C0B" w:rsidRDefault="008D1C0B">
            <w:pPr>
              <w:spacing w:before="60" w:after="60"/>
              <w:jc w:val="center"/>
              <w:rPr>
                <w:rFonts w:cs="Arial"/>
              </w:rPr>
            </w:pPr>
            <w:r>
              <w:rPr>
                <w:rFonts w:cs="Arial"/>
                <w:lang w:eastAsia="zh-HK"/>
              </w:rPr>
              <w:t>6 July 2012</w:t>
            </w:r>
          </w:p>
        </w:tc>
      </w:tr>
      <w:tr w:rsidR="008D1C0B">
        <w:tc>
          <w:tcPr>
            <w:tcW w:w="567" w:type="dxa"/>
            <w:shd w:val="clear" w:color="auto" w:fill="auto"/>
          </w:tcPr>
          <w:p w:rsidR="008D1C0B" w:rsidRDefault="008D1C0B">
            <w:pPr>
              <w:spacing w:before="60" w:after="60"/>
              <w:jc w:val="center"/>
              <w:rPr>
                <w:rFonts w:cs="Arial"/>
              </w:rPr>
            </w:pPr>
            <w:r>
              <w:rPr>
                <w:rFonts w:cs="Arial"/>
              </w:rPr>
              <w:t>11</w:t>
            </w:r>
          </w:p>
        </w:tc>
        <w:tc>
          <w:tcPr>
            <w:tcW w:w="1701" w:type="dxa"/>
            <w:shd w:val="clear" w:color="auto" w:fill="auto"/>
          </w:tcPr>
          <w:p w:rsidR="008D1C0B" w:rsidRDefault="008D1C0B">
            <w:pPr>
              <w:spacing w:before="60" w:after="60"/>
              <w:rPr>
                <w:rFonts w:cs="Arial"/>
              </w:rPr>
            </w:pPr>
            <w:r>
              <w:rPr>
                <w:rFonts w:cs="Arial"/>
              </w:rPr>
              <w:t>GFP</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Guidelines on Filing Practices (Chinese version only)</w:t>
            </w:r>
          </w:p>
        </w:tc>
        <w:tc>
          <w:tcPr>
            <w:tcW w:w="1984" w:type="dxa"/>
            <w:shd w:val="clear" w:color="auto" w:fill="auto"/>
          </w:tcPr>
          <w:p w:rsidR="008D1C0B" w:rsidRDefault="008D1C0B">
            <w:pPr>
              <w:spacing w:before="60" w:after="60"/>
              <w:jc w:val="center"/>
              <w:rPr>
                <w:rFonts w:cs="Arial"/>
              </w:rPr>
            </w:pPr>
            <w:r>
              <w:rPr>
                <w:rFonts w:cs="Arial"/>
                <w:lang w:eastAsia="zh-HK"/>
              </w:rPr>
              <w:t>October 2015</w:t>
            </w:r>
          </w:p>
        </w:tc>
      </w:tr>
      <w:tr w:rsidR="008D1C0B">
        <w:tc>
          <w:tcPr>
            <w:tcW w:w="567" w:type="dxa"/>
            <w:shd w:val="clear" w:color="auto" w:fill="auto"/>
          </w:tcPr>
          <w:p w:rsidR="008D1C0B" w:rsidRDefault="008D1C0B">
            <w:pPr>
              <w:spacing w:before="60" w:after="60"/>
              <w:jc w:val="center"/>
              <w:rPr>
                <w:rFonts w:cs="Arial"/>
              </w:rPr>
            </w:pPr>
            <w:r>
              <w:rPr>
                <w:rFonts w:cs="Arial"/>
              </w:rPr>
              <w:t>12</w:t>
            </w:r>
          </w:p>
        </w:tc>
        <w:tc>
          <w:tcPr>
            <w:tcW w:w="1701" w:type="dxa"/>
            <w:shd w:val="clear" w:color="auto" w:fill="auto"/>
          </w:tcPr>
          <w:p w:rsidR="008D1C0B" w:rsidRDefault="008D1C0B">
            <w:pPr>
              <w:spacing w:before="60" w:after="60"/>
              <w:rPr>
                <w:rFonts w:cs="Arial"/>
              </w:rPr>
            </w:pPr>
            <w:r>
              <w:rPr>
                <w:rFonts w:cs="Arial"/>
              </w:rPr>
              <w:t>GISCSAR</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Guidelines on the Implementation of the Standard Classification Scheme for Administrative Records</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rPr>
              <w:t>May 2009</w:t>
            </w:r>
          </w:p>
        </w:tc>
      </w:tr>
      <w:tr w:rsidR="008D1C0B">
        <w:tc>
          <w:tcPr>
            <w:tcW w:w="567" w:type="dxa"/>
            <w:shd w:val="clear" w:color="auto" w:fill="auto"/>
          </w:tcPr>
          <w:p w:rsidR="008D1C0B" w:rsidRDefault="008D1C0B" w:rsidP="00331EDA">
            <w:pPr>
              <w:keepNext/>
              <w:spacing w:before="60" w:after="60"/>
              <w:jc w:val="center"/>
              <w:rPr>
                <w:rFonts w:cs="Arial"/>
              </w:rPr>
            </w:pPr>
            <w:r>
              <w:rPr>
                <w:rFonts w:cs="Arial"/>
              </w:rPr>
              <w:lastRenderedPageBreak/>
              <w:t>13</w:t>
            </w:r>
          </w:p>
        </w:tc>
        <w:tc>
          <w:tcPr>
            <w:tcW w:w="1701" w:type="dxa"/>
            <w:shd w:val="clear" w:color="auto" w:fill="auto"/>
          </w:tcPr>
          <w:p w:rsidR="008D1C0B" w:rsidRDefault="008D1C0B">
            <w:pPr>
              <w:spacing w:before="60" w:after="60"/>
              <w:rPr>
                <w:rFonts w:cs="Arial"/>
              </w:rPr>
            </w:pPr>
            <w:r>
              <w:rPr>
                <w:rFonts w:cs="Arial"/>
              </w:rPr>
              <w:t>GMEM</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 xml:space="preserve">Guideline on the Management of Electronic </w:t>
            </w:r>
            <w:r>
              <w:rPr>
                <w:rFonts w:cs="Arial" w:hint="eastAsia"/>
                <w:lang w:eastAsia="zh-HK"/>
              </w:rPr>
              <w:t>Messages</w:t>
            </w:r>
          </w:p>
        </w:tc>
        <w:tc>
          <w:tcPr>
            <w:tcW w:w="1984" w:type="dxa"/>
            <w:shd w:val="clear" w:color="auto" w:fill="auto"/>
          </w:tcPr>
          <w:p w:rsidR="008D1C0B" w:rsidRDefault="008D1C0B">
            <w:pPr>
              <w:spacing w:before="60" w:after="60"/>
              <w:jc w:val="center"/>
              <w:rPr>
                <w:rFonts w:cs="Arial" w:hint="eastAsia"/>
                <w:lang w:eastAsia="zh-HK"/>
              </w:rPr>
            </w:pPr>
            <w:r>
              <w:rPr>
                <w:rFonts w:cs="Arial" w:hint="eastAsia"/>
                <w:lang w:eastAsia="zh-HK"/>
              </w:rPr>
              <w:t>December 2017</w:t>
            </w:r>
          </w:p>
        </w:tc>
      </w:tr>
      <w:tr w:rsidR="008D1C0B" w:rsidTr="00331EDA">
        <w:trPr>
          <w:cantSplit/>
        </w:trPr>
        <w:tc>
          <w:tcPr>
            <w:tcW w:w="567" w:type="dxa"/>
            <w:shd w:val="clear" w:color="auto" w:fill="auto"/>
          </w:tcPr>
          <w:p w:rsidR="008D1C0B" w:rsidRDefault="008D1C0B">
            <w:pPr>
              <w:spacing w:before="60" w:after="60"/>
              <w:jc w:val="center"/>
              <w:rPr>
                <w:rFonts w:cs="Arial"/>
              </w:rPr>
            </w:pPr>
            <w:r>
              <w:rPr>
                <w:rFonts w:cs="Arial"/>
              </w:rPr>
              <w:t>14</w:t>
            </w:r>
          </w:p>
        </w:tc>
        <w:tc>
          <w:tcPr>
            <w:tcW w:w="1701" w:type="dxa"/>
            <w:shd w:val="clear" w:color="auto" w:fill="auto"/>
          </w:tcPr>
          <w:p w:rsidR="008D1C0B" w:rsidRDefault="008D1C0B">
            <w:pPr>
              <w:spacing w:before="60" w:after="60"/>
              <w:rPr>
                <w:rFonts w:cs="Arial"/>
              </w:rPr>
            </w:pPr>
            <w:r>
              <w:rPr>
                <w:rFonts w:cs="Arial"/>
              </w:rPr>
              <w:t>GMRHE</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Guidelines for Managing Records in a Hybrid Environment</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lang w:eastAsia="zh-HK"/>
              </w:rPr>
              <w:t>March 2016</w:t>
            </w:r>
          </w:p>
        </w:tc>
      </w:tr>
      <w:tr w:rsidR="008D1C0B">
        <w:tc>
          <w:tcPr>
            <w:tcW w:w="567" w:type="dxa"/>
            <w:shd w:val="clear" w:color="auto" w:fill="auto"/>
          </w:tcPr>
          <w:p w:rsidR="008D1C0B" w:rsidRDefault="008D1C0B" w:rsidP="00331EDA">
            <w:pPr>
              <w:spacing w:before="60" w:after="60"/>
              <w:jc w:val="center"/>
              <w:rPr>
                <w:rFonts w:cs="Arial"/>
              </w:rPr>
            </w:pPr>
            <w:r>
              <w:rPr>
                <w:rFonts w:cs="Arial"/>
              </w:rPr>
              <w:t>15</w:t>
            </w:r>
          </w:p>
        </w:tc>
        <w:tc>
          <w:tcPr>
            <w:tcW w:w="1701" w:type="dxa"/>
            <w:shd w:val="clear" w:color="auto" w:fill="auto"/>
          </w:tcPr>
          <w:p w:rsidR="008D1C0B" w:rsidRDefault="008D1C0B">
            <w:pPr>
              <w:spacing w:before="60" w:after="60"/>
              <w:rPr>
                <w:rFonts w:cs="Arial"/>
              </w:rPr>
            </w:pPr>
            <w:r>
              <w:rPr>
                <w:rFonts w:cs="Arial"/>
              </w:rPr>
              <w:t>GR</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 xml:space="preserve">General Regulations of </w:t>
            </w:r>
            <w:r>
              <w:rPr>
                <w:rFonts w:cs="Arial"/>
              </w:rPr>
              <w:t xml:space="preserve">The Government of </w:t>
            </w:r>
            <w:r>
              <w:rPr>
                <w:rFonts w:cs="Arial"/>
                <w:lang w:eastAsia="zh-HK"/>
              </w:rPr>
              <w:t xml:space="preserve">The Hong Kong </w:t>
            </w:r>
            <w:r>
              <w:rPr>
                <w:rFonts w:cs="Arial"/>
              </w:rPr>
              <w:t>Special</w:t>
            </w:r>
            <w:r>
              <w:rPr>
                <w:rFonts w:cs="Arial"/>
                <w:lang w:eastAsia="zh-HK"/>
              </w:rPr>
              <w:t xml:space="preserve"> Administrative Region</w:t>
            </w:r>
            <w:r>
              <w:rPr>
                <w:rFonts w:cs="Arial" w:hint="eastAsia"/>
                <w:lang w:eastAsia="zh-HK"/>
              </w:rPr>
              <w:t xml:space="preserve"> </w:t>
            </w:r>
            <w:r w:rsidRPr="00103267">
              <w:rPr>
                <w:rFonts w:cs="Arial"/>
              </w:rPr>
              <w:t xml:space="preserve">(Regulations of The Government of The Hong Kong Special Administrative Region, Volume </w:t>
            </w:r>
            <w:r w:rsidRPr="00103267">
              <w:rPr>
                <w:rFonts w:cs="Arial" w:hint="eastAsia"/>
                <w:lang w:eastAsia="zh-HK"/>
              </w:rPr>
              <w:t>1</w:t>
            </w:r>
            <w:r w:rsidRPr="00103267">
              <w:rPr>
                <w:rFonts w:cs="Arial"/>
              </w:rPr>
              <w:t>)</w:t>
            </w:r>
            <w:r w:rsidRPr="000B76D9">
              <w:rPr>
                <w:rFonts w:cs="Arial" w:hint="eastAsia"/>
                <w:color w:val="FF0000"/>
                <w:lang w:eastAsia="zh-HK"/>
              </w:rPr>
              <w:t xml:space="preserve"> </w:t>
            </w:r>
          </w:p>
        </w:tc>
        <w:tc>
          <w:tcPr>
            <w:tcW w:w="1984" w:type="dxa"/>
            <w:shd w:val="clear" w:color="auto" w:fill="auto"/>
          </w:tcPr>
          <w:p w:rsidR="008D1C0B" w:rsidRDefault="008D1C0B">
            <w:pPr>
              <w:spacing w:before="60" w:after="60"/>
              <w:jc w:val="center"/>
              <w:rPr>
                <w:rFonts w:cs="Arial"/>
              </w:rPr>
            </w:pPr>
            <w:r>
              <w:rPr>
                <w:rFonts w:cs="Arial"/>
              </w:rPr>
              <w:t xml:space="preserve">November 2016 </w:t>
            </w:r>
          </w:p>
        </w:tc>
      </w:tr>
      <w:tr w:rsidR="008D1C0B">
        <w:tc>
          <w:tcPr>
            <w:tcW w:w="567" w:type="dxa"/>
            <w:shd w:val="clear" w:color="auto" w:fill="auto"/>
          </w:tcPr>
          <w:p w:rsidR="008D1C0B" w:rsidRDefault="008D1C0B">
            <w:pPr>
              <w:spacing w:before="60" w:after="60"/>
              <w:jc w:val="center"/>
              <w:rPr>
                <w:rFonts w:cs="Arial"/>
              </w:rPr>
            </w:pPr>
            <w:r>
              <w:rPr>
                <w:rFonts w:cs="Arial"/>
              </w:rPr>
              <w:t>16</w:t>
            </w:r>
          </w:p>
        </w:tc>
        <w:tc>
          <w:tcPr>
            <w:tcW w:w="1701" w:type="dxa"/>
            <w:shd w:val="clear" w:color="auto" w:fill="auto"/>
          </w:tcPr>
          <w:p w:rsidR="008D1C0B" w:rsidRDefault="008D1C0B">
            <w:pPr>
              <w:spacing w:before="60" w:after="60"/>
              <w:rPr>
                <w:rFonts w:cs="Arial"/>
              </w:rPr>
            </w:pPr>
            <w:r>
              <w:rPr>
                <w:rFonts w:cs="Arial"/>
              </w:rPr>
              <w:t>GRMP</w:t>
            </w:r>
          </w:p>
        </w:tc>
        <w:tc>
          <w:tcPr>
            <w:tcW w:w="4962" w:type="dxa"/>
            <w:shd w:val="clear" w:color="auto" w:fill="auto"/>
          </w:tcPr>
          <w:p w:rsidR="008D1C0B" w:rsidRDefault="008D1C0B" w:rsidP="00F15744">
            <w:pPr>
              <w:spacing w:before="60" w:after="60"/>
              <w:jc w:val="left"/>
              <w:rPr>
                <w:rFonts w:cs="Arial"/>
                <w:lang w:eastAsia="zh-HK"/>
              </w:rPr>
            </w:pPr>
            <w:r>
              <w:rPr>
                <w:rFonts w:cs="Arial"/>
              </w:rPr>
              <w:t>Good Records Management Practices</w:t>
            </w:r>
          </w:p>
        </w:tc>
        <w:tc>
          <w:tcPr>
            <w:tcW w:w="1984" w:type="dxa"/>
            <w:shd w:val="clear" w:color="auto" w:fill="auto"/>
          </w:tcPr>
          <w:p w:rsidR="008D1C0B" w:rsidRDefault="008D1C0B">
            <w:pPr>
              <w:spacing w:before="60" w:after="60"/>
              <w:jc w:val="center"/>
              <w:rPr>
                <w:rFonts w:cs="Arial"/>
              </w:rPr>
            </w:pPr>
            <w:r>
              <w:rPr>
                <w:rFonts w:cs="Arial"/>
              </w:rPr>
              <w:t>October 2011</w:t>
            </w:r>
          </w:p>
        </w:tc>
      </w:tr>
      <w:tr w:rsidR="008D1C0B">
        <w:tc>
          <w:tcPr>
            <w:tcW w:w="567" w:type="dxa"/>
            <w:tcBorders>
              <w:bottom w:val="single" w:sz="4" w:space="0" w:color="auto"/>
            </w:tcBorders>
            <w:shd w:val="clear" w:color="auto" w:fill="auto"/>
          </w:tcPr>
          <w:p w:rsidR="008D1C0B" w:rsidRDefault="008D1C0B">
            <w:pPr>
              <w:spacing w:before="60" w:after="60"/>
              <w:jc w:val="center"/>
              <w:rPr>
                <w:rFonts w:cs="Arial"/>
              </w:rPr>
            </w:pPr>
            <w:r>
              <w:rPr>
                <w:rFonts w:cs="Arial"/>
              </w:rPr>
              <w:t>17</w:t>
            </w:r>
          </w:p>
        </w:tc>
        <w:tc>
          <w:tcPr>
            <w:tcW w:w="1701" w:type="dxa"/>
            <w:tcBorders>
              <w:bottom w:val="single" w:sz="4" w:space="0" w:color="auto"/>
            </w:tcBorders>
            <w:shd w:val="clear" w:color="auto" w:fill="auto"/>
          </w:tcPr>
          <w:p w:rsidR="008D1C0B" w:rsidRDefault="008D1C0B">
            <w:pPr>
              <w:spacing w:before="60" w:after="60"/>
              <w:rPr>
                <w:rFonts w:cs="Arial"/>
              </w:rPr>
            </w:pPr>
            <w:r>
              <w:rPr>
                <w:rFonts w:cs="Arial"/>
              </w:rPr>
              <w:t>GTRPA</w:t>
            </w:r>
          </w:p>
        </w:tc>
        <w:tc>
          <w:tcPr>
            <w:tcW w:w="4962" w:type="dxa"/>
            <w:tcBorders>
              <w:bottom w:val="single" w:sz="4" w:space="0" w:color="auto"/>
            </w:tcBorders>
            <w:shd w:val="clear" w:color="auto" w:fill="auto"/>
          </w:tcPr>
          <w:p w:rsidR="008D1C0B" w:rsidRDefault="008D1C0B" w:rsidP="00F15744">
            <w:pPr>
              <w:spacing w:before="60" w:after="60"/>
              <w:jc w:val="left"/>
              <w:rPr>
                <w:rFonts w:cs="Arial"/>
                <w:lang w:eastAsia="zh-HK"/>
              </w:rPr>
            </w:pPr>
            <w:r>
              <w:rPr>
                <w:rFonts w:cs="Arial"/>
                <w:lang w:eastAsia="zh-HK"/>
              </w:rPr>
              <w:t xml:space="preserve">Guidelines for Transferring Records to Public Records Office of GRS for Appraisal </w:t>
            </w:r>
            <w:r>
              <w:rPr>
                <w:rFonts w:cs="Arial" w:hint="eastAsia"/>
                <w:lang w:eastAsia="zh-HK"/>
              </w:rPr>
              <w:t>(English version only)</w:t>
            </w:r>
          </w:p>
        </w:tc>
        <w:tc>
          <w:tcPr>
            <w:tcW w:w="1984" w:type="dxa"/>
            <w:tcBorders>
              <w:bottom w:val="single" w:sz="4" w:space="0" w:color="auto"/>
            </w:tcBorders>
            <w:shd w:val="clear" w:color="auto" w:fill="auto"/>
          </w:tcPr>
          <w:p w:rsidR="008D1C0B" w:rsidRDefault="008D1C0B">
            <w:pPr>
              <w:spacing w:before="60" w:after="60"/>
              <w:jc w:val="center"/>
              <w:rPr>
                <w:rFonts w:cs="Arial"/>
              </w:rPr>
            </w:pPr>
            <w:r>
              <w:rPr>
                <w:rFonts w:cs="Arial"/>
                <w:lang w:eastAsia="zh-HK"/>
              </w:rPr>
              <w:t>February 2015</w:t>
            </w:r>
          </w:p>
        </w:tc>
      </w:tr>
      <w:tr w:rsidR="008D1C0B">
        <w:tc>
          <w:tcPr>
            <w:tcW w:w="567" w:type="dxa"/>
            <w:shd w:val="clear" w:color="auto" w:fill="auto"/>
          </w:tcPr>
          <w:p w:rsidR="008D1C0B" w:rsidRDefault="008D1C0B">
            <w:pPr>
              <w:spacing w:before="60" w:after="60"/>
              <w:jc w:val="center"/>
              <w:rPr>
                <w:rFonts w:cs="Arial"/>
              </w:rPr>
            </w:pPr>
            <w:r>
              <w:rPr>
                <w:rFonts w:cs="Arial"/>
              </w:rPr>
              <w:t>18</w:t>
            </w:r>
          </w:p>
        </w:tc>
        <w:tc>
          <w:tcPr>
            <w:tcW w:w="1701" w:type="dxa"/>
            <w:shd w:val="clear" w:color="auto" w:fill="auto"/>
          </w:tcPr>
          <w:p w:rsidR="008D1C0B" w:rsidRDefault="008D1C0B">
            <w:pPr>
              <w:spacing w:before="60" w:after="60"/>
              <w:rPr>
                <w:rFonts w:cs="Arial"/>
              </w:rPr>
            </w:pPr>
            <w:r>
              <w:rPr>
                <w:rFonts w:cs="Arial"/>
              </w:rPr>
              <w:t>Guideline cum Checklist</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Guideline cum Checklist for Review of Records Retention and Disposal Schedules</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lang w:eastAsia="zh-HK"/>
              </w:rPr>
              <w:t>April 2017</w:t>
            </w:r>
          </w:p>
        </w:tc>
      </w:tr>
      <w:tr w:rsidR="008D1C0B">
        <w:tc>
          <w:tcPr>
            <w:tcW w:w="567" w:type="dxa"/>
            <w:shd w:val="clear" w:color="auto" w:fill="auto"/>
          </w:tcPr>
          <w:p w:rsidR="008D1C0B" w:rsidRDefault="008D1C0B">
            <w:pPr>
              <w:spacing w:before="60" w:after="60"/>
              <w:jc w:val="center"/>
              <w:rPr>
                <w:rFonts w:cs="Arial"/>
              </w:rPr>
            </w:pPr>
            <w:r>
              <w:rPr>
                <w:rFonts w:cs="Arial"/>
              </w:rPr>
              <w:t>19</w:t>
            </w:r>
          </w:p>
        </w:tc>
        <w:tc>
          <w:tcPr>
            <w:tcW w:w="1701" w:type="dxa"/>
            <w:shd w:val="clear" w:color="auto" w:fill="auto"/>
          </w:tcPr>
          <w:p w:rsidR="008D1C0B" w:rsidRDefault="008D1C0B">
            <w:pPr>
              <w:spacing w:before="60" w:after="60"/>
              <w:rPr>
                <w:rFonts w:cs="Arial"/>
              </w:rPr>
            </w:pPr>
            <w:r>
              <w:rPr>
                <w:rFonts w:cs="Arial"/>
                <w:lang w:eastAsia="zh-HK"/>
              </w:rPr>
              <w:t>Handbook 2015</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A Handbook on Records Management Practices and Guidelines for an Electronic Recordkeeping System (English version only)</w:t>
            </w:r>
          </w:p>
        </w:tc>
        <w:tc>
          <w:tcPr>
            <w:tcW w:w="1984" w:type="dxa"/>
            <w:shd w:val="clear" w:color="auto" w:fill="auto"/>
          </w:tcPr>
          <w:p w:rsidR="008D1C0B" w:rsidRDefault="008D1C0B">
            <w:pPr>
              <w:spacing w:before="60" w:after="60"/>
              <w:jc w:val="center"/>
              <w:rPr>
                <w:rFonts w:cs="Arial"/>
              </w:rPr>
            </w:pPr>
            <w:r>
              <w:rPr>
                <w:rFonts w:cs="Arial"/>
                <w:lang w:eastAsia="zh-HK"/>
              </w:rPr>
              <w:t>January 2015</w:t>
            </w:r>
          </w:p>
        </w:tc>
      </w:tr>
      <w:tr w:rsidR="008D1C0B">
        <w:tc>
          <w:tcPr>
            <w:tcW w:w="567" w:type="dxa"/>
            <w:shd w:val="clear" w:color="auto" w:fill="auto"/>
          </w:tcPr>
          <w:p w:rsidR="008D1C0B" w:rsidRDefault="008D1C0B">
            <w:pPr>
              <w:spacing w:before="60" w:after="60"/>
              <w:jc w:val="center"/>
              <w:rPr>
                <w:rFonts w:cs="Arial"/>
              </w:rPr>
            </w:pPr>
            <w:r>
              <w:rPr>
                <w:rFonts w:cs="Arial"/>
              </w:rPr>
              <w:t>20</w:t>
            </w:r>
          </w:p>
        </w:tc>
        <w:tc>
          <w:tcPr>
            <w:tcW w:w="1701" w:type="dxa"/>
            <w:shd w:val="clear" w:color="auto" w:fill="auto"/>
          </w:tcPr>
          <w:p w:rsidR="008D1C0B" w:rsidRDefault="008D1C0B">
            <w:pPr>
              <w:spacing w:before="60" w:after="60"/>
              <w:rPr>
                <w:rFonts w:cs="Arial"/>
              </w:rPr>
            </w:pPr>
            <w:r>
              <w:rPr>
                <w:rFonts w:cs="Arial"/>
                <w:lang w:eastAsia="zh-HK"/>
              </w:rPr>
              <w:t>HPER</w:t>
            </w:r>
          </w:p>
        </w:tc>
        <w:tc>
          <w:tcPr>
            <w:tcW w:w="4962" w:type="dxa"/>
            <w:shd w:val="clear" w:color="auto" w:fill="auto"/>
          </w:tcPr>
          <w:p w:rsidR="008D1C0B" w:rsidRDefault="008D1C0B" w:rsidP="00F15744">
            <w:pPr>
              <w:spacing w:before="60" w:after="60"/>
              <w:jc w:val="left"/>
              <w:rPr>
                <w:rFonts w:cs="Arial"/>
                <w:lang w:eastAsia="zh-HK"/>
              </w:rPr>
            </w:pPr>
            <w:r>
              <w:rPr>
                <w:rFonts w:cs="Arial"/>
              </w:rPr>
              <w:t>A Handbook on Preservation of Electronic Records (English version only)</w:t>
            </w:r>
          </w:p>
        </w:tc>
        <w:tc>
          <w:tcPr>
            <w:tcW w:w="1984" w:type="dxa"/>
            <w:shd w:val="clear" w:color="auto" w:fill="auto"/>
          </w:tcPr>
          <w:p w:rsidR="008D1C0B" w:rsidRDefault="008D1C0B">
            <w:pPr>
              <w:spacing w:before="60" w:after="60"/>
              <w:jc w:val="center"/>
              <w:rPr>
                <w:rFonts w:cs="Arial"/>
              </w:rPr>
            </w:pPr>
            <w:r>
              <w:rPr>
                <w:rFonts w:cs="Arial"/>
              </w:rPr>
              <w:t>31 July 2013</w:t>
            </w:r>
          </w:p>
        </w:tc>
      </w:tr>
      <w:tr w:rsidR="008D1C0B">
        <w:tc>
          <w:tcPr>
            <w:tcW w:w="567" w:type="dxa"/>
            <w:shd w:val="clear" w:color="auto" w:fill="auto"/>
          </w:tcPr>
          <w:p w:rsidR="008D1C0B" w:rsidRDefault="008D1C0B">
            <w:pPr>
              <w:spacing w:before="60" w:after="60"/>
              <w:jc w:val="center"/>
              <w:rPr>
                <w:rFonts w:cs="Arial"/>
              </w:rPr>
            </w:pPr>
            <w:r>
              <w:rPr>
                <w:rFonts w:cs="Arial"/>
              </w:rPr>
              <w:t>21</w:t>
            </w:r>
          </w:p>
        </w:tc>
        <w:tc>
          <w:tcPr>
            <w:tcW w:w="1701" w:type="dxa"/>
            <w:shd w:val="clear" w:color="auto" w:fill="auto"/>
          </w:tcPr>
          <w:p w:rsidR="008D1C0B" w:rsidRDefault="008D1C0B">
            <w:pPr>
              <w:spacing w:before="60" w:after="60"/>
              <w:rPr>
                <w:rFonts w:cs="Arial"/>
              </w:rPr>
            </w:pPr>
            <w:r>
              <w:rPr>
                <w:rFonts w:cs="Arial"/>
              </w:rPr>
              <w:t>PRAR</w:t>
            </w:r>
          </w:p>
        </w:tc>
        <w:tc>
          <w:tcPr>
            <w:tcW w:w="4962" w:type="dxa"/>
            <w:shd w:val="clear" w:color="auto" w:fill="auto"/>
          </w:tcPr>
          <w:p w:rsidR="008D1C0B" w:rsidRDefault="008D1C0B" w:rsidP="00F15744">
            <w:pPr>
              <w:spacing w:before="60" w:after="60"/>
              <w:jc w:val="left"/>
              <w:rPr>
                <w:rFonts w:cs="Arial"/>
                <w:lang w:eastAsia="zh-HK"/>
              </w:rPr>
            </w:pPr>
            <w:r>
              <w:rPr>
                <w:rFonts w:cs="Arial"/>
              </w:rPr>
              <w:t>Public Records (Access) Rules 1996</w:t>
            </w:r>
          </w:p>
        </w:tc>
        <w:tc>
          <w:tcPr>
            <w:tcW w:w="1984" w:type="dxa"/>
            <w:shd w:val="clear" w:color="auto" w:fill="auto"/>
          </w:tcPr>
          <w:p w:rsidR="008D1C0B" w:rsidRDefault="008D1C0B">
            <w:pPr>
              <w:spacing w:before="60" w:after="60"/>
              <w:jc w:val="center"/>
              <w:rPr>
                <w:rFonts w:cs="Arial"/>
              </w:rPr>
            </w:pPr>
            <w:r>
              <w:rPr>
                <w:rFonts w:cs="Arial"/>
              </w:rPr>
              <w:t>1996</w:t>
            </w:r>
          </w:p>
        </w:tc>
      </w:tr>
      <w:tr w:rsidR="008D1C0B">
        <w:tc>
          <w:tcPr>
            <w:tcW w:w="567" w:type="dxa"/>
            <w:shd w:val="clear" w:color="auto" w:fill="auto"/>
          </w:tcPr>
          <w:p w:rsidR="008D1C0B" w:rsidRDefault="008D1C0B">
            <w:pPr>
              <w:spacing w:before="60" w:after="60"/>
              <w:jc w:val="center"/>
              <w:rPr>
                <w:rFonts w:cs="Arial"/>
              </w:rPr>
            </w:pPr>
            <w:r>
              <w:rPr>
                <w:rFonts w:cs="Arial"/>
              </w:rPr>
              <w:t>22</w:t>
            </w:r>
          </w:p>
        </w:tc>
        <w:tc>
          <w:tcPr>
            <w:tcW w:w="1701" w:type="dxa"/>
            <w:shd w:val="clear" w:color="auto" w:fill="auto"/>
          </w:tcPr>
          <w:p w:rsidR="008D1C0B" w:rsidRDefault="008D1C0B">
            <w:pPr>
              <w:spacing w:before="60" w:after="60"/>
              <w:rPr>
                <w:rFonts w:cs="Arial"/>
              </w:rPr>
            </w:pPr>
            <w:r>
              <w:rPr>
                <w:rFonts w:cs="Arial"/>
              </w:rPr>
              <w:t>RKMS</w:t>
            </w:r>
          </w:p>
        </w:tc>
        <w:tc>
          <w:tcPr>
            <w:tcW w:w="4962" w:type="dxa"/>
            <w:shd w:val="clear" w:color="auto" w:fill="auto"/>
          </w:tcPr>
          <w:p w:rsidR="008D1C0B" w:rsidRDefault="008D1C0B" w:rsidP="00F15744">
            <w:pPr>
              <w:spacing w:before="60" w:after="60"/>
              <w:jc w:val="left"/>
              <w:rPr>
                <w:rFonts w:cs="Arial"/>
                <w:lang w:eastAsia="zh-HK"/>
              </w:rPr>
            </w:pPr>
            <w:r>
              <w:rPr>
                <w:rFonts w:cs="Arial"/>
                <w:lang w:eastAsia="zh-HK"/>
              </w:rPr>
              <w:t>Recordkeeping Metadata Standard for the Government of the Hong Kong Special Administrative Region (version 1.1)</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lang w:eastAsia="zh-HK"/>
              </w:rPr>
              <w:t>September 2016</w:t>
            </w:r>
          </w:p>
        </w:tc>
      </w:tr>
      <w:tr w:rsidR="008D1C0B" w:rsidTr="00331EDA">
        <w:tc>
          <w:tcPr>
            <w:tcW w:w="567" w:type="dxa"/>
            <w:tcBorders>
              <w:bottom w:val="single" w:sz="4" w:space="0" w:color="auto"/>
            </w:tcBorders>
            <w:shd w:val="clear" w:color="auto" w:fill="auto"/>
          </w:tcPr>
          <w:p w:rsidR="008D1C0B" w:rsidRDefault="008D1C0B">
            <w:pPr>
              <w:spacing w:before="60" w:after="60"/>
              <w:jc w:val="center"/>
              <w:rPr>
                <w:rFonts w:cs="Arial"/>
              </w:rPr>
            </w:pPr>
            <w:r>
              <w:rPr>
                <w:rFonts w:cs="Arial"/>
              </w:rPr>
              <w:t>23</w:t>
            </w:r>
          </w:p>
        </w:tc>
        <w:tc>
          <w:tcPr>
            <w:tcW w:w="1701" w:type="dxa"/>
            <w:tcBorders>
              <w:bottom w:val="single" w:sz="4" w:space="0" w:color="auto"/>
            </w:tcBorders>
            <w:shd w:val="clear" w:color="auto" w:fill="auto"/>
          </w:tcPr>
          <w:p w:rsidR="008D1C0B" w:rsidRDefault="008D1C0B">
            <w:pPr>
              <w:spacing w:before="60" w:after="60"/>
              <w:rPr>
                <w:rFonts w:cs="Arial"/>
              </w:rPr>
            </w:pPr>
            <w:r>
              <w:rPr>
                <w:rFonts w:cs="Arial"/>
              </w:rPr>
              <w:t>RMM</w:t>
            </w:r>
          </w:p>
        </w:tc>
        <w:tc>
          <w:tcPr>
            <w:tcW w:w="4962" w:type="dxa"/>
            <w:tcBorders>
              <w:bottom w:val="single" w:sz="4" w:space="0" w:color="auto"/>
            </w:tcBorders>
            <w:shd w:val="clear" w:color="auto" w:fill="auto"/>
          </w:tcPr>
          <w:p w:rsidR="008D1C0B" w:rsidRDefault="008D1C0B" w:rsidP="00F15744">
            <w:pPr>
              <w:spacing w:before="60" w:after="60"/>
              <w:jc w:val="left"/>
              <w:rPr>
                <w:rFonts w:cs="Arial"/>
                <w:lang w:eastAsia="zh-HK"/>
              </w:rPr>
            </w:pPr>
            <w:r>
              <w:rPr>
                <w:rFonts w:cs="Arial"/>
              </w:rPr>
              <w:t xml:space="preserve">Records Management Manual </w:t>
            </w:r>
          </w:p>
        </w:tc>
        <w:tc>
          <w:tcPr>
            <w:tcW w:w="1984" w:type="dxa"/>
            <w:tcBorders>
              <w:bottom w:val="single" w:sz="4" w:space="0" w:color="auto"/>
            </w:tcBorders>
            <w:shd w:val="clear" w:color="auto" w:fill="auto"/>
          </w:tcPr>
          <w:p w:rsidR="008D1C0B" w:rsidRDefault="008D1C0B">
            <w:pPr>
              <w:spacing w:before="60" w:after="60"/>
              <w:jc w:val="center"/>
              <w:rPr>
                <w:rFonts w:cs="Arial"/>
              </w:rPr>
            </w:pPr>
            <w:r>
              <w:rPr>
                <w:rFonts w:cs="Arial"/>
              </w:rPr>
              <w:t>August 2001</w:t>
            </w:r>
          </w:p>
        </w:tc>
      </w:tr>
      <w:tr w:rsidR="008D1C0B" w:rsidTr="00331EDA">
        <w:tc>
          <w:tcPr>
            <w:tcW w:w="567" w:type="dxa"/>
            <w:shd w:val="clear" w:color="auto" w:fill="auto"/>
          </w:tcPr>
          <w:p w:rsidR="008D1C0B" w:rsidRDefault="008D1C0B">
            <w:pPr>
              <w:spacing w:before="60" w:after="60"/>
              <w:jc w:val="center"/>
              <w:rPr>
                <w:rFonts w:cs="Arial"/>
              </w:rPr>
            </w:pPr>
            <w:r>
              <w:rPr>
                <w:rFonts w:cs="Arial"/>
              </w:rPr>
              <w:t>24</w:t>
            </w:r>
          </w:p>
        </w:tc>
        <w:tc>
          <w:tcPr>
            <w:tcW w:w="1701" w:type="dxa"/>
            <w:shd w:val="clear" w:color="auto" w:fill="auto"/>
          </w:tcPr>
          <w:p w:rsidR="008D1C0B" w:rsidRDefault="008D1C0B">
            <w:pPr>
              <w:spacing w:before="60" w:after="60"/>
              <w:rPr>
                <w:rFonts w:cs="Arial"/>
              </w:rPr>
            </w:pPr>
            <w:r>
              <w:rPr>
                <w:rFonts w:cs="Arial"/>
              </w:rPr>
              <w:t>RMP1</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Records Management Publication No 1 – A Practical Guide to Records Scheduling and Disposal</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rPr>
              <w:t>May 2015</w:t>
            </w:r>
          </w:p>
        </w:tc>
      </w:tr>
      <w:tr w:rsidR="008D1C0B">
        <w:tc>
          <w:tcPr>
            <w:tcW w:w="567" w:type="dxa"/>
            <w:shd w:val="clear" w:color="auto" w:fill="auto"/>
          </w:tcPr>
          <w:p w:rsidR="008D1C0B" w:rsidRDefault="008D1C0B">
            <w:pPr>
              <w:spacing w:before="60" w:after="60"/>
              <w:jc w:val="center"/>
              <w:rPr>
                <w:rFonts w:cs="Arial"/>
              </w:rPr>
            </w:pPr>
            <w:r>
              <w:rPr>
                <w:rFonts w:cs="Arial"/>
              </w:rPr>
              <w:t>25</w:t>
            </w:r>
          </w:p>
        </w:tc>
        <w:tc>
          <w:tcPr>
            <w:tcW w:w="1701" w:type="dxa"/>
            <w:shd w:val="clear" w:color="auto" w:fill="auto"/>
          </w:tcPr>
          <w:p w:rsidR="008D1C0B" w:rsidRDefault="008D1C0B">
            <w:pPr>
              <w:spacing w:before="60" w:after="60"/>
              <w:rPr>
                <w:rFonts w:cs="Arial"/>
              </w:rPr>
            </w:pPr>
            <w:r>
              <w:rPr>
                <w:rFonts w:cs="Arial"/>
              </w:rPr>
              <w:t>RMP2</w:t>
            </w:r>
          </w:p>
        </w:tc>
        <w:tc>
          <w:tcPr>
            <w:tcW w:w="4962" w:type="dxa"/>
            <w:shd w:val="clear" w:color="auto" w:fill="auto"/>
          </w:tcPr>
          <w:p w:rsidR="008D1C0B" w:rsidRDefault="008D1C0B" w:rsidP="00F15744">
            <w:pPr>
              <w:spacing w:before="60" w:after="60"/>
              <w:jc w:val="left"/>
              <w:rPr>
                <w:rFonts w:cs="Arial"/>
                <w:lang w:eastAsia="zh-HK"/>
              </w:rPr>
            </w:pPr>
            <w:r>
              <w:rPr>
                <w:rFonts w:cs="Arial"/>
              </w:rPr>
              <w:t>Records Management Publication No 2 – Managing Active Records: File Management</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hint="eastAsia"/>
                <w:lang w:eastAsia="zh-HK"/>
              </w:rPr>
            </w:pPr>
            <w:r>
              <w:rPr>
                <w:rFonts w:cs="Arial" w:hint="eastAsia"/>
                <w:lang w:eastAsia="zh-HK"/>
              </w:rPr>
              <w:t>March 2018</w:t>
            </w:r>
          </w:p>
        </w:tc>
      </w:tr>
      <w:tr w:rsidR="008D1C0B">
        <w:tc>
          <w:tcPr>
            <w:tcW w:w="567" w:type="dxa"/>
            <w:shd w:val="clear" w:color="auto" w:fill="auto"/>
          </w:tcPr>
          <w:p w:rsidR="008D1C0B" w:rsidRDefault="008D1C0B">
            <w:pPr>
              <w:spacing w:before="60" w:after="60"/>
              <w:jc w:val="center"/>
              <w:rPr>
                <w:rFonts w:cs="Arial"/>
              </w:rPr>
            </w:pPr>
            <w:r>
              <w:rPr>
                <w:rFonts w:cs="Arial"/>
              </w:rPr>
              <w:t>26</w:t>
            </w:r>
          </w:p>
        </w:tc>
        <w:tc>
          <w:tcPr>
            <w:tcW w:w="1701" w:type="dxa"/>
            <w:shd w:val="clear" w:color="auto" w:fill="auto"/>
          </w:tcPr>
          <w:p w:rsidR="008D1C0B" w:rsidRDefault="008D1C0B">
            <w:pPr>
              <w:spacing w:before="60" w:after="60"/>
              <w:rPr>
                <w:rFonts w:cs="Arial"/>
              </w:rPr>
            </w:pPr>
            <w:r>
              <w:rPr>
                <w:rFonts w:cs="Arial"/>
              </w:rPr>
              <w:t>RMP3</w:t>
            </w:r>
          </w:p>
        </w:tc>
        <w:tc>
          <w:tcPr>
            <w:tcW w:w="4962" w:type="dxa"/>
            <w:shd w:val="clear" w:color="auto" w:fill="auto"/>
          </w:tcPr>
          <w:p w:rsidR="008D1C0B" w:rsidRPr="00AD22FE" w:rsidRDefault="008D1C0B" w:rsidP="00F15744">
            <w:pPr>
              <w:spacing w:before="60" w:after="60"/>
              <w:jc w:val="left"/>
              <w:rPr>
                <w:rFonts w:cs="Arial" w:hint="eastAsia"/>
                <w:lang w:eastAsia="zh-HK"/>
              </w:rPr>
            </w:pPr>
            <w:r>
              <w:rPr>
                <w:rFonts w:cs="Arial"/>
              </w:rPr>
              <w:t>Records Management Publication No 3 – Subject Filing</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hint="eastAsia"/>
                <w:lang w:eastAsia="zh-HK"/>
              </w:rPr>
            </w:pPr>
            <w:r>
              <w:rPr>
                <w:rFonts w:cs="Arial" w:hint="eastAsia"/>
                <w:lang w:eastAsia="zh-HK"/>
              </w:rPr>
              <w:t>March 2018</w:t>
            </w:r>
          </w:p>
        </w:tc>
      </w:tr>
      <w:tr w:rsidR="008D1C0B">
        <w:tc>
          <w:tcPr>
            <w:tcW w:w="567" w:type="dxa"/>
            <w:shd w:val="clear" w:color="auto" w:fill="auto"/>
          </w:tcPr>
          <w:p w:rsidR="008D1C0B" w:rsidRDefault="008D1C0B">
            <w:pPr>
              <w:spacing w:before="60" w:after="60"/>
              <w:jc w:val="center"/>
              <w:rPr>
                <w:rFonts w:cs="Arial"/>
              </w:rPr>
            </w:pPr>
            <w:r>
              <w:rPr>
                <w:rFonts w:cs="Arial"/>
              </w:rPr>
              <w:t>27</w:t>
            </w:r>
          </w:p>
        </w:tc>
        <w:tc>
          <w:tcPr>
            <w:tcW w:w="1701" w:type="dxa"/>
            <w:shd w:val="clear" w:color="auto" w:fill="auto"/>
          </w:tcPr>
          <w:p w:rsidR="008D1C0B" w:rsidRDefault="008D1C0B">
            <w:pPr>
              <w:spacing w:before="60" w:after="60"/>
              <w:rPr>
                <w:rFonts w:cs="Arial"/>
              </w:rPr>
            </w:pPr>
            <w:r>
              <w:rPr>
                <w:rFonts w:cs="Arial"/>
              </w:rPr>
              <w:t>RMP4</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Records Management Publication No 4 – General Administrative Records Disposal Schedules (GARDS)</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rPr>
            </w:pPr>
            <w:r>
              <w:rPr>
                <w:rFonts w:cs="Arial"/>
              </w:rPr>
              <w:t>October 2013</w:t>
            </w:r>
          </w:p>
        </w:tc>
      </w:tr>
      <w:tr w:rsidR="008D1C0B">
        <w:tc>
          <w:tcPr>
            <w:tcW w:w="567" w:type="dxa"/>
            <w:shd w:val="clear" w:color="auto" w:fill="auto"/>
          </w:tcPr>
          <w:p w:rsidR="008D1C0B" w:rsidRDefault="008D1C0B" w:rsidP="00331EDA">
            <w:pPr>
              <w:keepNext/>
              <w:spacing w:before="60" w:after="60"/>
              <w:jc w:val="center"/>
              <w:rPr>
                <w:rFonts w:cs="Arial"/>
              </w:rPr>
            </w:pPr>
            <w:r>
              <w:rPr>
                <w:rFonts w:cs="Arial"/>
              </w:rPr>
              <w:lastRenderedPageBreak/>
              <w:t>28</w:t>
            </w:r>
          </w:p>
        </w:tc>
        <w:tc>
          <w:tcPr>
            <w:tcW w:w="1701" w:type="dxa"/>
            <w:shd w:val="clear" w:color="auto" w:fill="auto"/>
          </w:tcPr>
          <w:p w:rsidR="008D1C0B" w:rsidRDefault="008D1C0B">
            <w:pPr>
              <w:spacing w:before="60" w:after="60"/>
              <w:rPr>
                <w:rFonts w:cs="Arial"/>
              </w:rPr>
            </w:pPr>
            <w:r>
              <w:rPr>
                <w:rFonts w:cs="Arial"/>
              </w:rPr>
              <w:t>RMP5</w:t>
            </w:r>
          </w:p>
        </w:tc>
        <w:tc>
          <w:tcPr>
            <w:tcW w:w="4962" w:type="dxa"/>
            <w:shd w:val="clear" w:color="auto" w:fill="auto"/>
          </w:tcPr>
          <w:p w:rsidR="008D1C0B" w:rsidRPr="00AD22FE" w:rsidRDefault="008D1C0B" w:rsidP="00F15744">
            <w:pPr>
              <w:spacing w:before="60" w:after="60"/>
              <w:jc w:val="left"/>
              <w:rPr>
                <w:rFonts w:cs="Arial" w:hint="eastAsia"/>
                <w:lang w:eastAsia="zh-HK"/>
              </w:rPr>
            </w:pPr>
            <w:r>
              <w:rPr>
                <w:rFonts w:cs="Arial"/>
              </w:rPr>
              <w:t>Records Management Publication No 5 – The Microfilming User Manual</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hint="eastAsia"/>
                <w:lang w:eastAsia="zh-HK"/>
              </w:rPr>
            </w:pPr>
            <w:r>
              <w:rPr>
                <w:rFonts w:cs="Arial"/>
                <w:lang w:eastAsia="zh-HK"/>
              </w:rPr>
              <w:t>March</w:t>
            </w:r>
            <w:r>
              <w:rPr>
                <w:rFonts w:cs="Arial" w:hint="eastAsia"/>
                <w:lang w:eastAsia="zh-HK"/>
              </w:rPr>
              <w:t xml:space="preserve"> 2018</w:t>
            </w:r>
          </w:p>
        </w:tc>
      </w:tr>
      <w:tr w:rsidR="008D1C0B">
        <w:tc>
          <w:tcPr>
            <w:tcW w:w="567" w:type="dxa"/>
            <w:shd w:val="clear" w:color="auto" w:fill="auto"/>
          </w:tcPr>
          <w:p w:rsidR="008D1C0B" w:rsidRDefault="008D1C0B">
            <w:pPr>
              <w:spacing w:before="60" w:after="60"/>
              <w:jc w:val="center"/>
              <w:rPr>
                <w:rFonts w:cs="Arial"/>
              </w:rPr>
            </w:pPr>
            <w:r>
              <w:rPr>
                <w:rFonts w:cs="Arial"/>
              </w:rPr>
              <w:t>29</w:t>
            </w:r>
          </w:p>
        </w:tc>
        <w:tc>
          <w:tcPr>
            <w:tcW w:w="1701" w:type="dxa"/>
            <w:shd w:val="clear" w:color="auto" w:fill="auto"/>
          </w:tcPr>
          <w:p w:rsidR="008D1C0B" w:rsidRDefault="008D1C0B">
            <w:pPr>
              <w:spacing w:before="60" w:after="60"/>
              <w:rPr>
                <w:rFonts w:cs="Arial"/>
              </w:rPr>
            </w:pPr>
            <w:r>
              <w:rPr>
                <w:rFonts w:cs="Arial"/>
              </w:rPr>
              <w:t>RMP6</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Records Management Publication No 6 – Manual on Vital Records Protection (English version only)</w:t>
            </w:r>
          </w:p>
        </w:tc>
        <w:tc>
          <w:tcPr>
            <w:tcW w:w="1984" w:type="dxa"/>
            <w:shd w:val="clear" w:color="auto" w:fill="auto"/>
          </w:tcPr>
          <w:p w:rsidR="008D1C0B" w:rsidRDefault="008D1C0B">
            <w:pPr>
              <w:spacing w:before="60" w:after="60"/>
              <w:jc w:val="center"/>
              <w:rPr>
                <w:rFonts w:cs="Arial"/>
              </w:rPr>
            </w:pPr>
            <w:r>
              <w:rPr>
                <w:rFonts w:cs="Arial"/>
              </w:rPr>
              <w:t>August 2017</w:t>
            </w:r>
          </w:p>
        </w:tc>
      </w:tr>
      <w:tr w:rsidR="008D1C0B">
        <w:tc>
          <w:tcPr>
            <w:tcW w:w="567" w:type="dxa"/>
            <w:shd w:val="clear" w:color="auto" w:fill="auto"/>
          </w:tcPr>
          <w:p w:rsidR="008D1C0B" w:rsidRDefault="008D1C0B">
            <w:pPr>
              <w:spacing w:before="60" w:after="60"/>
              <w:jc w:val="center"/>
              <w:rPr>
                <w:rFonts w:cs="Arial"/>
              </w:rPr>
            </w:pPr>
            <w:r>
              <w:rPr>
                <w:rFonts w:cs="Arial"/>
              </w:rPr>
              <w:t>30</w:t>
            </w:r>
          </w:p>
        </w:tc>
        <w:tc>
          <w:tcPr>
            <w:tcW w:w="1701" w:type="dxa"/>
            <w:shd w:val="clear" w:color="auto" w:fill="auto"/>
          </w:tcPr>
          <w:p w:rsidR="008D1C0B" w:rsidRDefault="008D1C0B">
            <w:pPr>
              <w:spacing w:before="60" w:after="60"/>
              <w:rPr>
                <w:rFonts w:cs="Arial"/>
              </w:rPr>
            </w:pPr>
            <w:r>
              <w:rPr>
                <w:rFonts w:cs="Arial"/>
              </w:rPr>
              <w:t>RMP7</w:t>
            </w:r>
          </w:p>
        </w:tc>
        <w:tc>
          <w:tcPr>
            <w:tcW w:w="4962" w:type="dxa"/>
            <w:shd w:val="clear" w:color="auto" w:fill="auto"/>
          </w:tcPr>
          <w:p w:rsidR="008D1C0B" w:rsidRDefault="008D1C0B" w:rsidP="00F15744">
            <w:pPr>
              <w:spacing w:before="60" w:after="60"/>
              <w:jc w:val="left"/>
              <w:rPr>
                <w:rFonts w:cs="Arial" w:hint="eastAsia"/>
                <w:lang w:eastAsia="zh-HK"/>
              </w:rPr>
            </w:pPr>
            <w:r>
              <w:rPr>
                <w:rFonts w:cs="Arial"/>
              </w:rPr>
              <w:t>Records Management Publication No 7 – Topical Guide cum Checklists for Proper Records Management Practices</w:t>
            </w:r>
            <w:r>
              <w:rPr>
                <w:rFonts w:cs="Arial" w:hint="eastAsia"/>
                <w:lang w:eastAsia="zh-HK"/>
              </w:rPr>
              <w:t xml:space="preserve"> (English version only)</w:t>
            </w:r>
          </w:p>
        </w:tc>
        <w:tc>
          <w:tcPr>
            <w:tcW w:w="1984" w:type="dxa"/>
            <w:shd w:val="clear" w:color="auto" w:fill="auto"/>
          </w:tcPr>
          <w:p w:rsidR="008D1C0B" w:rsidRDefault="008D1C0B">
            <w:pPr>
              <w:spacing w:before="60" w:after="60"/>
              <w:jc w:val="center"/>
              <w:rPr>
                <w:rFonts w:cs="Arial" w:hint="eastAsia"/>
                <w:lang w:eastAsia="zh-HK"/>
              </w:rPr>
            </w:pPr>
            <w:r>
              <w:rPr>
                <w:rFonts w:cs="Arial" w:hint="eastAsia"/>
                <w:lang w:eastAsia="zh-HK"/>
              </w:rPr>
              <w:t>March 2018</w:t>
            </w:r>
          </w:p>
        </w:tc>
      </w:tr>
    </w:tbl>
    <w:p w:rsidR="008D1C0B" w:rsidRDefault="008D1C0B">
      <w:pPr>
        <w:rPr>
          <w:rFonts w:cs="Arial" w:hint="eastAsia"/>
          <w:lang w:eastAsia="zh-HK"/>
        </w:rPr>
      </w:pPr>
    </w:p>
    <w:p w:rsidR="008D1C0B" w:rsidRDefault="008D1C0B">
      <w:pPr>
        <w:rPr>
          <w:rFonts w:cs="Arial" w:hint="eastAsia"/>
          <w:i/>
          <w:sz w:val="20"/>
          <w:szCs w:val="20"/>
        </w:rPr>
      </w:pPr>
    </w:p>
    <w:p w:rsidR="008D1C0B" w:rsidRDefault="008D1C0B">
      <w:pPr>
        <w:rPr>
          <w:rFonts w:cs="Arial" w:hint="eastAsia"/>
          <w:i/>
          <w:sz w:val="20"/>
          <w:szCs w:val="20"/>
        </w:rPr>
      </w:pPr>
    </w:p>
    <w:p w:rsidR="008D1C0B" w:rsidRDefault="008D1C0B">
      <w:pPr>
        <w:rPr>
          <w:rFonts w:cs="Arial" w:hint="eastAsia"/>
          <w:i/>
          <w:sz w:val="20"/>
          <w:szCs w:val="20"/>
        </w:rPr>
      </w:pPr>
    </w:p>
    <w:p w:rsidR="008D1C0B" w:rsidRPr="008758F8" w:rsidRDefault="008D1C0B" w:rsidP="00331EDA"/>
    <w:p w:rsidR="008D1C0B" w:rsidRDefault="008D1C0B">
      <w:pPr>
        <w:pStyle w:val="Heading1"/>
        <w:keepNext w:val="0"/>
        <w:rPr>
          <w:rFonts w:cs="Arial"/>
          <w:b w:val="0"/>
          <w:sz w:val="20"/>
          <w:szCs w:val="20"/>
          <w:lang w:val="en-US"/>
        </w:rPr>
        <w:sectPr w:rsidR="008D1C0B" w:rsidSect="0099054B">
          <w:footerReference w:type="default" r:id="rId14"/>
          <w:footnotePr>
            <w:numStart w:val="49"/>
            <w:numRestart w:val="eachSect"/>
          </w:footnotePr>
          <w:pgSz w:w="11906" w:h="16838" w:code="9"/>
          <w:pgMar w:top="1440" w:right="1800" w:bottom="1440" w:left="1800" w:header="720" w:footer="720" w:gutter="0"/>
          <w:pgNumType w:start="1"/>
          <w:cols w:space="425"/>
          <w:docGrid w:type="linesAndChars" w:linePitch="360"/>
        </w:sectPr>
      </w:pPr>
    </w:p>
    <w:p w:rsidR="008D1C0B" w:rsidRPr="001C1678" w:rsidRDefault="008D1C0B" w:rsidP="00331EDA">
      <w:pPr>
        <w:pStyle w:val="Heading1"/>
      </w:pPr>
      <w:r w:rsidRPr="001C1678">
        <w:lastRenderedPageBreak/>
        <w:t>Preface</w:t>
      </w:r>
    </w:p>
    <w:p w:rsidR="008D1C0B" w:rsidRDefault="008D1C0B" w:rsidP="00331EDA">
      <w:pPr>
        <w:tabs>
          <w:tab w:val="clear" w:pos="1418"/>
          <w:tab w:val="left" w:pos="1440"/>
        </w:tabs>
        <w:rPr>
          <w:rFonts w:cs="Arial"/>
          <w:b/>
        </w:rPr>
      </w:pPr>
      <w:r>
        <w:rPr>
          <w:rFonts w:cs="Arial" w:hint="eastAsia"/>
          <w:b/>
        </w:rPr>
        <w:t>________</w:t>
      </w:r>
      <w:r>
        <w:rPr>
          <w:rFonts w:cs="Arial"/>
          <w:b/>
        </w:rPr>
        <w:t>__</w:t>
      </w:r>
    </w:p>
    <w:p w:rsidR="008D1C0B" w:rsidRDefault="008D1C0B" w:rsidP="00331EDA">
      <w:pPr>
        <w:tabs>
          <w:tab w:val="clear" w:pos="1418"/>
          <w:tab w:val="left" w:pos="1440"/>
        </w:tabs>
        <w:rPr>
          <w:rFonts w:cs="Arial"/>
          <w:b/>
        </w:rPr>
      </w:pPr>
    </w:p>
    <w:p w:rsidR="008D1C0B" w:rsidRDefault="008D1C0B" w:rsidP="00331EDA">
      <w:pPr>
        <w:tabs>
          <w:tab w:val="clear" w:pos="1418"/>
          <w:tab w:val="left" w:pos="1440"/>
        </w:tabs>
        <w:rPr>
          <w:rFonts w:cs="Arial"/>
          <w:b/>
        </w:rPr>
      </w:pPr>
    </w:p>
    <w:p w:rsidR="008D1C0B" w:rsidRPr="006B6BE6" w:rsidRDefault="008D1C0B" w:rsidP="00331EDA">
      <w:pPr>
        <w:tabs>
          <w:tab w:val="clear" w:pos="1418"/>
          <w:tab w:val="left" w:pos="1440"/>
        </w:tabs>
        <w:rPr>
          <w:rFonts w:cs="Arial"/>
          <w:b/>
        </w:rPr>
      </w:pPr>
    </w:p>
    <w:p w:rsidR="008D1C0B" w:rsidRPr="00942FB9" w:rsidRDefault="008D1C0B" w:rsidP="00331EDA">
      <w:pPr>
        <w:pStyle w:val="Heading2"/>
      </w:pPr>
      <w:r w:rsidRPr="00942FB9">
        <w:t>Introduction</w:t>
      </w:r>
    </w:p>
    <w:p w:rsidR="008D1C0B" w:rsidRPr="00942FB9" w:rsidRDefault="008D1C0B" w:rsidP="00331EDA">
      <w:pPr>
        <w:tabs>
          <w:tab w:val="clear" w:pos="1418"/>
          <w:tab w:val="left" w:pos="1440"/>
        </w:tabs>
        <w:rPr>
          <w:rFonts w:cs="Arial"/>
          <w:b/>
        </w:rPr>
      </w:pPr>
    </w:p>
    <w:p w:rsidR="008D1C0B" w:rsidRPr="00B573AB" w:rsidRDefault="008D1C0B" w:rsidP="00331EDA">
      <w:r>
        <w:rPr>
          <w:rFonts w:hint="eastAsia"/>
        </w:rPr>
        <w:t>1.</w:t>
      </w:r>
      <w:r>
        <w:tab/>
      </w:r>
      <w:r>
        <w:tab/>
        <w:t>Archives record decisions, actions and memories.  They are a unique and irreplaceable heritage passed from one generation to another.</w:t>
      </w:r>
      <w:r>
        <w:rPr>
          <w:rStyle w:val="FootnoteReference"/>
        </w:rPr>
        <w:footnoteReference w:id="2"/>
      </w:r>
      <w:r>
        <w:t xml:space="preserve">  Archives and records are also tools by which governments can make themselves accountable.  Well-managed archives and records enable people to understand the "</w:t>
      </w:r>
      <w:r w:rsidRPr="005B41EC">
        <w:rPr>
          <w:i/>
        </w:rPr>
        <w:t>who, when, where, how and why</w:t>
      </w:r>
      <w:r>
        <w:t xml:space="preserve"> </w:t>
      </w:r>
      <w:r w:rsidRPr="005B41EC">
        <w:rPr>
          <w:i/>
        </w:rPr>
        <w:t>of government actions</w:t>
      </w:r>
      <w:r>
        <w:t xml:space="preserve">". </w:t>
      </w:r>
      <w:r>
        <w:rPr>
          <w:rFonts w:hint="eastAsia"/>
        </w:rPr>
        <w:t xml:space="preserve"> </w:t>
      </w:r>
      <w:r w:rsidRPr="00560633">
        <w:t xml:space="preserve">Archives are </w:t>
      </w:r>
      <w:r>
        <w:t xml:space="preserve">therefore </w:t>
      </w:r>
      <w:r w:rsidRPr="00560633">
        <w:t xml:space="preserve">central to </w:t>
      </w:r>
      <w:r>
        <w:t>good governance.</w:t>
      </w:r>
      <w:r>
        <w:rPr>
          <w:rStyle w:val="FootnoteReference"/>
        </w:rPr>
        <w:footnoteReference w:id="3"/>
      </w:r>
      <w:r>
        <w:t xml:space="preserve">  </w:t>
      </w:r>
      <w:r w:rsidRPr="00B573AB">
        <w:t xml:space="preserve">In Hong Kong, </w:t>
      </w:r>
      <w:r>
        <w:t xml:space="preserve">the </w:t>
      </w:r>
      <w:r w:rsidRPr="004C5686">
        <w:t xml:space="preserve">management and archiving </w:t>
      </w:r>
      <w:r>
        <w:t xml:space="preserve">of </w:t>
      </w:r>
      <w:r w:rsidRPr="008F08E5">
        <w:t>government records</w:t>
      </w:r>
      <w:r>
        <w:t xml:space="preserve"> </w:t>
      </w:r>
      <w:r w:rsidRPr="00B573AB">
        <w:t>are regulated under an administrative regime.  The Government Records Service</w:t>
      </w:r>
      <w:r>
        <w:t xml:space="preserve"> ("</w:t>
      </w:r>
      <w:r w:rsidRPr="00996330">
        <w:rPr>
          <w:b/>
        </w:rPr>
        <w:t>GRS</w:t>
      </w:r>
      <w:r>
        <w:t>")</w:t>
      </w:r>
      <w:r w:rsidRPr="00B573AB">
        <w:t xml:space="preserve">, under the </w:t>
      </w:r>
      <w:r>
        <w:t xml:space="preserve">purview of the </w:t>
      </w:r>
      <w:r w:rsidRPr="00B573AB">
        <w:t>Administration Wing of the Chief Secretary for Administration</w:t>
      </w:r>
      <w:r>
        <w:t>'</w:t>
      </w:r>
      <w:r w:rsidRPr="00B573AB">
        <w:t xml:space="preserve">s Office, is tasked with overseeing the overall management of </w:t>
      </w:r>
      <w:r w:rsidRPr="008F08E5">
        <w:t>government records</w:t>
      </w:r>
      <w:r w:rsidRPr="00B573AB">
        <w:t xml:space="preserve">, and ensuring that </w:t>
      </w:r>
      <w:r>
        <w:t>they</w:t>
      </w:r>
      <w:r w:rsidRPr="00B573AB">
        <w:t xml:space="preserve"> are properly managed </w:t>
      </w:r>
      <w:r>
        <w:t>whilst</w:t>
      </w:r>
      <w:r w:rsidRPr="00B573AB">
        <w:t xml:space="preserve"> those with archival value are selected for preservation and public access.  </w:t>
      </w:r>
      <w:r>
        <w:t>Government b</w:t>
      </w:r>
      <w:r w:rsidRPr="00B573AB">
        <w:t xml:space="preserve">ureaux and </w:t>
      </w:r>
      <w:r>
        <w:t>d</w:t>
      </w:r>
      <w:r w:rsidRPr="00B573AB">
        <w:t xml:space="preserve">epartments </w:t>
      </w:r>
      <w:r>
        <w:t>("</w:t>
      </w:r>
      <w:r w:rsidRPr="00996330">
        <w:rPr>
          <w:b/>
        </w:rPr>
        <w:t>B/Ds</w:t>
      </w:r>
      <w:r>
        <w:t xml:space="preserve">") </w:t>
      </w:r>
      <w:r w:rsidRPr="00B573AB">
        <w:t xml:space="preserve">are </w:t>
      </w:r>
      <w:r>
        <w:t>required to</w:t>
      </w:r>
      <w:r w:rsidRPr="00B573AB">
        <w:t xml:space="preserve"> establish their records management programmes in accordance with the administrative guidelines and requirements issued by the </w:t>
      </w:r>
      <w:r w:rsidRPr="00B573AB">
        <w:rPr>
          <w:rFonts w:hint="eastAsia"/>
          <w:lang w:eastAsia="zh-HK"/>
        </w:rPr>
        <w:t xml:space="preserve">Government </w:t>
      </w:r>
      <w:r w:rsidRPr="00B573AB">
        <w:t xml:space="preserve">in relation to the management of </w:t>
      </w:r>
      <w:r>
        <w:t>their</w:t>
      </w:r>
      <w:r w:rsidRPr="00B573AB">
        <w:t xml:space="preserve"> records.</w:t>
      </w:r>
    </w:p>
    <w:p w:rsidR="008D1C0B" w:rsidRDefault="008D1C0B" w:rsidP="00331EDA">
      <w:pPr>
        <w:pStyle w:val="ListParagraph"/>
        <w:tabs>
          <w:tab w:val="clear" w:pos="1418"/>
          <w:tab w:val="left" w:pos="1440"/>
        </w:tabs>
        <w:ind w:left="0"/>
        <w:rPr>
          <w:rFonts w:cs="Arial"/>
        </w:rPr>
      </w:pPr>
    </w:p>
    <w:p w:rsidR="008D1C0B" w:rsidRPr="00B573AB" w:rsidRDefault="008D1C0B" w:rsidP="00331EDA">
      <w:r>
        <w:rPr>
          <w:rFonts w:hint="eastAsia"/>
        </w:rPr>
        <w:t>2.</w:t>
      </w:r>
      <w:r>
        <w:tab/>
      </w:r>
      <w:r>
        <w:rPr>
          <w:rFonts w:hint="eastAsia"/>
        </w:rPr>
        <w:tab/>
      </w:r>
      <w:r w:rsidRPr="00B573AB">
        <w:t xml:space="preserve">In recent years, </w:t>
      </w:r>
      <w:r>
        <w:t>t</w:t>
      </w:r>
      <w:r w:rsidRPr="00B573AB">
        <w:t xml:space="preserve">here have been calls from </w:t>
      </w:r>
      <w:r>
        <w:t>concern groups</w:t>
      </w:r>
      <w:r w:rsidRPr="00B573AB">
        <w:t>, the media and legislators</w:t>
      </w:r>
      <w:r>
        <w:t>, for</w:t>
      </w:r>
      <w:r w:rsidRPr="00B573AB">
        <w:t xml:space="preserve"> the </w:t>
      </w:r>
      <w:r>
        <w:t>g</w:t>
      </w:r>
      <w:r w:rsidRPr="00B573AB">
        <w:t xml:space="preserve">overnment to strengthen its protection of </w:t>
      </w:r>
      <w:r w:rsidRPr="008F08E5">
        <w:t>government records,</w:t>
      </w:r>
      <w:r w:rsidRPr="00B573AB">
        <w:t xml:space="preserve"> with some urging for the introduction of an archives law in Hong Kong.</w:t>
      </w:r>
      <w:r>
        <w:t xml:space="preserve">  Besides, t</w:t>
      </w:r>
      <w:r w:rsidRPr="00B573AB">
        <w:t>he rapid development of electronic technologies for the management of information and the increasing use of information systems ha</w:t>
      </w:r>
      <w:r>
        <w:t>ve</w:t>
      </w:r>
      <w:r w:rsidRPr="00B573AB">
        <w:t xml:space="preserve"> also brought about </w:t>
      </w:r>
      <w:r>
        <w:t xml:space="preserve">new </w:t>
      </w:r>
      <w:r w:rsidRPr="00B573AB">
        <w:t xml:space="preserve">challenges to the conventional recordkeeping </w:t>
      </w:r>
      <w:r>
        <w:t>mechanism</w:t>
      </w:r>
      <w:r w:rsidRPr="00B573AB">
        <w:t>.</w:t>
      </w:r>
    </w:p>
    <w:p w:rsidR="008D1C0B" w:rsidRDefault="008D1C0B" w:rsidP="00331EDA">
      <w:pPr>
        <w:tabs>
          <w:tab w:val="clear" w:pos="1418"/>
          <w:tab w:val="left" w:pos="1440"/>
        </w:tabs>
        <w:rPr>
          <w:rFonts w:cs="Arial"/>
          <w:lang w:val="en-US"/>
        </w:rPr>
      </w:pPr>
    </w:p>
    <w:p w:rsidR="008D1C0B" w:rsidRPr="00872C86" w:rsidRDefault="008D1C0B" w:rsidP="00331EDA">
      <w:pPr>
        <w:tabs>
          <w:tab w:val="clear" w:pos="1418"/>
          <w:tab w:val="left" w:pos="1440"/>
        </w:tabs>
        <w:rPr>
          <w:rFonts w:cs="Arial"/>
          <w:lang w:val="en-US"/>
        </w:rPr>
      </w:pPr>
    </w:p>
    <w:p w:rsidR="008D1C0B" w:rsidRPr="00942FB9" w:rsidRDefault="008D1C0B" w:rsidP="00331EDA">
      <w:pPr>
        <w:pStyle w:val="Heading2"/>
      </w:pPr>
      <w:r w:rsidRPr="00942FB9">
        <w:t xml:space="preserve">Terms of </w:t>
      </w:r>
      <w:r>
        <w:t>R</w:t>
      </w:r>
      <w:r w:rsidRPr="00942FB9">
        <w:t>eference</w:t>
      </w:r>
      <w:r>
        <w:t xml:space="preserve"> of </w:t>
      </w:r>
      <w:r w:rsidRPr="004D139F">
        <w:t>the Archives Law Sub-committee</w:t>
      </w:r>
    </w:p>
    <w:p w:rsidR="008D1C0B" w:rsidRPr="00942FB9" w:rsidRDefault="008D1C0B" w:rsidP="00331EDA">
      <w:pPr>
        <w:tabs>
          <w:tab w:val="clear" w:pos="1418"/>
          <w:tab w:val="left" w:pos="1440"/>
        </w:tabs>
        <w:rPr>
          <w:rFonts w:cs="Arial"/>
        </w:rPr>
      </w:pPr>
    </w:p>
    <w:p w:rsidR="008D1C0B" w:rsidRPr="00B573AB" w:rsidRDefault="008D1C0B" w:rsidP="00331EDA">
      <w:r>
        <w:rPr>
          <w:rFonts w:hint="eastAsia"/>
        </w:rPr>
        <w:t>3.</w:t>
      </w:r>
      <w:r>
        <w:tab/>
      </w:r>
      <w:r>
        <w:rPr>
          <w:rFonts w:hint="eastAsia"/>
        </w:rPr>
        <w:tab/>
      </w:r>
      <w:r>
        <w:t>T</w:t>
      </w:r>
      <w:r w:rsidRPr="00B573AB">
        <w:t xml:space="preserve">he Chief Justice and the Secretary for Justice </w:t>
      </w:r>
      <w:r>
        <w:t>referred the topic of archives law to</w:t>
      </w:r>
      <w:r w:rsidRPr="00B573AB">
        <w:t xml:space="preserve"> the Law Reform Commission of Hong Kong</w:t>
      </w:r>
      <w:r>
        <w:t xml:space="preserve"> for consideration.  T</w:t>
      </w:r>
      <w:r w:rsidRPr="00B573AB">
        <w:t>he Archives Law</w:t>
      </w:r>
      <w:r>
        <w:t xml:space="preserve"> </w:t>
      </w:r>
      <w:r w:rsidRPr="00B573AB">
        <w:t xml:space="preserve">Sub-committee was established in May 2013 to conduct a comprehensive study on this </w:t>
      </w:r>
      <w:r>
        <w:t>topic</w:t>
      </w:r>
      <w:r w:rsidRPr="00B573AB">
        <w:t>.</w:t>
      </w:r>
      <w:r>
        <w:t xml:space="preserve">  </w:t>
      </w:r>
      <w:r w:rsidRPr="00B573AB">
        <w:t>The Terms of Reference of the Sub-committee are:</w:t>
      </w:r>
    </w:p>
    <w:p w:rsidR="008D1C0B" w:rsidRPr="00942FB9" w:rsidRDefault="008D1C0B" w:rsidP="00331EDA">
      <w:pPr>
        <w:tabs>
          <w:tab w:val="clear" w:pos="1418"/>
          <w:tab w:val="left" w:pos="1440"/>
        </w:tabs>
        <w:rPr>
          <w:rFonts w:cs="Arial"/>
        </w:rPr>
      </w:pPr>
    </w:p>
    <w:p w:rsidR="008D1C0B" w:rsidRPr="00872C86" w:rsidRDefault="008D1C0B" w:rsidP="00331EDA">
      <w:pPr>
        <w:pStyle w:val="BlockText"/>
        <w:rPr>
          <w:i w:val="0"/>
        </w:rPr>
      </w:pPr>
      <w:r w:rsidRPr="00872C86">
        <w:rPr>
          <w:i w:val="0"/>
        </w:rPr>
        <w:t>"</w:t>
      </w:r>
      <w:r w:rsidRPr="00942FB9">
        <w:t>To review the current regime relating to management and preservation o</w:t>
      </w:r>
      <w:r w:rsidRPr="00EB22AB">
        <w:t>f</w:t>
      </w:r>
      <w:r w:rsidRPr="005C78A1">
        <w:rPr>
          <w:b/>
        </w:rPr>
        <w:t xml:space="preserve">, </w:t>
      </w:r>
      <w:r w:rsidRPr="005C78A1">
        <w:t>and access to</w:t>
      </w:r>
      <w:r w:rsidRPr="00D93F46">
        <w:t xml:space="preserve"> g</w:t>
      </w:r>
      <w:r w:rsidRPr="00942FB9">
        <w:t xml:space="preserve">overnment or public records for </w:t>
      </w:r>
      <w:r w:rsidRPr="00942FB9">
        <w:lastRenderedPageBreak/>
        <w:t>the purposes of considering whether reform is needed and if so, to make such recommendations for reform as appropriate.</w:t>
      </w:r>
      <w:r w:rsidRPr="00872C86">
        <w:rPr>
          <w:i w:val="0"/>
        </w:rPr>
        <w:t>"</w:t>
      </w:r>
    </w:p>
    <w:p w:rsidR="008D1C0B" w:rsidRDefault="008D1C0B" w:rsidP="00331EDA">
      <w:pPr>
        <w:tabs>
          <w:tab w:val="clear" w:pos="1418"/>
          <w:tab w:val="left" w:pos="1440"/>
        </w:tabs>
        <w:ind w:left="720" w:hangingChars="300" w:hanging="720"/>
        <w:rPr>
          <w:rFonts w:cs="Arial"/>
        </w:rPr>
      </w:pPr>
    </w:p>
    <w:p w:rsidR="008D1C0B" w:rsidRPr="005C78A1" w:rsidRDefault="008D1C0B" w:rsidP="00331EDA">
      <w:r>
        <w:rPr>
          <w:rFonts w:hint="eastAsia"/>
        </w:rPr>
        <w:t>4.</w:t>
      </w:r>
      <w:r>
        <w:tab/>
      </w:r>
      <w:r>
        <w:rPr>
          <w:rFonts w:hint="eastAsia"/>
        </w:rPr>
        <w:tab/>
      </w:r>
      <w:r w:rsidRPr="005B41EC">
        <w:t>Readers may note that the Access to Information Sub-committee (</w:t>
      </w:r>
      <w:r>
        <w:t>"</w:t>
      </w:r>
      <w:r w:rsidRPr="005B41EC">
        <w:rPr>
          <w:b/>
        </w:rPr>
        <w:t>ATI Sub-committee</w:t>
      </w:r>
      <w:r>
        <w:t>"</w:t>
      </w:r>
      <w:r w:rsidRPr="005B41EC">
        <w:t xml:space="preserve">), also set up in 2013 by the Law Reform Commission of Hong Kong, is tasked with the responsibility to </w:t>
      </w:r>
      <w:r>
        <w:t>"</w:t>
      </w:r>
      <w:r w:rsidRPr="005B41EC">
        <w:rPr>
          <w:i/>
        </w:rPr>
        <w:t xml:space="preserve">review the current regime relating to </w:t>
      </w:r>
      <w:r w:rsidRPr="005B41EC">
        <w:rPr>
          <w:b/>
          <w:i/>
        </w:rPr>
        <w:t xml:space="preserve">access </w:t>
      </w:r>
      <w:r w:rsidRPr="005B41EC">
        <w:rPr>
          <w:i/>
        </w:rPr>
        <w:t>by the public to information held by the government or public authorities</w:t>
      </w:r>
      <w:r>
        <w:t>"</w:t>
      </w:r>
      <w:r w:rsidRPr="005B41EC">
        <w:t xml:space="preserve"> (</w:t>
      </w:r>
      <w:r w:rsidRPr="005B41EC">
        <w:rPr>
          <w:i/>
        </w:rPr>
        <w:t>emphasis added</w:t>
      </w:r>
      <w:r w:rsidRPr="005B41EC">
        <w:t xml:space="preserve">).  For the avoidance of doubt, it is pointed out here that the ATI Sub-committee is concerned with the </w:t>
      </w:r>
      <w:r w:rsidRPr="005B41EC">
        <w:rPr>
          <w:i/>
        </w:rPr>
        <w:t xml:space="preserve">right </w:t>
      </w:r>
      <w:r w:rsidRPr="005B41EC">
        <w:t xml:space="preserve">to access, whereas the Archives Law Sub-committee is concerned with the </w:t>
      </w:r>
      <w:r w:rsidRPr="005B41EC">
        <w:rPr>
          <w:i/>
        </w:rPr>
        <w:t xml:space="preserve">management </w:t>
      </w:r>
      <w:r w:rsidRPr="005B41EC">
        <w:t>of physical access.  The former looks into matters such as the recognition of a right to access and exemptions appertaining thereto; the latter addresses administrative and operational matters in relation to the preservation of records as archives.  The two Sub-committees therefore work under a clear division of labour, separately but alongside each other, with the goal that in the end, a single, universal, and consistent set of rules should apply.</w:t>
      </w:r>
    </w:p>
    <w:p w:rsidR="008D1C0B" w:rsidRPr="004B2F8C" w:rsidRDefault="008D1C0B" w:rsidP="004B2F8C">
      <w:pPr>
        <w:suppressLineNumbers/>
        <w:tabs>
          <w:tab w:val="clear" w:pos="1418"/>
          <w:tab w:val="left" w:pos="1440"/>
        </w:tabs>
        <w:ind w:left="660" w:hangingChars="300" w:hanging="660"/>
        <w:rPr>
          <w:rFonts w:cs="Arial"/>
          <w:sz w:val="22"/>
          <w:szCs w:val="22"/>
        </w:rPr>
      </w:pPr>
    </w:p>
    <w:p w:rsidR="008D1C0B" w:rsidRPr="004B2F8C" w:rsidRDefault="008D1C0B" w:rsidP="004B2F8C">
      <w:pPr>
        <w:suppressLineNumbers/>
        <w:tabs>
          <w:tab w:val="clear" w:pos="1418"/>
          <w:tab w:val="left" w:pos="1440"/>
        </w:tabs>
        <w:rPr>
          <w:rFonts w:cs="Arial"/>
          <w:sz w:val="22"/>
          <w:szCs w:val="22"/>
        </w:rPr>
      </w:pPr>
    </w:p>
    <w:p w:rsidR="008D1C0B" w:rsidRPr="00942FB9" w:rsidRDefault="008D1C0B" w:rsidP="00331EDA">
      <w:pPr>
        <w:pStyle w:val="Heading2"/>
      </w:pPr>
      <w:r w:rsidRPr="00942FB9">
        <w:t xml:space="preserve">Membership of the </w:t>
      </w:r>
      <w:r>
        <w:t>Archives Law S</w:t>
      </w:r>
      <w:r w:rsidRPr="00942FB9">
        <w:t>ub-committee</w:t>
      </w:r>
    </w:p>
    <w:p w:rsidR="008D1C0B" w:rsidRPr="00942FB9" w:rsidRDefault="008D1C0B" w:rsidP="00331EDA">
      <w:pPr>
        <w:tabs>
          <w:tab w:val="clear" w:pos="1418"/>
          <w:tab w:val="left" w:pos="1440"/>
        </w:tabs>
        <w:rPr>
          <w:rFonts w:cs="Arial"/>
        </w:rPr>
      </w:pPr>
    </w:p>
    <w:p w:rsidR="008D1C0B" w:rsidRPr="00B573AB" w:rsidRDefault="008D1C0B" w:rsidP="00331EDA">
      <w:r>
        <w:rPr>
          <w:rFonts w:hint="eastAsia"/>
        </w:rPr>
        <w:t>5.</w:t>
      </w:r>
      <w:r>
        <w:tab/>
      </w:r>
      <w:r>
        <w:tab/>
      </w:r>
      <w:r w:rsidRPr="00B573AB">
        <w:t xml:space="preserve">The Sub-committee is chaired by </w:t>
      </w:r>
      <w:r>
        <w:t xml:space="preserve">Mr </w:t>
      </w:r>
      <w:r w:rsidRPr="00B573AB">
        <w:t>Andrew Liao, GBS, SC, JP, with members comprising representatives of relevant bureau</w:t>
      </w:r>
      <w:r>
        <w:t xml:space="preserve">x, stakeholders, </w:t>
      </w:r>
      <w:r w:rsidRPr="00B573AB">
        <w:t xml:space="preserve">and </w:t>
      </w:r>
      <w:r>
        <w:t>lawyers</w:t>
      </w:r>
      <w:r w:rsidRPr="00B573AB">
        <w:t>.  The members of the Sub-committee are</w:t>
      </w:r>
      <w:r>
        <w:t xml:space="preserve"> as follows</w:t>
      </w:r>
      <w:r w:rsidRPr="00B573AB">
        <w:t>:</w:t>
      </w:r>
    </w:p>
    <w:p w:rsidR="008D1C0B" w:rsidRPr="0002672C" w:rsidRDefault="008D1C0B" w:rsidP="00331EDA">
      <w:pPr>
        <w:tabs>
          <w:tab w:val="clear" w:pos="1418"/>
          <w:tab w:val="left" w:pos="1440"/>
        </w:tabs>
        <w:rPr>
          <w:rFonts w:cs="Arial"/>
          <w:sz w:val="20"/>
          <w:szCs w:val="20"/>
        </w:rPr>
      </w:pPr>
    </w:p>
    <w:tbl>
      <w:tblPr>
        <w:tblW w:w="0" w:type="auto"/>
        <w:tblInd w:w="288" w:type="dxa"/>
        <w:tblLook w:val="04A0" w:firstRow="1" w:lastRow="0" w:firstColumn="1" w:lastColumn="0" w:noHBand="0" w:noVBand="1"/>
      </w:tblPr>
      <w:tblGrid>
        <w:gridCol w:w="3240"/>
        <w:gridCol w:w="4834"/>
      </w:tblGrid>
      <w:tr w:rsidR="008D1C0B" w:rsidTr="00307F82">
        <w:tc>
          <w:tcPr>
            <w:tcW w:w="3240" w:type="dxa"/>
            <w:shd w:val="clear" w:color="auto" w:fill="auto"/>
          </w:tcPr>
          <w:p w:rsidR="008D1C0B" w:rsidRPr="00307F82" w:rsidRDefault="008D1C0B" w:rsidP="00331EDA">
            <w:pPr>
              <w:tabs>
                <w:tab w:val="clear" w:pos="1418"/>
                <w:tab w:val="left" w:pos="1440"/>
              </w:tabs>
              <w:rPr>
                <w:rFonts w:cs="Arial"/>
                <w:b/>
              </w:rPr>
            </w:pPr>
            <w:r w:rsidRPr="00307F82">
              <w:rPr>
                <w:rFonts w:cs="Arial" w:hint="eastAsia"/>
                <w:b/>
              </w:rPr>
              <w:t>Mr</w:t>
            </w:r>
            <w:r w:rsidRPr="00307F82">
              <w:rPr>
                <w:rFonts w:cs="Arial"/>
                <w:b/>
              </w:rPr>
              <w:t xml:space="preserve"> Andrew Liao,</w:t>
            </w:r>
          </w:p>
          <w:p w:rsidR="008D1C0B" w:rsidRPr="00307F82" w:rsidRDefault="008D1C0B" w:rsidP="00331EDA">
            <w:pPr>
              <w:tabs>
                <w:tab w:val="clear" w:pos="1418"/>
                <w:tab w:val="left" w:pos="1440"/>
              </w:tabs>
              <w:rPr>
                <w:rFonts w:cs="Arial"/>
                <w:b/>
              </w:rPr>
            </w:pPr>
            <w:r w:rsidRPr="00307F82">
              <w:rPr>
                <w:rFonts w:cs="Arial"/>
                <w:b/>
              </w:rPr>
              <w:t>GBS, SC, JP</w:t>
            </w:r>
            <w:r w:rsidRPr="00307F82">
              <w:rPr>
                <w:rFonts w:cs="Arial" w:hint="eastAsia"/>
                <w:b/>
              </w:rPr>
              <w:t xml:space="preserve"> </w:t>
            </w:r>
            <w:r w:rsidRPr="00307F82">
              <w:rPr>
                <w:rFonts w:cs="Arial"/>
                <w:b/>
              </w:rPr>
              <w:t>(Chairman)</w:t>
            </w:r>
            <w:r w:rsidRPr="00307F82">
              <w:rPr>
                <w:rStyle w:val="FootnoteReference"/>
                <w:rFonts w:cs="Arial"/>
              </w:rPr>
              <w:footnoteReference w:id="4"/>
            </w:r>
          </w:p>
          <w:p w:rsidR="008D1C0B" w:rsidRPr="00307F82" w:rsidRDefault="008D1C0B" w:rsidP="00331EDA">
            <w:pPr>
              <w:tabs>
                <w:tab w:val="clear" w:pos="1418"/>
                <w:tab w:val="left" w:pos="1440"/>
              </w:tabs>
              <w:rPr>
                <w:rFonts w:cs="Arial"/>
              </w:rPr>
            </w:pPr>
          </w:p>
        </w:tc>
        <w:tc>
          <w:tcPr>
            <w:tcW w:w="4834" w:type="dxa"/>
            <w:shd w:val="clear" w:color="auto" w:fill="auto"/>
          </w:tcPr>
          <w:p w:rsidR="008D1C0B" w:rsidRPr="00307F82" w:rsidRDefault="008D1C0B" w:rsidP="00331EDA">
            <w:pPr>
              <w:tabs>
                <w:tab w:val="clear" w:pos="1418"/>
                <w:tab w:val="left" w:pos="1440"/>
              </w:tabs>
              <w:rPr>
                <w:rFonts w:cs="Arial"/>
              </w:rPr>
            </w:pPr>
            <w:r w:rsidRPr="00307F82">
              <w:rPr>
                <w:rFonts w:cs="Arial"/>
              </w:rPr>
              <w:t>Senior Counsel</w:t>
            </w:r>
          </w:p>
        </w:tc>
      </w:tr>
      <w:tr w:rsidR="008D1C0B" w:rsidTr="00307F82">
        <w:tc>
          <w:tcPr>
            <w:tcW w:w="3240" w:type="dxa"/>
            <w:shd w:val="clear" w:color="auto" w:fill="auto"/>
          </w:tcPr>
          <w:p w:rsidR="008D1C0B" w:rsidRPr="00307F82" w:rsidRDefault="008D1C0B" w:rsidP="00331EDA">
            <w:pPr>
              <w:tabs>
                <w:tab w:val="clear" w:pos="1418"/>
                <w:tab w:val="left" w:pos="1440"/>
              </w:tabs>
              <w:rPr>
                <w:rFonts w:cs="Arial"/>
              </w:rPr>
            </w:pPr>
            <w:r w:rsidRPr="00307F82">
              <w:rPr>
                <w:rFonts w:cs="Arial"/>
                <w:b/>
              </w:rPr>
              <w:t>Mr Michael Chan</w:t>
            </w:r>
          </w:p>
        </w:tc>
        <w:tc>
          <w:tcPr>
            <w:tcW w:w="4834" w:type="dxa"/>
            <w:shd w:val="clear" w:color="auto" w:fill="auto"/>
          </w:tcPr>
          <w:p w:rsidR="008D1C0B" w:rsidRPr="00307F82" w:rsidRDefault="008D1C0B" w:rsidP="00331EDA">
            <w:pPr>
              <w:tabs>
                <w:tab w:val="clear" w:pos="1418"/>
                <w:tab w:val="left" w:pos="1440"/>
              </w:tabs>
              <w:rPr>
                <w:rFonts w:cs="Arial"/>
              </w:rPr>
            </w:pPr>
            <w:r w:rsidRPr="00307F82">
              <w:rPr>
                <w:rFonts w:cs="Arial"/>
              </w:rPr>
              <w:t>Consultant,</w:t>
            </w:r>
            <w:r w:rsidRPr="00307F82" w:rsidDel="005C2590">
              <w:rPr>
                <w:rFonts w:cs="Arial"/>
              </w:rPr>
              <w:t xml:space="preserve"> </w:t>
            </w:r>
          </w:p>
          <w:p w:rsidR="008D1C0B" w:rsidRPr="00307F82" w:rsidRDefault="008D1C0B" w:rsidP="00331EDA">
            <w:pPr>
              <w:tabs>
                <w:tab w:val="clear" w:pos="1418"/>
                <w:tab w:val="left" w:pos="1440"/>
              </w:tabs>
              <w:rPr>
                <w:rFonts w:cs="Arial"/>
              </w:rPr>
            </w:pPr>
            <w:r w:rsidRPr="00307F82">
              <w:rPr>
                <w:rFonts w:cs="Arial"/>
              </w:rPr>
              <w:t>Wilkinson &amp; Grist</w:t>
            </w:r>
          </w:p>
          <w:p w:rsidR="008D1C0B" w:rsidRPr="00307F82" w:rsidRDefault="008D1C0B" w:rsidP="00331EDA">
            <w:pPr>
              <w:tabs>
                <w:tab w:val="clear" w:pos="1418"/>
                <w:tab w:val="left" w:pos="1440"/>
              </w:tabs>
              <w:rPr>
                <w:rFonts w:cs="Arial"/>
              </w:rPr>
            </w:pPr>
          </w:p>
        </w:tc>
      </w:tr>
      <w:tr w:rsidR="008D1C0B" w:rsidTr="00307F82">
        <w:tc>
          <w:tcPr>
            <w:tcW w:w="3240" w:type="dxa"/>
            <w:shd w:val="clear" w:color="auto" w:fill="auto"/>
          </w:tcPr>
          <w:p w:rsidR="008D1C0B" w:rsidRPr="00307F82" w:rsidRDefault="008D1C0B" w:rsidP="00331EDA">
            <w:pPr>
              <w:tabs>
                <w:tab w:val="clear" w:pos="1418"/>
                <w:tab w:val="left" w:pos="1440"/>
              </w:tabs>
              <w:rPr>
                <w:rFonts w:cs="Arial"/>
              </w:rPr>
            </w:pPr>
            <w:r w:rsidRPr="00307F82">
              <w:rPr>
                <w:rFonts w:cs="Arial"/>
                <w:b/>
              </w:rPr>
              <w:t>Ms Kitty Choi, JP</w:t>
            </w:r>
          </w:p>
        </w:tc>
        <w:tc>
          <w:tcPr>
            <w:tcW w:w="4834" w:type="dxa"/>
            <w:shd w:val="clear" w:color="auto" w:fill="auto"/>
          </w:tcPr>
          <w:p w:rsidR="008D1C0B" w:rsidRPr="00307F82" w:rsidRDefault="008D1C0B" w:rsidP="00331EDA">
            <w:pPr>
              <w:tabs>
                <w:tab w:val="clear" w:pos="1418"/>
                <w:tab w:val="left" w:pos="1440"/>
              </w:tabs>
              <w:rPr>
                <w:rFonts w:cs="Arial"/>
              </w:rPr>
            </w:pPr>
            <w:r w:rsidRPr="00307F82">
              <w:rPr>
                <w:rFonts w:cs="Arial"/>
              </w:rPr>
              <w:t>Director of Administration,</w:t>
            </w:r>
          </w:p>
          <w:p w:rsidR="008D1C0B" w:rsidRPr="00307F82" w:rsidRDefault="008D1C0B" w:rsidP="00331EDA">
            <w:pPr>
              <w:tabs>
                <w:tab w:val="clear" w:pos="1418"/>
                <w:tab w:val="left" w:pos="1440"/>
              </w:tabs>
              <w:rPr>
                <w:rFonts w:cs="Arial"/>
              </w:rPr>
            </w:pPr>
            <w:r w:rsidRPr="00307F82">
              <w:rPr>
                <w:rFonts w:cs="Arial"/>
              </w:rPr>
              <w:t>Chief Secretary for Administration</w:t>
            </w:r>
            <w:r w:rsidRPr="00307F82">
              <w:rPr>
                <w:rFonts w:cs="Arial"/>
                <w:lang w:eastAsia="zh-HK"/>
              </w:rPr>
              <w:t>'</w:t>
            </w:r>
            <w:r w:rsidRPr="00307F82">
              <w:rPr>
                <w:rFonts w:cs="Arial" w:hint="eastAsia"/>
                <w:lang w:eastAsia="zh-HK"/>
              </w:rPr>
              <w:t>s</w:t>
            </w:r>
            <w:r w:rsidRPr="00307F82">
              <w:rPr>
                <w:rFonts w:cs="Arial"/>
              </w:rPr>
              <w:t xml:space="preserve"> Office</w:t>
            </w:r>
          </w:p>
          <w:p w:rsidR="008D1C0B" w:rsidRPr="00307F82" w:rsidRDefault="008D1C0B" w:rsidP="00331EDA">
            <w:pPr>
              <w:tabs>
                <w:tab w:val="clear" w:pos="1418"/>
                <w:tab w:val="left" w:pos="1440"/>
              </w:tabs>
              <w:rPr>
                <w:rFonts w:cs="Arial"/>
              </w:rPr>
            </w:pPr>
          </w:p>
        </w:tc>
      </w:tr>
      <w:tr w:rsidR="008D1C0B" w:rsidTr="00307F82">
        <w:tc>
          <w:tcPr>
            <w:tcW w:w="3240" w:type="dxa"/>
            <w:shd w:val="clear" w:color="auto" w:fill="auto"/>
          </w:tcPr>
          <w:p w:rsidR="008D1C0B" w:rsidRPr="00307F82" w:rsidRDefault="008D1C0B" w:rsidP="00331EDA">
            <w:pPr>
              <w:tabs>
                <w:tab w:val="clear" w:pos="1418"/>
                <w:tab w:val="left" w:pos="1440"/>
              </w:tabs>
              <w:rPr>
                <w:rFonts w:cs="Arial"/>
                <w:b/>
              </w:rPr>
            </w:pPr>
            <w:r w:rsidRPr="00307F82">
              <w:rPr>
                <w:rFonts w:cs="Arial"/>
                <w:b/>
              </w:rPr>
              <w:t>Mr Richard Khaw, SC</w:t>
            </w:r>
          </w:p>
          <w:p w:rsidR="008D1C0B" w:rsidRPr="00307F82" w:rsidRDefault="008D1C0B" w:rsidP="00331EDA">
            <w:pPr>
              <w:tabs>
                <w:tab w:val="clear" w:pos="1418"/>
                <w:tab w:val="left" w:pos="1440"/>
              </w:tabs>
              <w:rPr>
                <w:rFonts w:cs="Arial"/>
              </w:rPr>
            </w:pPr>
          </w:p>
        </w:tc>
        <w:tc>
          <w:tcPr>
            <w:tcW w:w="4834" w:type="dxa"/>
            <w:shd w:val="clear" w:color="auto" w:fill="auto"/>
          </w:tcPr>
          <w:p w:rsidR="008D1C0B" w:rsidRPr="00307F82" w:rsidRDefault="008D1C0B" w:rsidP="00331EDA">
            <w:pPr>
              <w:tabs>
                <w:tab w:val="clear" w:pos="1418"/>
                <w:tab w:val="left" w:pos="1440"/>
              </w:tabs>
              <w:rPr>
                <w:rFonts w:cs="Arial"/>
              </w:rPr>
            </w:pPr>
            <w:r w:rsidRPr="00307F82">
              <w:rPr>
                <w:rFonts w:cs="Arial"/>
              </w:rPr>
              <w:t xml:space="preserve">Senior Counsel </w:t>
            </w:r>
          </w:p>
        </w:tc>
      </w:tr>
      <w:tr w:rsidR="008D1C0B" w:rsidTr="00307F82">
        <w:tc>
          <w:tcPr>
            <w:tcW w:w="3240" w:type="dxa"/>
            <w:shd w:val="clear" w:color="auto" w:fill="auto"/>
          </w:tcPr>
          <w:p w:rsidR="008D1C0B" w:rsidRPr="00307F82" w:rsidRDefault="008D1C0B" w:rsidP="00331EDA">
            <w:pPr>
              <w:tabs>
                <w:tab w:val="clear" w:pos="1418"/>
                <w:tab w:val="left" w:pos="1440"/>
              </w:tabs>
              <w:rPr>
                <w:rFonts w:cs="Arial"/>
              </w:rPr>
            </w:pPr>
            <w:r w:rsidRPr="00307F82">
              <w:rPr>
                <w:rFonts w:cs="Arial"/>
                <w:b/>
              </w:rPr>
              <w:t xml:space="preserve">Miss Rosanna Law, JP </w:t>
            </w:r>
            <w:r w:rsidRPr="00307F82">
              <w:rPr>
                <w:rFonts w:cs="Arial"/>
              </w:rPr>
              <w:t>(from 10 September 2016)</w:t>
            </w:r>
            <w:r w:rsidRPr="00307F82">
              <w:rPr>
                <w:rStyle w:val="FootnoteReference"/>
                <w:rFonts w:cs="Arial"/>
              </w:rPr>
              <w:footnoteReference w:id="5"/>
            </w:r>
          </w:p>
        </w:tc>
        <w:tc>
          <w:tcPr>
            <w:tcW w:w="4834" w:type="dxa"/>
            <w:shd w:val="clear" w:color="auto" w:fill="auto"/>
          </w:tcPr>
          <w:p w:rsidR="008D1C0B" w:rsidRPr="00307F82" w:rsidRDefault="008D1C0B" w:rsidP="00331EDA">
            <w:pPr>
              <w:tabs>
                <w:tab w:val="clear" w:pos="1418"/>
                <w:tab w:val="left" w:pos="1440"/>
              </w:tabs>
              <w:rPr>
                <w:rFonts w:cs="Arial"/>
              </w:rPr>
            </w:pPr>
            <w:r w:rsidRPr="00307F82">
              <w:rPr>
                <w:rFonts w:cs="Arial"/>
              </w:rPr>
              <w:t>Deputy Secretary for Constitutional and Mainland Affairs 1,</w:t>
            </w:r>
          </w:p>
          <w:p w:rsidR="008D1C0B" w:rsidRPr="00307F82" w:rsidRDefault="008D1C0B" w:rsidP="00307F82">
            <w:pPr>
              <w:keepNext/>
              <w:tabs>
                <w:tab w:val="clear" w:pos="1418"/>
                <w:tab w:val="left" w:pos="1440"/>
              </w:tabs>
              <w:rPr>
                <w:rFonts w:cs="Arial"/>
              </w:rPr>
            </w:pPr>
            <w:r w:rsidRPr="00307F82">
              <w:rPr>
                <w:rFonts w:cs="Arial"/>
              </w:rPr>
              <w:t>Constitutional and Mainland Affairs Bureau</w:t>
            </w:r>
          </w:p>
          <w:p w:rsidR="008D1C0B" w:rsidRPr="004B2F8C" w:rsidRDefault="008D1C0B" w:rsidP="00331EDA">
            <w:pPr>
              <w:tabs>
                <w:tab w:val="clear" w:pos="1418"/>
                <w:tab w:val="left" w:pos="1440"/>
              </w:tabs>
              <w:rPr>
                <w:rFonts w:cs="Arial"/>
                <w:sz w:val="20"/>
                <w:szCs w:val="20"/>
              </w:rPr>
            </w:pPr>
          </w:p>
        </w:tc>
      </w:tr>
      <w:tr w:rsidR="008D1C0B" w:rsidTr="00307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shd w:val="clear" w:color="auto" w:fill="auto"/>
          </w:tcPr>
          <w:p w:rsidR="008D1C0B" w:rsidRPr="00307F82" w:rsidRDefault="008D1C0B" w:rsidP="00307F82">
            <w:pPr>
              <w:keepNext/>
              <w:tabs>
                <w:tab w:val="clear" w:pos="1418"/>
                <w:tab w:val="left" w:pos="1440"/>
              </w:tabs>
              <w:rPr>
                <w:rFonts w:cs="Arial"/>
                <w:b/>
              </w:rPr>
            </w:pPr>
            <w:r w:rsidRPr="00307F82">
              <w:rPr>
                <w:rFonts w:cs="Arial"/>
                <w:b/>
              </w:rPr>
              <w:t>Mrs Stacy Belcher Lee</w:t>
            </w:r>
            <w:r w:rsidRPr="00307F82">
              <w:rPr>
                <w:rStyle w:val="FootnoteReference"/>
                <w:rFonts w:cs="Arial"/>
              </w:rPr>
              <w:footnoteReference w:id="6"/>
            </w:r>
          </w:p>
        </w:tc>
        <w:tc>
          <w:tcPr>
            <w:tcW w:w="4834" w:type="dxa"/>
            <w:tcBorders>
              <w:top w:val="nil"/>
              <w:left w:val="nil"/>
              <w:bottom w:val="nil"/>
              <w:right w:val="nil"/>
            </w:tcBorders>
            <w:shd w:val="clear" w:color="auto" w:fill="auto"/>
          </w:tcPr>
          <w:p w:rsidR="008D1C0B" w:rsidRPr="00307F82" w:rsidRDefault="008D1C0B" w:rsidP="00331EDA">
            <w:pPr>
              <w:tabs>
                <w:tab w:val="clear" w:pos="1418"/>
                <w:tab w:val="left" w:pos="1440"/>
              </w:tabs>
              <w:rPr>
                <w:rFonts w:cs="Arial"/>
              </w:rPr>
            </w:pPr>
            <w:r w:rsidRPr="00307F82">
              <w:rPr>
                <w:rFonts w:cs="Arial"/>
              </w:rPr>
              <w:t>Director, University Archives,</w:t>
            </w:r>
          </w:p>
          <w:p w:rsidR="008D1C0B" w:rsidRPr="00307F82" w:rsidRDefault="008D1C0B" w:rsidP="00331EDA">
            <w:pPr>
              <w:tabs>
                <w:tab w:val="clear" w:pos="1418"/>
                <w:tab w:val="left" w:pos="1440"/>
              </w:tabs>
              <w:rPr>
                <w:rFonts w:cs="Arial"/>
              </w:rPr>
            </w:pPr>
            <w:r w:rsidRPr="00307F82">
              <w:rPr>
                <w:rFonts w:cs="Arial"/>
              </w:rPr>
              <w:t>The University of Hong Kong</w:t>
            </w:r>
          </w:p>
        </w:tc>
      </w:tr>
    </w:tbl>
    <w:p w:rsidR="008D1C0B" w:rsidRPr="00836C47" w:rsidRDefault="008D1C0B" w:rsidP="00331EDA">
      <w:pPr>
        <w:tabs>
          <w:tab w:val="clear" w:pos="1418"/>
          <w:tab w:val="left" w:pos="1440"/>
        </w:tabs>
        <w:rPr>
          <w:rFonts w:cs="Arial"/>
        </w:rPr>
      </w:pPr>
    </w:p>
    <w:p w:rsidR="008D1C0B" w:rsidRPr="00942FB9" w:rsidRDefault="008D1C0B" w:rsidP="00331EDA">
      <w:pPr>
        <w:tabs>
          <w:tab w:val="clear" w:pos="1418"/>
          <w:tab w:val="left" w:pos="1440"/>
        </w:tabs>
        <w:rPr>
          <w:rFonts w:cs="Arial"/>
        </w:rPr>
      </w:pPr>
    </w:p>
    <w:p w:rsidR="008D1C0B" w:rsidRPr="00B573AB" w:rsidRDefault="008D1C0B" w:rsidP="00331EDA">
      <w:r>
        <w:rPr>
          <w:rFonts w:hint="eastAsia"/>
        </w:rPr>
        <w:t>6.</w:t>
      </w:r>
      <w:r>
        <w:tab/>
      </w:r>
      <w:r>
        <w:tab/>
        <w:t>Mr Byron Leung</w:t>
      </w:r>
      <w:r w:rsidRPr="00B573AB">
        <w:t xml:space="preserve"> in the Law Reform Commission Secretariat is the secretary to the Sub-committee.</w:t>
      </w:r>
      <w:r w:rsidRPr="0001470A">
        <w:rPr>
          <w:rStyle w:val="FootnoteReference"/>
          <w:rFonts w:cs="Arial"/>
        </w:rPr>
        <w:footnoteReference w:id="7"/>
      </w:r>
      <w:r w:rsidRPr="00B573AB">
        <w:t xml:space="preserve"> </w:t>
      </w:r>
    </w:p>
    <w:p w:rsidR="008D1C0B" w:rsidRPr="00942FB9" w:rsidRDefault="008D1C0B" w:rsidP="00331EDA">
      <w:pPr>
        <w:tabs>
          <w:tab w:val="clear" w:pos="1418"/>
          <w:tab w:val="left" w:pos="1440"/>
        </w:tabs>
        <w:rPr>
          <w:rFonts w:cs="Arial"/>
        </w:rPr>
      </w:pPr>
    </w:p>
    <w:p w:rsidR="008D1C0B" w:rsidRPr="00942FB9" w:rsidRDefault="008D1C0B" w:rsidP="00331EDA">
      <w:pPr>
        <w:tabs>
          <w:tab w:val="clear" w:pos="1418"/>
          <w:tab w:val="left" w:pos="1440"/>
        </w:tabs>
        <w:rPr>
          <w:rFonts w:cs="Arial"/>
        </w:rPr>
      </w:pPr>
    </w:p>
    <w:p w:rsidR="008D1C0B" w:rsidRPr="00942FB9" w:rsidRDefault="008D1C0B" w:rsidP="00331EDA">
      <w:pPr>
        <w:pStyle w:val="Heading2"/>
      </w:pPr>
      <w:r w:rsidRPr="00942FB9">
        <w:t xml:space="preserve">Methodology adopted for the </w:t>
      </w:r>
      <w:r>
        <w:t>S</w:t>
      </w:r>
      <w:r w:rsidRPr="00942FB9">
        <w:t>ub-committee</w:t>
      </w:r>
      <w:r>
        <w:t>'</w:t>
      </w:r>
      <w:r w:rsidRPr="00942FB9">
        <w:t>s study</w:t>
      </w:r>
    </w:p>
    <w:p w:rsidR="008D1C0B" w:rsidRPr="00942FB9" w:rsidRDefault="008D1C0B" w:rsidP="00331EDA">
      <w:pPr>
        <w:tabs>
          <w:tab w:val="clear" w:pos="1418"/>
          <w:tab w:val="left" w:pos="1440"/>
        </w:tabs>
        <w:rPr>
          <w:rFonts w:cs="Arial"/>
        </w:rPr>
      </w:pPr>
    </w:p>
    <w:p w:rsidR="008D1C0B" w:rsidRDefault="008D1C0B" w:rsidP="00331EDA">
      <w:r>
        <w:rPr>
          <w:rFonts w:hint="eastAsia"/>
        </w:rPr>
        <w:t>7.</w:t>
      </w:r>
      <w:r>
        <w:tab/>
      </w:r>
      <w:r>
        <w:rPr>
          <w:rFonts w:hint="eastAsia"/>
        </w:rPr>
        <w:tab/>
      </w:r>
      <w:r w:rsidRPr="00B573AB">
        <w:t xml:space="preserve">The Sub-committee commenced its work in June 2013 and held </w:t>
      </w:r>
      <w:r>
        <w:t>43</w:t>
      </w:r>
      <w:r w:rsidRPr="00B573AB">
        <w:t xml:space="preserve"> meetings </w:t>
      </w:r>
      <w:r>
        <w:t>as at the publication of this Paper</w:t>
      </w:r>
      <w:r w:rsidRPr="00B573AB">
        <w:t xml:space="preserve">.  </w:t>
      </w:r>
    </w:p>
    <w:p w:rsidR="008D1C0B" w:rsidRPr="00B573AB" w:rsidRDefault="008D1C0B" w:rsidP="00331EDA">
      <w:pPr>
        <w:tabs>
          <w:tab w:val="clear" w:pos="1418"/>
          <w:tab w:val="left" w:pos="1440"/>
        </w:tabs>
        <w:rPr>
          <w:rFonts w:cs="Arial"/>
        </w:rPr>
      </w:pPr>
    </w:p>
    <w:p w:rsidR="008D1C0B" w:rsidRPr="00B573AB" w:rsidRDefault="008D1C0B" w:rsidP="00331EDA">
      <w:r>
        <w:rPr>
          <w:rFonts w:hint="eastAsia"/>
        </w:rPr>
        <w:t>8.</w:t>
      </w:r>
      <w:r>
        <w:tab/>
      </w:r>
      <w:r>
        <w:rPr>
          <w:rFonts w:hint="eastAsia"/>
        </w:rPr>
        <w:tab/>
      </w:r>
      <w:r w:rsidRPr="00B573AB">
        <w:t xml:space="preserve">This </w:t>
      </w:r>
      <w:r>
        <w:t>P</w:t>
      </w:r>
      <w:r w:rsidRPr="00B573AB">
        <w:t xml:space="preserve">aper endeavours to </w:t>
      </w:r>
      <w:r>
        <w:t xml:space="preserve">provide an overview of the </w:t>
      </w:r>
      <w:r w:rsidRPr="00B573AB">
        <w:t xml:space="preserve">existing scheme of management of </w:t>
      </w:r>
      <w:r w:rsidRPr="008F08E5">
        <w:t>government records</w:t>
      </w:r>
      <w:r w:rsidRPr="00B573AB">
        <w:t xml:space="preserve"> in Hong Kong, </w:t>
      </w:r>
      <w:r>
        <w:t xml:space="preserve">the main concerns over </w:t>
      </w:r>
      <w:r w:rsidRPr="00B573AB">
        <w:t>th</w:t>
      </w:r>
      <w:r>
        <w:t>is</w:t>
      </w:r>
      <w:r w:rsidRPr="00B573AB">
        <w:t xml:space="preserve"> scheme by various concerned parties and the </w:t>
      </w:r>
      <w:r>
        <w:t>G</w:t>
      </w:r>
      <w:r w:rsidRPr="00B573AB">
        <w:t>overnment</w:t>
      </w:r>
      <w:r>
        <w:t>'</w:t>
      </w:r>
      <w:r w:rsidRPr="00B573AB">
        <w:t>s response there</w:t>
      </w:r>
      <w:r>
        <w:t>to</w:t>
      </w:r>
      <w:r w:rsidRPr="00B573AB">
        <w:t xml:space="preserve">, </w:t>
      </w:r>
      <w:r w:rsidRPr="008F08E5">
        <w:t xml:space="preserve">followed by a list of relevant issues </w:t>
      </w:r>
      <w:r>
        <w:t xml:space="preserve">that calls for the </w:t>
      </w:r>
      <w:r w:rsidRPr="008F08E5">
        <w:t>public</w:t>
      </w:r>
      <w:r>
        <w:t>’s</w:t>
      </w:r>
      <w:r w:rsidRPr="008F08E5">
        <w:t xml:space="preserve"> consideration</w:t>
      </w:r>
      <w:r>
        <w:t>.</w:t>
      </w:r>
      <w:r w:rsidRPr="00B573AB">
        <w:t xml:space="preserve">  </w:t>
      </w:r>
      <w:r>
        <w:t>It is noteworthy that records and archives management is a specialised subject in its own rights.  Its detailed workings and the intricacies involved are probably too technical for the general public.  In this Paper, we have attempted to be as reader-friendly as we possibly can so that the public can make informed decisions in considering the relevant issues.  We therefore believe it more constructive to, apart from setting out our observations and provisional views</w:t>
      </w:r>
      <w:r>
        <w:rPr>
          <w:rStyle w:val="FootnoteReference"/>
        </w:rPr>
        <w:footnoteReference w:id="8"/>
      </w:r>
      <w:r>
        <w:t xml:space="preserve"> where appropriate, pose various consultation questions (especially open-ended ones) in this Paper for the sake of galvanising consideration of, and responses to, the issues raised.  It should further be noted that this Paper </w:t>
      </w:r>
      <w:r w:rsidRPr="00B573AB">
        <w:t xml:space="preserve">will not go into the theoretical underpinnings which we appreciate are abundant in the literature of archival science. </w:t>
      </w:r>
      <w:r w:rsidRPr="00B573AB">
        <w:rPr>
          <w:rFonts w:hint="eastAsia"/>
        </w:rPr>
        <w:t xml:space="preserve"> </w:t>
      </w:r>
      <w:r w:rsidRPr="00B573AB">
        <w:t xml:space="preserve">The study of various archival theories constitutes an academic discipline in itself and exceeds the scope of our </w:t>
      </w:r>
      <w:r>
        <w:t>T</w:t>
      </w:r>
      <w:r w:rsidRPr="00B573AB">
        <w:t xml:space="preserve">erms of </w:t>
      </w:r>
      <w:r>
        <w:t>R</w:t>
      </w:r>
      <w:r w:rsidRPr="00B573AB">
        <w:t xml:space="preserve">eference. </w:t>
      </w:r>
    </w:p>
    <w:p w:rsidR="008D1C0B" w:rsidRPr="005C78A1" w:rsidRDefault="008D1C0B" w:rsidP="00331EDA">
      <w:pPr>
        <w:pStyle w:val="ListParagraph"/>
        <w:tabs>
          <w:tab w:val="clear" w:pos="1418"/>
          <w:tab w:val="left" w:pos="1440"/>
        </w:tabs>
        <w:ind w:left="0"/>
        <w:rPr>
          <w:rFonts w:cs="Arial"/>
        </w:rPr>
      </w:pPr>
    </w:p>
    <w:p w:rsidR="008D1C0B" w:rsidRPr="00B573AB" w:rsidRDefault="008D1C0B" w:rsidP="00331EDA">
      <w:r>
        <w:rPr>
          <w:rFonts w:hint="eastAsia"/>
        </w:rPr>
        <w:t>9.</w:t>
      </w:r>
      <w:r>
        <w:tab/>
      </w:r>
      <w:r>
        <w:rPr>
          <w:rFonts w:hint="eastAsia"/>
        </w:rPr>
        <w:tab/>
      </w:r>
      <w:r>
        <w:t xml:space="preserve">This Paper has looked into the law and practice of a number of jurisdictions.  More specifically, </w:t>
      </w:r>
      <w:r w:rsidRPr="00B573AB">
        <w:t xml:space="preserve">we have </w:t>
      </w:r>
      <w:r>
        <w:t>focused on five</w:t>
      </w:r>
      <w:r w:rsidRPr="00B573AB">
        <w:t xml:space="preserve"> overseas jurisdictions </w:t>
      </w:r>
      <w:r>
        <w:t>(</w:t>
      </w:r>
      <w:r w:rsidRPr="00B573AB">
        <w:t xml:space="preserve">namely, Australia, </w:t>
      </w:r>
      <w:r>
        <w:t xml:space="preserve">England, Ireland, </w:t>
      </w:r>
      <w:r w:rsidRPr="00B573AB">
        <w:t xml:space="preserve">New Zealand, </w:t>
      </w:r>
      <w:r>
        <w:t xml:space="preserve">and </w:t>
      </w:r>
      <w:r w:rsidRPr="00B573AB">
        <w:t>Singapore</w:t>
      </w:r>
      <w:r>
        <w:t>), although references are also made to other jurisdictions where appropriate</w:t>
      </w:r>
      <w:r w:rsidRPr="00B573AB">
        <w:t xml:space="preserve">. </w:t>
      </w:r>
      <w:r>
        <w:t xml:space="preserve"> These five jurisdictions</w:t>
      </w:r>
      <w:r w:rsidRPr="00B573AB">
        <w:t xml:space="preserve"> </w:t>
      </w:r>
      <w:r>
        <w:t xml:space="preserve">are </w:t>
      </w:r>
      <w:r w:rsidRPr="00B573AB">
        <w:t>common law jurisdictions</w:t>
      </w:r>
      <w:r>
        <w:t xml:space="preserve"> which</w:t>
      </w:r>
      <w:r w:rsidRPr="00B573AB">
        <w:t xml:space="preserve"> bear closer resemblance to Hong Kong</w:t>
      </w:r>
      <w:r>
        <w:t>'s legal system</w:t>
      </w:r>
      <w:r w:rsidRPr="00B573AB">
        <w:t xml:space="preserve">. </w:t>
      </w:r>
      <w:r w:rsidRPr="00B573AB">
        <w:rPr>
          <w:rFonts w:hint="eastAsia"/>
        </w:rPr>
        <w:t xml:space="preserve"> </w:t>
      </w:r>
      <w:r>
        <w:t>T</w:t>
      </w:r>
      <w:r w:rsidRPr="00B573AB">
        <w:t xml:space="preserve">heir laws and rules governing public records management </w:t>
      </w:r>
      <w:r>
        <w:t xml:space="preserve">could </w:t>
      </w:r>
      <w:r w:rsidRPr="00B573AB">
        <w:t xml:space="preserve">serve as </w:t>
      </w:r>
      <w:r>
        <w:t xml:space="preserve">useful references in </w:t>
      </w:r>
      <w:r w:rsidRPr="00B573AB">
        <w:t xml:space="preserve">our study. </w:t>
      </w:r>
    </w:p>
    <w:p w:rsidR="008D1C0B" w:rsidRPr="00942FB9" w:rsidRDefault="008D1C0B" w:rsidP="00331EDA">
      <w:pPr>
        <w:pStyle w:val="ListParagraph"/>
        <w:tabs>
          <w:tab w:val="clear" w:pos="1418"/>
          <w:tab w:val="left" w:pos="1440"/>
        </w:tabs>
        <w:ind w:left="0"/>
        <w:rPr>
          <w:rFonts w:cs="Arial"/>
        </w:rPr>
      </w:pPr>
    </w:p>
    <w:p w:rsidR="008D1C0B" w:rsidRPr="00B573AB" w:rsidRDefault="008D1C0B" w:rsidP="00331EDA">
      <w:r w:rsidRPr="00307F82">
        <w:rPr>
          <w:rFonts w:hint="eastAsia"/>
          <w:shd w:val="clear" w:color="auto" w:fill="FFFFFF"/>
        </w:rPr>
        <w:t>10.</w:t>
      </w:r>
      <w:r w:rsidRPr="00307F82">
        <w:rPr>
          <w:shd w:val="clear" w:color="auto" w:fill="FFFFFF"/>
        </w:rPr>
        <w:tab/>
      </w:r>
      <w:r w:rsidRPr="00307F82">
        <w:rPr>
          <w:rFonts w:hint="eastAsia"/>
          <w:shd w:val="clear" w:color="auto" w:fill="FFFFFF"/>
        </w:rPr>
        <w:tab/>
      </w:r>
      <w:r w:rsidRPr="005B41EC">
        <w:t xml:space="preserve">In this </w:t>
      </w:r>
      <w:r>
        <w:t>consultation exercise</w:t>
      </w:r>
      <w:r w:rsidRPr="005B41EC">
        <w:t xml:space="preserve">, the Sub-committee is seeking to consult the public as to whether reform of the current public records </w:t>
      </w:r>
      <w:r>
        <w:t xml:space="preserve">management </w:t>
      </w:r>
      <w:r w:rsidRPr="005B41EC">
        <w:t>regime is needed; and if so, what kind of reform is to be preferred.</w:t>
      </w:r>
      <w:r w:rsidRPr="001B1CEE">
        <w:t xml:space="preserve">  </w:t>
      </w:r>
      <w:r>
        <w:t>With no doubt, w</w:t>
      </w:r>
      <w:r w:rsidRPr="001B1CEE">
        <w:t>e believe government records form an integral part of the community</w:t>
      </w:r>
      <w:r>
        <w:t>'</w:t>
      </w:r>
      <w:r w:rsidRPr="001B1CEE">
        <w:t xml:space="preserve">s shared heritage that belongs to all, and </w:t>
      </w:r>
      <w:r>
        <w:t>w</w:t>
      </w:r>
      <w:r w:rsidRPr="001B1CEE">
        <w:t>e therefore seek to engage as much of the public as possible in this consultation exercise</w:t>
      </w:r>
      <w:r>
        <w:t xml:space="preserve"> </w:t>
      </w:r>
      <w:r>
        <w:lastRenderedPageBreak/>
        <w:t>by asking various consultation questions and are keen to hear the different voices from all quarters of the community</w:t>
      </w:r>
      <w:r w:rsidRPr="001B1CEE">
        <w:t xml:space="preserve">. </w:t>
      </w:r>
      <w:r w:rsidRPr="005B41EC">
        <w:t xml:space="preserve"> We hope this Paper would be useful in prompting and facilitating public discussion on the issues raised, and welcome any views, comments and suggestions on the issues presented in this Paper.</w:t>
      </w:r>
      <w:r w:rsidRPr="00B573AB">
        <w:t xml:space="preserve">  The</w:t>
      </w:r>
      <w:r>
        <w:t>se will greatly assist the</w:t>
      </w:r>
      <w:r w:rsidRPr="00B573AB">
        <w:t xml:space="preserve"> Sub-committee </w:t>
      </w:r>
      <w:r>
        <w:t xml:space="preserve">to fulfil the objectives set out in its Terms of Reference which would best serve the interest of the community.  </w:t>
      </w:r>
    </w:p>
    <w:p w:rsidR="008D1C0B" w:rsidRDefault="008D1C0B" w:rsidP="00331EDA">
      <w:pPr>
        <w:pStyle w:val="ListParagraph"/>
        <w:tabs>
          <w:tab w:val="clear" w:pos="1418"/>
          <w:tab w:val="left" w:pos="1440"/>
        </w:tabs>
        <w:ind w:left="0"/>
        <w:rPr>
          <w:rFonts w:cs="Arial"/>
          <w:lang w:eastAsia="zh-HK"/>
        </w:rPr>
      </w:pPr>
    </w:p>
    <w:p w:rsidR="008D1C0B" w:rsidRPr="005B41EC" w:rsidRDefault="008D1C0B" w:rsidP="00331EDA">
      <w:pPr>
        <w:tabs>
          <w:tab w:val="clear" w:pos="1418"/>
          <w:tab w:val="left" w:pos="1440"/>
        </w:tabs>
        <w:rPr>
          <w:rFonts w:cs="Arial"/>
          <w:lang w:val="en-US"/>
        </w:rPr>
      </w:pPr>
    </w:p>
    <w:p w:rsidR="008D1C0B" w:rsidRDefault="008D1C0B">
      <w:pPr>
        <w:pStyle w:val="Heading1"/>
        <w:keepNext w:val="0"/>
        <w:rPr>
          <w:rFonts w:cs="Arial"/>
          <w:b w:val="0"/>
          <w:sz w:val="20"/>
          <w:szCs w:val="20"/>
          <w:lang w:val="en-US"/>
        </w:rPr>
        <w:sectPr w:rsidR="008D1C0B" w:rsidSect="004B2F8C">
          <w:footerReference w:type="default" r:id="rId15"/>
          <w:footnotePr>
            <w:numStart w:val="49"/>
            <w:numRestart w:val="eachSect"/>
          </w:footnotePr>
          <w:pgSz w:w="11906" w:h="16838" w:code="9"/>
          <w:pgMar w:top="1440" w:right="1800" w:bottom="1440" w:left="1800" w:header="720" w:footer="720" w:gutter="0"/>
          <w:cols w:space="425"/>
          <w:docGrid w:type="linesAndChars" w:linePitch="360"/>
        </w:sectPr>
      </w:pPr>
    </w:p>
    <w:p w:rsidR="008D1C0B" w:rsidRDefault="008D1C0B" w:rsidP="00331EDA">
      <w:pPr>
        <w:pStyle w:val="Heading1"/>
      </w:pPr>
      <w:r>
        <w:lastRenderedPageBreak/>
        <w:t>Chapter 1</w:t>
      </w:r>
    </w:p>
    <w:p w:rsidR="008D1C0B" w:rsidRDefault="008D1C0B">
      <w:pPr>
        <w:tabs>
          <w:tab w:val="clear" w:pos="1418"/>
          <w:tab w:val="left" w:pos="1440"/>
        </w:tabs>
        <w:ind w:left="720" w:hanging="720"/>
        <w:rPr>
          <w:rFonts w:cs="Arial"/>
          <w:b/>
          <w:sz w:val="36"/>
          <w:szCs w:val="36"/>
        </w:rPr>
      </w:pPr>
    </w:p>
    <w:p w:rsidR="008D1C0B" w:rsidRDefault="008D1C0B" w:rsidP="00331EDA">
      <w:pPr>
        <w:pStyle w:val="Heading1"/>
      </w:pPr>
      <w:r>
        <w:t>Overview of the current framework of public</w:t>
      </w:r>
    </w:p>
    <w:p w:rsidR="008D1C0B" w:rsidRDefault="008D1C0B">
      <w:pPr>
        <w:pStyle w:val="Heading1"/>
      </w:pPr>
      <w:r>
        <w:t>records management in Hong Kong</w:t>
      </w:r>
    </w:p>
    <w:p w:rsidR="008D1C0B" w:rsidRDefault="008D1C0B">
      <w:pPr>
        <w:tabs>
          <w:tab w:val="clear" w:pos="1418"/>
          <w:tab w:val="left" w:pos="1440"/>
        </w:tabs>
        <w:ind w:left="1440" w:hanging="1440"/>
        <w:rPr>
          <w:rFonts w:cs="Arial"/>
          <w:b/>
        </w:rPr>
      </w:pPr>
      <w:r>
        <w:rPr>
          <w:rFonts w:cs="Arial" w:hint="eastAsia"/>
          <w:b/>
        </w:rPr>
        <w:t>_________________________________________________________</w:t>
      </w:r>
    </w:p>
    <w:p w:rsidR="008D1C0B" w:rsidRDefault="008D1C0B">
      <w:pPr>
        <w:tabs>
          <w:tab w:val="clear" w:pos="1418"/>
          <w:tab w:val="left" w:pos="1440"/>
        </w:tabs>
        <w:ind w:left="1440" w:hanging="1440"/>
        <w:rPr>
          <w:rFonts w:cs="Arial"/>
        </w:rPr>
      </w:pPr>
    </w:p>
    <w:p w:rsidR="008D1C0B" w:rsidRDefault="008D1C0B">
      <w:pPr>
        <w:tabs>
          <w:tab w:val="clear" w:pos="1418"/>
          <w:tab w:val="left" w:pos="1440"/>
        </w:tabs>
        <w:ind w:left="1440" w:hanging="1440"/>
        <w:rPr>
          <w:rFonts w:cs="Arial"/>
        </w:rPr>
      </w:pPr>
    </w:p>
    <w:p w:rsidR="008D1C0B" w:rsidRDefault="008D1C0B">
      <w:pPr>
        <w:tabs>
          <w:tab w:val="clear" w:pos="1418"/>
          <w:tab w:val="left" w:pos="1440"/>
        </w:tabs>
        <w:ind w:left="1440" w:hanging="1440"/>
        <w:rPr>
          <w:rFonts w:cs="Arial"/>
        </w:rPr>
      </w:pPr>
    </w:p>
    <w:p w:rsidR="008D1C0B" w:rsidRDefault="008D1C0B" w:rsidP="00331EDA">
      <w:pPr>
        <w:pStyle w:val="Heading2"/>
      </w:pPr>
      <w:r>
        <w:t xml:space="preserve">Introduction </w:t>
      </w:r>
    </w:p>
    <w:p w:rsidR="008D1C0B" w:rsidRDefault="008D1C0B">
      <w:pPr>
        <w:tabs>
          <w:tab w:val="clear" w:pos="1418"/>
          <w:tab w:val="left" w:pos="1440"/>
        </w:tabs>
        <w:ind w:left="1440" w:hanging="1440"/>
        <w:rPr>
          <w:rFonts w:cs="Arial"/>
        </w:rPr>
      </w:pPr>
    </w:p>
    <w:p w:rsidR="008D1C0B" w:rsidRDefault="008D1C0B" w:rsidP="00331EDA">
      <w:r>
        <w:rPr>
          <w:rFonts w:hint="eastAsia"/>
        </w:rPr>
        <w:t>1.1</w:t>
      </w:r>
      <w:r>
        <w:tab/>
      </w:r>
      <w:r>
        <w:rPr>
          <w:rFonts w:hint="eastAsia"/>
        </w:rPr>
        <w:tab/>
      </w:r>
      <w:r>
        <w:t>This chapter briefly outlines (1) the existing administrative scheme on government records management in Hong Kong, (2) the scope of its application, and (3) the roles and functions of the responsible government authority, namely, the GRS.  An outline of the different heads of comments on the system, which will be examined more closely in subsequent chapters, is also included at the end.</w:t>
      </w:r>
    </w:p>
    <w:p w:rsidR="008D1C0B" w:rsidRDefault="008D1C0B">
      <w:pPr>
        <w:tabs>
          <w:tab w:val="clear" w:pos="1418"/>
          <w:tab w:val="left" w:pos="1440"/>
        </w:tabs>
        <w:ind w:left="1440" w:hanging="720"/>
        <w:rPr>
          <w:rFonts w:cs="Arial"/>
        </w:rPr>
      </w:pPr>
    </w:p>
    <w:p w:rsidR="008D1C0B" w:rsidRDefault="008D1C0B">
      <w:pPr>
        <w:tabs>
          <w:tab w:val="clear" w:pos="1418"/>
          <w:tab w:val="left" w:pos="1440"/>
        </w:tabs>
        <w:ind w:left="1440" w:hanging="720"/>
        <w:rPr>
          <w:rFonts w:cs="Arial"/>
        </w:rPr>
      </w:pPr>
    </w:p>
    <w:p w:rsidR="008D1C0B" w:rsidRDefault="008D1C0B">
      <w:pPr>
        <w:pStyle w:val="Heading2"/>
      </w:pPr>
      <w:r>
        <w:t xml:space="preserve">Administrative scheme </w:t>
      </w:r>
    </w:p>
    <w:p w:rsidR="008D1C0B" w:rsidRDefault="008D1C0B">
      <w:pPr>
        <w:tabs>
          <w:tab w:val="clear" w:pos="1418"/>
          <w:tab w:val="left" w:pos="1440"/>
        </w:tabs>
        <w:ind w:left="2160" w:hanging="720"/>
        <w:rPr>
          <w:rFonts w:cs="Arial"/>
        </w:rPr>
      </w:pPr>
    </w:p>
    <w:p w:rsidR="008D1C0B" w:rsidRDefault="008D1C0B" w:rsidP="00331EDA">
      <w:r>
        <w:rPr>
          <w:rFonts w:hint="eastAsia"/>
        </w:rPr>
        <w:t>1.2</w:t>
      </w:r>
      <w:r>
        <w:tab/>
      </w:r>
      <w:r>
        <w:rPr>
          <w:rFonts w:hint="eastAsia"/>
        </w:rPr>
        <w:tab/>
      </w:r>
      <w:r>
        <w:t>At present, there is no specific legislation on the general management of government records and archives in Hong Kong.  Whilst there are ordinances that oblige different public offices and registries to keep and provide access to specific records and documents,</w:t>
      </w:r>
      <w:r>
        <w:rPr>
          <w:rStyle w:val="FootnoteReference"/>
          <w:rFonts w:cs="Arial"/>
        </w:rPr>
        <w:footnoteReference w:id="9"/>
      </w:r>
      <w:r>
        <w:t xml:space="preserve"> the scope of these ordinances is confined to their own ambit and they do not provide for an overall framework for the management of government records.  Government records and archives management are currently regulated under an administrative regime under which the GRS is the central records management and service agency. </w:t>
      </w:r>
    </w:p>
    <w:p w:rsidR="008D1C0B" w:rsidRDefault="008D1C0B">
      <w:pPr>
        <w:pStyle w:val="ListParagraph"/>
        <w:tabs>
          <w:tab w:val="clear" w:pos="1418"/>
          <w:tab w:val="left" w:pos="1440"/>
        </w:tabs>
        <w:ind w:left="0"/>
        <w:rPr>
          <w:rFonts w:cs="Arial"/>
        </w:rPr>
      </w:pPr>
    </w:p>
    <w:p w:rsidR="008D1C0B" w:rsidRDefault="008D1C0B" w:rsidP="00A7031A">
      <w:pPr>
        <w:widowControl/>
        <w:rPr>
          <w:lang w:eastAsia="zh-HK"/>
        </w:rPr>
      </w:pPr>
      <w:r>
        <w:rPr>
          <w:rFonts w:hint="eastAsia"/>
        </w:rPr>
        <w:t>1.3</w:t>
      </w:r>
      <w:r>
        <w:tab/>
      </w:r>
      <w:r>
        <w:rPr>
          <w:rFonts w:hint="eastAsia"/>
        </w:rPr>
        <w:tab/>
      </w:r>
      <w:r>
        <w:t xml:space="preserve">The administrative regime comprises a number of administrative rules, guidelines and best practices promulgated and updated by the Director of Administration and the GRS.  </w:t>
      </w:r>
      <w:r>
        <w:rPr>
          <w:rFonts w:hint="eastAsia"/>
          <w:lang w:eastAsia="zh-HK"/>
        </w:rPr>
        <w:t>The records management manuals, guidelines and publications are posted on the Government</w:t>
      </w:r>
      <w:r>
        <w:rPr>
          <w:lang w:eastAsia="zh-HK"/>
        </w:rPr>
        <w:t>'</w:t>
      </w:r>
      <w:r>
        <w:rPr>
          <w:rFonts w:hint="eastAsia"/>
          <w:lang w:eastAsia="zh-HK"/>
        </w:rPr>
        <w:t>s intranet for B/Ds</w:t>
      </w:r>
      <w:r>
        <w:rPr>
          <w:lang w:eastAsia="zh-HK"/>
        </w:rPr>
        <w:t>'</w:t>
      </w:r>
      <w:r>
        <w:rPr>
          <w:rFonts w:hint="eastAsia"/>
          <w:lang w:eastAsia="zh-HK"/>
        </w:rPr>
        <w:t xml:space="preserve"> reference.  Some of these manuals and publications are also available in GRS</w:t>
      </w:r>
      <w:r>
        <w:rPr>
          <w:lang w:eastAsia="zh-HK"/>
        </w:rPr>
        <w:t>'</w:t>
      </w:r>
      <w:r>
        <w:rPr>
          <w:rFonts w:hint="eastAsia"/>
          <w:lang w:eastAsia="zh-HK"/>
        </w:rPr>
        <w:t xml:space="preserve"> Central Preservation Library </w:t>
      </w:r>
      <w:r>
        <w:rPr>
          <w:lang w:eastAsia="zh-HK"/>
        </w:rPr>
        <w:t xml:space="preserve">for Government Publications </w:t>
      </w:r>
      <w:r>
        <w:rPr>
          <w:rFonts w:hint="eastAsia"/>
          <w:lang w:eastAsia="zh-HK"/>
        </w:rPr>
        <w:t>for public inspection.  In April 2017</w:t>
      </w:r>
      <w:r>
        <w:t xml:space="preserve">, </w:t>
      </w:r>
      <w:r>
        <w:rPr>
          <w:rFonts w:hint="eastAsia"/>
          <w:lang w:eastAsia="zh-HK"/>
        </w:rPr>
        <w:t xml:space="preserve">most </w:t>
      </w:r>
      <w:r>
        <w:t>of the</w:t>
      </w:r>
      <w:r>
        <w:rPr>
          <w:rFonts w:hint="eastAsia"/>
        </w:rPr>
        <w:t xml:space="preserve"> above documents</w:t>
      </w:r>
      <w:r>
        <w:t xml:space="preserve"> were uploaded to the official website of the GRS for public information.</w:t>
      </w:r>
      <w:r>
        <w:rPr>
          <w:rStyle w:val="FootnoteReference"/>
          <w:rFonts w:cs="Arial"/>
        </w:rPr>
        <w:footnoteReference w:id="10"/>
      </w:r>
      <w:r>
        <w:t xml:space="preserve">  A List of Major Rules and </w:t>
      </w:r>
      <w:r>
        <w:lastRenderedPageBreak/>
        <w:t>Guidelines on Public Records Management in Hong Kong (along with their abbreviations) is set out after the List of Abbreviations in this Paper.</w:t>
      </w:r>
    </w:p>
    <w:p w:rsidR="008D1C0B" w:rsidRDefault="008D1C0B">
      <w:pPr>
        <w:pStyle w:val="ListParagraph"/>
        <w:tabs>
          <w:tab w:val="clear" w:pos="1418"/>
          <w:tab w:val="left" w:pos="1440"/>
        </w:tabs>
        <w:ind w:left="0"/>
        <w:rPr>
          <w:rFonts w:cs="Arial"/>
          <w:shd w:val="clear" w:color="auto" w:fill="FFFF99"/>
          <w:lang w:val="en-US"/>
        </w:rPr>
      </w:pPr>
    </w:p>
    <w:p w:rsidR="008D1C0B" w:rsidRDefault="008D1C0B">
      <w:r>
        <w:rPr>
          <w:rFonts w:hint="eastAsia"/>
        </w:rPr>
        <w:t>1.</w:t>
      </w:r>
      <w:r>
        <w:t>4</w:t>
      </w:r>
      <w:r>
        <w:tab/>
      </w:r>
      <w:r>
        <w:rPr>
          <w:rFonts w:hint="eastAsia"/>
        </w:rPr>
        <w:tab/>
      </w:r>
      <w:r>
        <w:t>Amongst these various rules and guidelines, the Records Management Manual (the "</w:t>
      </w:r>
      <w:r w:rsidRPr="00550B6E">
        <w:rPr>
          <w:b/>
        </w:rPr>
        <w:t>RMM</w:t>
      </w:r>
      <w:r>
        <w:t xml:space="preserve">") issued by the Director of Administration is the core one which prescribes the </w:t>
      </w:r>
      <w:r>
        <w:rPr>
          <w:rFonts w:hint="eastAsia"/>
          <w:lang w:eastAsia="zh-HK"/>
        </w:rPr>
        <w:t>code</w:t>
      </w:r>
      <w:r>
        <w:t xml:space="preserve"> of practices for establishing a comprehensive records management programme in B/Ds</w:t>
      </w:r>
      <w:r>
        <w:rPr>
          <w:rFonts w:hint="eastAsia"/>
        </w:rPr>
        <w:t>.</w:t>
      </w:r>
      <w:r>
        <w:rPr>
          <w:rStyle w:val="FootnoteReference"/>
          <w:rFonts w:cs="Arial"/>
        </w:rPr>
        <w:footnoteReference w:id="11"/>
      </w:r>
      <w:r>
        <w:t xml:space="preserve">  The RMM applies to the management of all government records in the conduct of B/Ds' official business and activities</w:t>
      </w:r>
      <w:r>
        <w:rPr>
          <w:rFonts w:hint="eastAsia"/>
        </w:rPr>
        <w:t>.</w:t>
      </w:r>
      <w:r>
        <w:rPr>
          <w:rStyle w:val="FootnoteReference"/>
          <w:rFonts w:cs="Arial"/>
        </w:rPr>
        <w:footnoteReference w:id="12"/>
      </w:r>
      <w:r>
        <w:t xml:space="preserve">  It is to be read together with a series of the Records Management Publications ("</w:t>
      </w:r>
      <w:r w:rsidRPr="00550B6E">
        <w:rPr>
          <w:b/>
        </w:rPr>
        <w:t>RMPs</w:t>
      </w:r>
      <w:r>
        <w:t>") issued by the GRS (see the List of Major Rules and Guidelines on Public Records Management in Hong Kong) as they give explanations and detailed procedures for achieving the outcomes of the RMM as well as provide options and flexibility to suit the circumstances and needs of individual B/Ds</w:t>
      </w:r>
      <w:r>
        <w:rPr>
          <w:rFonts w:hint="eastAsia"/>
        </w:rPr>
        <w:t>.</w:t>
      </w:r>
      <w:r>
        <w:rPr>
          <w:rStyle w:val="FootnoteReference"/>
          <w:rFonts w:cs="Arial"/>
        </w:rPr>
        <w:footnoteReference w:id="13"/>
      </w:r>
      <w:r>
        <w:t xml:space="preserve">  Other guidelines and circulars have been published to assist B/Ds in managing their records in various aspects throughout the life cycle of the records, including but not limited to records</w:t>
      </w:r>
      <w:r>
        <w:rPr>
          <w:rFonts w:hint="eastAsia"/>
          <w:lang w:eastAsia="zh-HK"/>
        </w:rPr>
        <w:t xml:space="preserve"> creation/collection</w:t>
      </w:r>
      <w:r>
        <w:t>, records classification, custody and storage of records</w:t>
      </w:r>
      <w:r>
        <w:rPr>
          <w:rFonts w:hint="eastAsia"/>
          <w:lang w:eastAsia="zh-HK"/>
        </w:rPr>
        <w:t>, records scheduling,</w:t>
      </w:r>
      <w:r>
        <w:rPr>
          <w:rStyle w:val="FootnoteReference"/>
          <w:lang w:eastAsia="zh-HK"/>
        </w:rPr>
        <w:footnoteReference w:id="14"/>
      </w:r>
      <w:r>
        <w:t xml:space="preserve"> record</w:t>
      </w:r>
      <w:r>
        <w:rPr>
          <w:rFonts w:hint="eastAsia"/>
          <w:lang w:eastAsia="zh-HK"/>
        </w:rPr>
        <w:t>s</w:t>
      </w:r>
      <w:r>
        <w:t xml:space="preserve"> disposal (including destruction of records subject to prior consent of the GRS </w:t>
      </w:r>
      <w:r>
        <w:rPr>
          <w:rFonts w:hint="eastAsia"/>
          <w:lang w:eastAsia="zh-HK"/>
        </w:rPr>
        <w:t xml:space="preserve">Director </w:t>
      </w:r>
      <w:r>
        <w:t xml:space="preserve">and transfer of records having archival value to the GRS), </w:t>
      </w:r>
      <w:r>
        <w:rPr>
          <w:rFonts w:hint="eastAsia"/>
          <w:lang w:eastAsia="zh-HK"/>
        </w:rPr>
        <w:t xml:space="preserve">management of email records </w:t>
      </w:r>
      <w:r>
        <w:t xml:space="preserve">and protection of vital records. </w:t>
      </w:r>
    </w:p>
    <w:p w:rsidR="008D1C0B" w:rsidRDefault="008D1C0B">
      <w:pPr>
        <w:pStyle w:val="ListParagraph"/>
        <w:tabs>
          <w:tab w:val="clear" w:pos="1418"/>
          <w:tab w:val="left" w:pos="1440"/>
        </w:tabs>
        <w:ind w:left="0"/>
        <w:rPr>
          <w:rFonts w:cs="Arial"/>
        </w:rPr>
      </w:pPr>
    </w:p>
    <w:p w:rsidR="008D1C0B" w:rsidRDefault="008D1C0B" w:rsidP="00331EDA">
      <w:r>
        <w:rPr>
          <w:rFonts w:hint="eastAsia"/>
        </w:rPr>
        <w:t>1.</w:t>
      </w:r>
      <w:r>
        <w:t>5</w:t>
      </w:r>
      <w:r>
        <w:tab/>
      </w:r>
      <w:r>
        <w:rPr>
          <w:rFonts w:hint="eastAsia"/>
        </w:rPr>
        <w:tab/>
      </w:r>
      <w:r>
        <w:t xml:space="preserve">Not all of the requirements in these rules and guidelines are mandatory.  </w:t>
      </w:r>
      <w:r>
        <w:rPr>
          <w:rFonts w:hint="eastAsia"/>
          <w:lang w:eastAsia="zh-HK"/>
        </w:rPr>
        <w:t>T</w:t>
      </w:r>
      <w:r>
        <w:t xml:space="preserve">hose promulgated through </w:t>
      </w:r>
      <w:r w:rsidRPr="00550B6E">
        <w:rPr>
          <w:i/>
        </w:rPr>
        <w:t xml:space="preserve">General Circular No 2/2009: </w:t>
      </w:r>
      <w:r>
        <w:rPr>
          <w:i/>
        </w:rPr>
        <w:t>"</w:t>
      </w:r>
      <w:r w:rsidRPr="00550B6E">
        <w:rPr>
          <w:i/>
        </w:rPr>
        <w:t>Mandatory Records Management Requirements</w:t>
      </w:r>
      <w:r>
        <w:rPr>
          <w:i/>
        </w:rPr>
        <w:t>"</w:t>
      </w:r>
      <w:r>
        <w:t xml:space="preserve"> ("</w:t>
      </w:r>
      <w:r w:rsidRPr="00550B6E">
        <w:rPr>
          <w:b/>
        </w:rPr>
        <w:t>GC09</w:t>
      </w:r>
      <w:r>
        <w:t>")</w:t>
      </w:r>
      <w:r>
        <w:rPr>
          <w:rStyle w:val="FootnoteReference"/>
          <w:rFonts w:cs="Arial"/>
        </w:rPr>
        <w:footnoteReference w:id="15"/>
      </w:r>
      <w:r>
        <w:t xml:space="preserve"> are meant to impose a mandatory obligation on government servants</w:t>
      </w:r>
      <w:r>
        <w:rPr>
          <w:rFonts w:hint="eastAsia"/>
          <w:lang w:eastAsia="zh-HK"/>
        </w:rPr>
        <w:t>.  A</w:t>
      </w:r>
      <w:r>
        <w:t xml:space="preserve">ny government servant who does not comply with the requirements therein may be subject to disciplinary action, including verbal or written warnings, reprimand, severe reprimand, reduction in rank, compulsory retirement </w:t>
      </w:r>
      <w:r>
        <w:rPr>
          <w:lang w:eastAsia="zh-HK"/>
        </w:rPr>
        <w:t>and</w:t>
      </w:r>
      <w:r>
        <w:t xml:space="preserve"> dismissal</w:t>
      </w:r>
      <w:r>
        <w:rPr>
          <w:rFonts w:hint="eastAsia"/>
        </w:rPr>
        <w:t>.</w:t>
      </w:r>
      <w:r>
        <w:rPr>
          <w:rStyle w:val="FootnoteReference"/>
          <w:rFonts w:cs="Arial"/>
        </w:rPr>
        <w:footnoteReference w:id="16"/>
      </w:r>
    </w:p>
    <w:p w:rsidR="00A7031A" w:rsidRPr="00372E3B" w:rsidRDefault="00A7031A" w:rsidP="00331EDA">
      <w:pPr>
        <w:rPr>
          <w:sz w:val="16"/>
          <w:szCs w:val="16"/>
        </w:rPr>
      </w:pPr>
    </w:p>
    <w:p w:rsidR="008D1C0B" w:rsidRDefault="008D1C0B" w:rsidP="00331EDA">
      <w:pPr>
        <w:pStyle w:val="Heading2"/>
      </w:pPr>
      <w:r>
        <w:t>Scope of application</w:t>
      </w:r>
    </w:p>
    <w:p w:rsidR="008D1C0B" w:rsidRDefault="008D1C0B" w:rsidP="00331EDA">
      <w:pPr>
        <w:keepNext/>
        <w:tabs>
          <w:tab w:val="clear" w:pos="1418"/>
          <w:tab w:val="left" w:pos="1440"/>
        </w:tabs>
        <w:ind w:left="2160" w:hanging="1890"/>
        <w:rPr>
          <w:rFonts w:cs="Arial"/>
        </w:rPr>
      </w:pPr>
    </w:p>
    <w:p w:rsidR="008D1C0B" w:rsidRDefault="008D1C0B">
      <w:pPr>
        <w:rPr>
          <w:i/>
        </w:rPr>
      </w:pPr>
      <w:r>
        <w:rPr>
          <w:rFonts w:hint="eastAsia"/>
        </w:rPr>
        <w:t>1.</w:t>
      </w:r>
      <w:r>
        <w:t>6</w:t>
      </w:r>
      <w:r>
        <w:tab/>
      </w:r>
      <w:r>
        <w:rPr>
          <w:rFonts w:hint="eastAsia"/>
        </w:rPr>
        <w:tab/>
      </w:r>
      <w:r>
        <w:t>While B/Ds are subject to the administrative scheme of records management, public organisations generally are not.</w:t>
      </w:r>
      <w:r>
        <w:rPr>
          <w:rStyle w:val="FootnoteReference"/>
        </w:rPr>
        <w:footnoteReference w:id="17"/>
      </w:r>
      <w:r>
        <w:t xml:space="preserve"> </w:t>
      </w:r>
      <w:r>
        <w:rPr>
          <w:rFonts w:hint="eastAsia"/>
        </w:rPr>
        <w:t xml:space="preserve"> </w:t>
      </w:r>
      <w:r>
        <w:t>The physical management and preservation of records of public organisations, including statutory bodies, non-government organisations receiving recurrent funding from the government, charity and religious groups as well as private organisations, are outside the regulation of the Government's administrative scheme of records management.  The Independent Commission Against Corruption ("</w:t>
      </w:r>
      <w:r>
        <w:rPr>
          <w:b/>
        </w:rPr>
        <w:t>ICAC</w:t>
      </w:r>
      <w:r>
        <w:t>") and the Hong Kong Monetary Authority ("</w:t>
      </w:r>
      <w:r>
        <w:rPr>
          <w:b/>
        </w:rPr>
        <w:t>HKMA</w:t>
      </w:r>
      <w:r>
        <w:t xml:space="preserve">") </w:t>
      </w:r>
      <w:r w:rsidRPr="000B26D1">
        <w:t>have, however, implemented the records management requireme</w:t>
      </w:r>
      <w:r>
        <w:t xml:space="preserve">nts promulgated by the Government in the management of their records.  </w:t>
      </w:r>
    </w:p>
    <w:p w:rsidR="008D1C0B" w:rsidRPr="00997C83" w:rsidRDefault="008D1C0B">
      <w:pPr>
        <w:tabs>
          <w:tab w:val="clear" w:pos="1418"/>
          <w:tab w:val="left" w:pos="1440"/>
        </w:tabs>
        <w:ind w:left="270"/>
        <w:rPr>
          <w:rFonts w:cs="Arial"/>
          <w:sz w:val="20"/>
          <w:szCs w:val="20"/>
        </w:rPr>
      </w:pPr>
    </w:p>
    <w:p w:rsidR="008D1C0B" w:rsidRPr="00997C83" w:rsidRDefault="008D1C0B">
      <w:pPr>
        <w:tabs>
          <w:tab w:val="clear" w:pos="1418"/>
          <w:tab w:val="left" w:pos="1440"/>
        </w:tabs>
        <w:ind w:left="270"/>
        <w:rPr>
          <w:rFonts w:cs="Arial"/>
          <w:sz w:val="20"/>
          <w:szCs w:val="20"/>
        </w:rPr>
      </w:pPr>
    </w:p>
    <w:p w:rsidR="008D1C0B" w:rsidRDefault="008D1C0B" w:rsidP="00331EDA">
      <w:pPr>
        <w:pStyle w:val="Heading2"/>
      </w:pPr>
      <w:r>
        <w:t>Background of establishment of the GRS</w:t>
      </w:r>
    </w:p>
    <w:p w:rsidR="008D1C0B" w:rsidRDefault="008D1C0B">
      <w:pPr>
        <w:tabs>
          <w:tab w:val="clear" w:pos="1418"/>
          <w:tab w:val="left" w:pos="1440"/>
        </w:tabs>
        <w:rPr>
          <w:rFonts w:cs="Arial"/>
          <w:b/>
        </w:rPr>
      </w:pPr>
    </w:p>
    <w:p w:rsidR="008D1C0B" w:rsidRDefault="008D1C0B">
      <w:r>
        <w:rPr>
          <w:rFonts w:hint="eastAsia"/>
        </w:rPr>
        <w:t>1.</w:t>
      </w:r>
      <w:r>
        <w:t>7</w:t>
      </w:r>
      <w:r>
        <w:tab/>
      </w:r>
      <w:r>
        <w:rPr>
          <w:rFonts w:hint="eastAsia"/>
        </w:rPr>
        <w:tab/>
      </w:r>
      <w:r>
        <w:t xml:space="preserve">Discussions within the government about devising a system of preservation and disposal of government records and creating a public records office started in the 1960s.  In May 1970, the Finance Committee of the Legislative Council approved the creation of a supernumerary post of Archivist.  The Public Records Office was established </w:t>
      </w:r>
      <w:r w:rsidRPr="00E6139E">
        <w:rPr>
          <w:lang w:val="en-US"/>
        </w:rPr>
        <w:t>under the Councils Branch of the Colonial Secretariat</w:t>
      </w:r>
      <w:r>
        <w:t xml:space="preserve"> in 1972 to help government offices maintain the standards of records management, to provide facilities for custody and maintenance of records for permanent preservation, and to make records available for official reference and for private research.  In 1987, the Government Records Co-ordination Unit ("</w:t>
      </w:r>
      <w:r>
        <w:rPr>
          <w:b/>
        </w:rPr>
        <w:t>GRCU"</w:t>
      </w:r>
      <w:r>
        <w:t xml:space="preserve">) was set up </w:t>
      </w:r>
      <w:r w:rsidRPr="00E6139E">
        <w:rPr>
          <w:lang w:val="en-US"/>
        </w:rPr>
        <w:t>under the Office of the Deputy Chief Secretary</w:t>
      </w:r>
      <w:r>
        <w:t xml:space="preserve"> to implement records management in the government.  The Government Records Service Division was subsequently created in 1989 by restructuring the former GRCU and the Public Records Office.  It comprised the Public Records Office, a new Records Management Office and a Special Duties Unit.</w:t>
      </w:r>
    </w:p>
    <w:p w:rsidR="008D1C0B" w:rsidRDefault="008D1C0B">
      <w:pPr>
        <w:tabs>
          <w:tab w:val="clear" w:pos="1418"/>
          <w:tab w:val="left" w:pos="1440"/>
        </w:tabs>
        <w:ind w:left="270"/>
        <w:rPr>
          <w:rFonts w:cs="Arial"/>
        </w:rPr>
      </w:pPr>
    </w:p>
    <w:p w:rsidR="008D1C0B" w:rsidRDefault="008D1C0B">
      <w:r>
        <w:rPr>
          <w:rFonts w:hint="eastAsia"/>
        </w:rPr>
        <w:t>1.</w:t>
      </w:r>
      <w:r>
        <w:t>8</w:t>
      </w:r>
      <w:r>
        <w:tab/>
      </w:r>
      <w:r>
        <w:rPr>
          <w:rFonts w:hint="eastAsia"/>
        </w:rPr>
        <w:tab/>
      </w:r>
      <w:r>
        <w:t>Organisationally, the Government Records Service Division was originally put under the then Constitutional Affairs Branch.  Since 1</w:t>
      </w:r>
      <w:r>
        <w:rPr>
          <w:lang w:val="en-US"/>
        </w:rPr>
        <w:t> </w:t>
      </w:r>
      <w:r>
        <w:t xml:space="preserve">September 1989, it has been transferred to the Administration Wing of the Chief Secretary for Administration's Office upon the reorganisation of the Government Secretariat.  On 20 October 2003, it was re-organised and renamed as GRS with a view to streamlining the organisational services in pursuit of electronic records management and other initiatives in records and archives management.  </w:t>
      </w:r>
    </w:p>
    <w:p w:rsidR="008D1C0B" w:rsidRPr="00372E3B" w:rsidRDefault="008D1C0B">
      <w:pPr>
        <w:tabs>
          <w:tab w:val="clear" w:pos="1418"/>
          <w:tab w:val="left" w:pos="1440"/>
        </w:tabs>
        <w:ind w:left="270"/>
        <w:rPr>
          <w:rFonts w:cs="Arial"/>
          <w:sz w:val="20"/>
          <w:szCs w:val="20"/>
        </w:rPr>
      </w:pPr>
    </w:p>
    <w:p w:rsidR="008D1C0B" w:rsidRPr="00372E3B" w:rsidRDefault="008D1C0B">
      <w:pPr>
        <w:tabs>
          <w:tab w:val="clear" w:pos="1418"/>
          <w:tab w:val="left" w:pos="1440"/>
        </w:tabs>
        <w:ind w:left="270"/>
        <w:rPr>
          <w:rFonts w:cs="Arial"/>
          <w:sz w:val="20"/>
          <w:szCs w:val="20"/>
        </w:rPr>
      </w:pPr>
    </w:p>
    <w:p w:rsidR="008D1C0B" w:rsidRDefault="008D1C0B">
      <w:pPr>
        <w:pStyle w:val="Heading2"/>
      </w:pPr>
      <w:r>
        <w:t>Roles and functions of the GRS and its offices</w:t>
      </w:r>
    </w:p>
    <w:p w:rsidR="008D1C0B" w:rsidRDefault="008D1C0B">
      <w:pPr>
        <w:tabs>
          <w:tab w:val="clear" w:pos="1418"/>
          <w:tab w:val="left" w:pos="1440"/>
        </w:tabs>
        <w:ind w:left="270"/>
        <w:rPr>
          <w:rFonts w:cs="Arial"/>
        </w:rPr>
      </w:pPr>
    </w:p>
    <w:p w:rsidR="008D1C0B" w:rsidRDefault="008D1C0B">
      <w:r>
        <w:rPr>
          <w:lang w:eastAsia="zh-HK"/>
        </w:rPr>
        <w:t>1</w:t>
      </w:r>
      <w:r>
        <w:rPr>
          <w:rFonts w:hint="eastAsia"/>
          <w:lang w:eastAsia="zh-HK"/>
        </w:rPr>
        <w:t>.</w:t>
      </w:r>
      <w:r>
        <w:rPr>
          <w:lang w:eastAsia="zh-HK"/>
        </w:rPr>
        <w:t>9</w:t>
      </w:r>
      <w:r>
        <w:rPr>
          <w:lang w:eastAsia="zh-HK"/>
        </w:rPr>
        <w:tab/>
      </w:r>
      <w:r>
        <w:rPr>
          <w:rFonts w:hint="eastAsia"/>
          <w:lang w:eastAsia="zh-HK"/>
        </w:rPr>
        <w:tab/>
        <w:t>C</w:t>
      </w:r>
      <w:r>
        <w:rPr>
          <w:lang w:eastAsia="zh-HK"/>
        </w:rPr>
        <w:t>u</w:t>
      </w:r>
      <w:r>
        <w:rPr>
          <w:rFonts w:hint="eastAsia"/>
          <w:lang w:eastAsia="zh-HK"/>
        </w:rPr>
        <w:t>rrently, t</w:t>
      </w:r>
      <w:r>
        <w:t xml:space="preserve">he GRS is overseen by, and placed under, the Administration Wing of the Chief Secretary for Administration's Office.  The </w:t>
      </w:r>
      <w:r>
        <w:lastRenderedPageBreak/>
        <w:t xml:space="preserve">GRS acts as the central records management and service agency of the Government, tasked to oversee the management of archival records and government records on a government-wide basis.  </w:t>
      </w:r>
    </w:p>
    <w:p w:rsidR="008D1C0B" w:rsidRDefault="008D1C0B">
      <w:pPr>
        <w:tabs>
          <w:tab w:val="clear" w:pos="1418"/>
          <w:tab w:val="left" w:pos="1440"/>
        </w:tabs>
        <w:ind w:leftChars="294" w:left="1414" w:hangingChars="295" w:hanging="708"/>
        <w:rPr>
          <w:rFonts w:cs="Arial"/>
        </w:rPr>
      </w:pPr>
    </w:p>
    <w:p w:rsidR="008D1C0B" w:rsidRDefault="008D1C0B">
      <w:pPr>
        <w:keepNext/>
      </w:pPr>
      <w:r>
        <w:rPr>
          <w:rFonts w:hint="eastAsia"/>
        </w:rPr>
        <w:t>1.1</w:t>
      </w:r>
      <w:r>
        <w:t>0</w:t>
      </w:r>
      <w:r>
        <w:tab/>
      </w:r>
      <w:r>
        <w:rPr>
          <w:rFonts w:hint="eastAsia"/>
        </w:rPr>
        <w:tab/>
      </w:r>
      <w:r>
        <w:t>The GRS' main responsibilities are as follows</w:t>
      </w:r>
      <w:r>
        <w:rPr>
          <w:rFonts w:hint="eastAsia"/>
        </w:rPr>
        <w:t>:</w:t>
      </w:r>
      <w:r>
        <w:rPr>
          <w:rStyle w:val="FootnoteReference"/>
          <w:rFonts w:cs="Arial"/>
        </w:rPr>
        <w:footnoteReference w:id="18"/>
      </w:r>
    </w:p>
    <w:p w:rsidR="008D1C0B" w:rsidRDefault="008D1C0B">
      <w:pPr>
        <w:keepNext/>
        <w:tabs>
          <w:tab w:val="clear" w:pos="1418"/>
          <w:tab w:val="left" w:pos="1440"/>
        </w:tabs>
        <w:ind w:left="270"/>
        <w:rPr>
          <w:rFonts w:cs="Arial"/>
        </w:rPr>
      </w:pPr>
    </w:p>
    <w:p w:rsidR="008D1C0B" w:rsidRDefault="008D1C0B">
      <w:pPr>
        <w:tabs>
          <w:tab w:val="clear" w:pos="1418"/>
          <w:tab w:val="left" w:pos="1440"/>
        </w:tabs>
        <w:ind w:left="1440" w:hanging="720"/>
        <w:rPr>
          <w:rFonts w:cs="Arial"/>
        </w:rPr>
      </w:pPr>
      <w:r>
        <w:rPr>
          <w:rFonts w:cs="Arial"/>
        </w:rPr>
        <w:t>(</w:t>
      </w:r>
      <w:r>
        <w:rPr>
          <w:rFonts w:cs="Arial" w:hint="eastAsia"/>
        </w:rPr>
        <w:t>i</w:t>
      </w:r>
      <w:r>
        <w:rPr>
          <w:rFonts w:cs="Arial"/>
        </w:rPr>
        <w:t xml:space="preserve">) </w:t>
      </w:r>
      <w:r>
        <w:rPr>
          <w:rFonts w:cs="Arial"/>
        </w:rPr>
        <w:tab/>
        <w:t>development and implementation of government-wide records management policies;</w:t>
      </w:r>
    </w:p>
    <w:p w:rsidR="008D1C0B" w:rsidRPr="00BB1555" w:rsidRDefault="008D1C0B">
      <w:pPr>
        <w:tabs>
          <w:tab w:val="clear" w:pos="1418"/>
          <w:tab w:val="left" w:pos="1440"/>
        </w:tabs>
        <w:ind w:left="2160" w:hanging="1440"/>
        <w:rPr>
          <w:rFonts w:cs="Arial"/>
          <w:sz w:val="20"/>
          <w:szCs w:val="20"/>
        </w:rPr>
      </w:pPr>
    </w:p>
    <w:p w:rsidR="008D1C0B" w:rsidRDefault="008D1C0B">
      <w:pPr>
        <w:tabs>
          <w:tab w:val="clear" w:pos="1418"/>
          <w:tab w:val="left" w:pos="1440"/>
        </w:tabs>
        <w:ind w:left="2160" w:hanging="1440"/>
        <w:rPr>
          <w:rFonts w:cs="Arial"/>
        </w:rPr>
      </w:pPr>
      <w:r>
        <w:rPr>
          <w:rFonts w:cs="Arial"/>
        </w:rPr>
        <w:t>(</w:t>
      </w:r>
      <w:r>
        <w:rPr>
          <w:rFonts w:cs="Arial" w:hint="eastAsia"/>
        </w:rPr>
        <w:t>ii</w:t>
      </w:r>
      <w:r>
        <w:rPr>
          <w:rFonts w:cs="Arial"/>
        </w:rPr>
        <w:t>)</w:t>
      </w:r>
      <w:r>
        <w:rPr>
          <w:rFonts w:cs="Arial"/>
        </w:rPr>
        <w:tab/>
        <w:t>development of records standards, guidelines and procedures;</w:t>
      </w:r>
    </w:p>
    <w:p w:rsidR="008D1C0B" w:rsidRPr="00BB1555" w:rsidRDefault="008D1C0B">
      <w:pPr>
        <w:tabs>
          <w:tab w:val="clear" w:pos="1418"/>
          <w:tab w:val="left" w:pos="1440"/>
        </w:tabs>
        <w:ind w:left="27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iii</w:t>
      </w:r>
      <w:r>
        <w:rPr>
          <w:rFonts w:cs="Arial"/>
        </w:rPr>
        <w:t>)</w:t>
      </w:r>
      <w:r>
        <w:rPr>
          <w:rFonts w:cs="Arial"/>
        </w:rPr>
        <w:tab/>
        <w:t>provision of records related advisory services and training;</w:t>
      </w:r>
    </w:p>
    <w:p w:rsidR="008D1C0B" w:rsidRPr="00BB1555" w:rsidRDefault="008D1C0B">
      <w:pPr>
        <w:tabs>
          <w:tab w:val="clear" w:pos="1418"/>
          <w:tab w:val="left" w:pos="1440"/>
        </w:tabs>
        <w:ind w:left="27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iv</w:t>
      </w:r>
      <w:r>
        <w:rPr>
          <w:rFonts w:cs="Arial"/>
        </w:rPr>
        <w:t xml:space="preserve">) </w:t>
      </w:r>
      <w:r>
        <w:rPr>
          <w:rFonts w:cs="Arial"/>
        </w:rPr>
        <w:tab/>
        <w:t>administration of records centres, records disposal and centralised microfilming services;</w:t>
      </w:r>
    </w:p>
    <w:p w:rsidR="008D1C0B" w:rsidRPr="00BB1555" w:rsidRDefault="008D1C0B">
      <w:pPr>
        <w:tabs>
          <w:tab w:val="clear" w:pos="1418"/>
          <w:tab w:val="left" w:pos="1440"/>
        </w:tabs>
        <w:ind w:left="27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v</w:t>
      </w:r>
      <w:r>
        <w:rPr>
          <w:rFonts w:cs="Arial"/>
        </w:rPr>
        <w:t xml:space="preserve">) </w:t>
      </w:r>
      <w:r>
        <w:rPr>
          <w:rFonts w:cs="Arial"/>
        </w:rPr>
        <w:tab/>
        <w:t>survey, inspection, study and evaluation of departmental records management programmes;</w:t>
      </w:r>
    </w:p>
    <w:p w:rsidR="008D1C0B" w:rsidRPr="00BB1555" w:rsidRDefault="008D1C0B">
      <w:pPr>
        <w:tabs>
          <w:tab w:val="clear" w:pos="1418"/>
          <w:tab w:val="left" w:pos="1440"/>
        </w:tabs>
        <w:ind w:left="27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vi</w:t>
      </w:r>
      <w:r>
        <w:rPr>
          <w:rFonts w:cs="Arial"/>
        </w:rPr>
        <w:t xml:space="preserve">) </w:t>
      </w:r>
      <w:r>
        <w:rPr>
          <w:rFonts w:cs="Arial"/>
        </w:rPr>
        <w:tab/>
        <w:t xml:space="preserve">selection, administration and preservation of government archives and valuable publications; </w:t>
      </w:r>
    </w:p>
    <w:p w:rsidR="008D1C0B" w:rsidRPr="00BB1555" w:rsidRDefault="008D1C0B">
      <w:pPr>
        <w:tabs>
          <w:tab w:val="clear" w:pos="1418"/>
          <w:tab w:val="left" w:pos="1440"/>
        </w:tabs>
        <w:ind w:left="27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vii</w:t>
      </w:r>
      <w:r>
        <w:rPr>
          <w:rFonts w:cs="Arial"/>
        </w:rPr>
        <w:t>)</w:t>
      </w:r>
      <w:r>
        <w:rPr>
          <w:rFonts w:cs="Arial"/>
        </w:rPr>
        <w:tab/>
        <w:t xml:space="preserve">provision of access and reference services to government archives and selected publications; and </w:t>
      </w:r>
    </w:p>
    <w:p w:rsidR="008D1C0B" w:rsidRPr="00BB1555" w:rsidRDefault="008D1C0B">
      <w:pPr>
        <w:tabs>
          <w:tab w:val="clear" w:pos="1418"/>
          <w:tab w:val="left" w:pos="1440"/>
        </w:tabs>
        <w:ind w:leftChars="146" w:left="350"/>
        <w:rPr>
          <w:rFonts w:cs="Arial"/>
          <w:sz w:val="20"/>
          <w:szCs w:val="20"/>
        </w:rPr>
      </w:pPr>
    </w:p>
    <w:p w:rsidR="008D1C0B" w:rsidRDefault="008D1C0B">
      <w:pPr>
        <w:tabs>
          <w:tab w:val="clear" w:pos="1418"/>
          <w:tab w:val="left" w:pos="1440"/>
        </w:tabs>
        <w:ind w:left="1440" w:hanging="720"/>
        <w:rPr>
          <w:rFonts w:cs="Arial"/>
          <w:lang w:eastAsia="zh-HK"/>
        </w:rPr>
      </w:pPr>
      <w:r>
        <w:rPr>
          <w:rFonts w:cs="Arial" w:hint="eastAsia"/>
        </w:rPr>
        <w:t>(viii)</w:t>
      </w:r>
      <w:r>
        <w:rPr>
          <w:rFonts w:cs="Arial"/>
        </w:rPr>
        <w:tab/>
      </w:r>
      <w:r>
        <w:rPr>
          <w:rFonts w:cs="Arial" w:hint="eastAsia"/>
          <w:lang w:eastAsia="zh-HK"/>
        </w:rPr>
        <w:t xml:space="preserve">authority in </w:t>
      </w:r>
      <w:r>
        <w:rPr>
          <w:rFonts w:cs="Arial"/>
        </w:rPr>
        <w:t xml:space="preserve">advising and providing instructions on proper administration and </w:t>
      </w:r>
      <w:r>
        <w:rPr>
          <w:rFonts w:cs="Arial"/>
        </w:rPr>
        <w:tab/>
        <w:t xml:space="preserve">management of government records, archives and publications that are of long-term (30 years or over) or permanent value. </w:t>
      </w:r>
    </w:p>
    <w:p w:rsidR="008D1C0B" w:rsidRDefault="008D1C0B">
      <w:pPr>
        <w:tabs>
          <w:tab w:val="clear" w:pos="1418"/>
          <w:tab w:val="left" w:pos="1440"/>
        </w:tabs>
        <w:ind w:left="270"/>
        <w:rPr>
          <w:rFonts w:cs="Arial"/>
        </w:rPr>
      </w:pPr>
    </w:p>
    <w:p w:rsidR="008D1C0B" w:rsidRDefault="008D1C0B">
      <w:r>
        <w:rPr>
          <w:rFonts w:hint="eastAsia"/>
        </w:rPr>
        <w:t>1.1</w:t>
      </w:r>
      <w:r>
        <w:t>1</w:t>
      </w:r>
      <w:r>
        <w:tab/>
      </w:r>
      <w:r>
        <w:rPr>
          <w:rFonts w:hint="eastAsia"/>
        </w:rPr>
        <w:tab/>
      </w:r>
      <w:r>
        <w:t>The GRS consists of four offices, namely, the Public Records Office, Preservation Service Office, Record System</w:t>
      </w:r>
      <w:r>
        <w:rPr>
          <w:rFonts w:hint="eastAsia"/>
          <w:lang w:eastAsia="zh-HK"/>
        </w:rPr>
        <w:t>s</w:t>
      </w:r>
      <w:r>
        <w:t xml:space="preserve"> Development Office and Records Management </w:t>
      </w:r>
      <w:r>
        <w:rPr>
          <w:rFonts w:hint="eastAsia"/>
          <w:lang w:eastAsia="zh-HK"/>
        </w:rPr>
        <w:t xml:space="preserve">and </w:t>
      </w:r>
      <w:r>
        <w:t>Administration Office.  The main functions of these offices are as follows:-</w:t>
      </w:r>
    </w:p>
    <w:p w:rsidR="008D1C0B" w:rsidRPr="00BB1555" w:rsidRDefault="008D1C0B">
      <w:pPr>
        <w:tabs>
          <w:tab w:val="clear" w:pos="1418"/>
          <w:tab w:val="left" w:pos="1440"/>
        </w:tabs>
        <w:ind w:left="27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i</w:t>
      </w:r>
      <w:r>
        <w:rPr>
          <w:rFonts w:cs="Arial"/>
        </w:rPr>
        <w:t>)</w:t>
      </w:r>
      <w:r>
        <w:rPr>
          <w:rFonts w:cs="Arial"/>
        </w:rPr>
        <w:tab/>
        <w:t>Public Records Office: archives acquisition, public access and reference services to archival and library holdings, promotion of archival heritage.</w:t>
      </w:r>
    </w:p>
    <w:p w:rsidR="008D1C0B" w:rsidRPr="00BB1555" w:rsidRDefault="008D1C0B">
      <w:pPr>
        <w:tabs>
          <w:tab w:val="left" w:pos="1200"/>
        </w:tabs>
        <w:ind w:left="1440" w:hanging="72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ii</w:t>
      </w:r>
      <w:r>
        <w:rPr>
          <w:rFonts w:cs="Arial"/>
        </w:rPr>
        <w:t>)</w:t>
      </w:r>
      <w:r>
        <w:rPr>
          <w:rFonts w:cs="Arial"/>
        </w:rPr>
        <w:tab/>
        <w:t>Preservation Service Office: preservation and conservation of archival and library holdings, photo-imaging services to B/Ds through the Government Microfilm Centre.</w:t>
      </w:r>
      <w:r>
        <w:rPr>
          <w:rStyle w:val="FootnoteReference"/>
          <w:rFonts w:cs="Arial"/>
        </w:rPr>
        <w:footnoteReference w:id="19"/>
      </w:r>
      <w:r>
        <w:rPr>
          <w:rFonts w:cs="Arial"/>
        </w:rPr>
        <w:t xml:space="preserve"> </w:t>
      </w:r>
    </w:p>
    <w:p w:rsidR="008D1C0B" w:rsidRPr="00BB1555" w:rsidRDefault="008D1C0B">
      <w:pPr>
        <w:tabs>
          <w:tab w:val="clear" w:pos="1418"/>
          <w:tab w:val="left" w:pos="1440"/>
        </w:tabs>
        <w:ind w:left="1440" w:hanging="720"/>
        <w:rPr>
          <w:rFonts w:cs="Arial"/>
          <w:sz w:val="20"/>
          <w:szCs w:val="20"/>
        </w:rPr>
      </w:pPr>
    </w:p>
    <w:p w:rsidR="008D1C0B" w:rsidRDefault="008D1C0B">
      <w:pPr>
        <w:tabs>
          <w:tab w:val="clear" w:pos="1418"/>
          <w:tab w:val="left" w:pos="1440"/>
        </w:tabs>
        <w:ind w:left="1440" w:hanging="720"/>
        <w:rPr>
          <w:rFonts w:cs="Arial"/>
        </w:rPr>
      </w:pPr>
      <w:r>
        <w:rPr>
          <w:rFonts w:cs="Arial"/>
        </w:rPr>
        <w:t>(</w:t>
      </w:r>
      <w:r>
        <w:rPr>
          <w:rFonts w:cs="Arial" w:hint="eastAsia"/>
        </w:rPr>
        <w:t>iii</w:t>
      </w:r>
      <w:r>
        <w:rPr>
          <w:rFonts w:cs="Arial"/>
        </w:rPr>
        <w:t>)</w:t>
      </w:r>
      <w:r>
        <w:rPr>
          <w:rFonts w:cs="Arial"/>
        </w:rPr>
        <w:tab/>
      </w:r>
      <w:r>
        <w:t>Record System</w:t>
      </w:r>
      <w:r>
        <w:rPr>
          <w:rFonts w:hint="eastAsia"/>
          <w:lang w:eastAsia="zh-HK"/>
        </w:rPr>
        <w:t>s</w:t>
      </w:r>
      <w:r>
        <w:t xml:space="preserve"> Development Office</w:t>
      </w:r>
      <w:r>
        <w:rPr>
          <w:rFonts w:cs="Arial"/>
        </w:rPr>
        <w:t xml:space="preserve">: electronic records management, development of </w:t>
      </w:r>
      <w:r>
        <w:rPr>
          <w:rFonts w:cs="Arial" w:hint="eastAsia"/>
          <w:lang w:eastAsia="zh-HK"/>
        </w:rPr>
        <w:t>records classification scheme</w:t>
      </w:r>
      <w:r>
        <w:rPr>
          <w:rFonts w:cs="Arial"/>
        </w:rPr>
        <w:t>, new initiatives in managing recorded information.</w:t>
      </w:r>
    </w:p>
    <w:p w:rsidR="008D1C0B" w:rsidRPr="00BB1555" w:rsidRDefault="008D1C0B">
      <w:pPr>
        <w:tabs>
          <w:tab w:val="clear" w:pos="1418"/>
          <w:tab w:val="left" w:pos="1440"/>
        </w:tabs>
        <w:ind w:left="1440" w:hanging="720"/>
        <w:rPr>
          <w:rFonts w:cs="Arial"/>
          <w:sz w:val="20"/>
          <w:szCs w:val="20"/>
        </w:rPr>
      </w:pPr>
    </w:p>
    <w:p w:rsidR="008D1C0B" w:rsidRDefault="008D1C0B">
      <w:pPr>
        <w:tabs>
          <w:tab w:val="clear" w:pos="1418"/>
          <w:tab w:val="left" w:pos="1440"/>
        </w:tabs>
        <w:ind w:left="1440" w:hanging="720"/>
        <w:rPr>
          <w:rFonts w:cs="Arial"/>
        </w:rPr>
      </w:pPr>
      <w:r>
        <w:rPr>
          <w:rFonts w:cs="Arial"/>
        </w:rPr>
        <w:lastRenderedPageBreak/>
        <w:t>(</w:t>
      </w:r>
      <w:r>
        <w:rPr>
          <w:rFonts w:cs="Arial" w:hint="eastAsia"/>
        </w:rPr>
        <w:t>iv</w:t>
      </w:r>
      <w:r>
        <w:rPr>
          <w:rFonts w:cs="Arial"/>
        </w:rPr>
        <w:t>)</w:t>
      </w:r>
      <w:r>
        <w:rPr>
          <w:rFonts w:cs="Arial"/>
        </w:rPr>
        <w:tab/>
      </w:r>
      <w:r>
        <w:t xml:space="preserve">Records Management </w:t>
      </w:r>
      <w:r>
        <w:rPr>
          <w:rFonts w:hint="eastAsia"/>
          <w:lang w:eastAsia="zh-HK"/>
        </w:rPr>
        <w:t xml:space="preserve">and </w:t>
      </w:r>
      <w:r>
        <w:t>Administration Office</w:t>
      </w:r>
      <w:r>
        <w:rPr>
          <w:rFonts w:cs="Arial"/>
        </w:rPr>
        <w:t xml:space="preserve">: Records Centre services, records management </w:t>
      </w:r>
      <w:r>
        <w:rPr>
          <w:rFonts w:cs="Arial" w:hint="eastAsia"/>
          <w:lang w:eastAsia="zh-HK"/>
        </w:rPr>
        <w:t xml:space="preserve">system development and implementation, departmental review services, </w:t>
      </w:r>
      <w:r>
        <w:rPr>
          <w:rFonts w:cs="Arial"/>
        </w:rPr>
        <w:t xml:space="preserve">training and consultancy services, internal administration of the GRS.  </w:t>
      </w:r>
    </w:p>
    <w:p w:rsidR="008D1C0B" w:rsidRPr="00997C83" w:rsidRDefault="008D1C0B">
      <w:pPr>
        <w:tabs>
          <w:tab w:val="clear" w:pos="1418"/>
          <w:tab w:val="left" w:pos="1440"/>
        </w:tabs>
        <w:ind w:left="270"/>
        <w:rPr>
          <w:rFonts w:cs="Arial"/>
          <w:sz w:val="22"/>
          <w:szCs w:val="22"/>
        </w:rPr>
      </w:pPr>
    </w:p>
    <w:p w:rsidR="008D1C0B" w:rsidRPr="00997C83" w:rsidRDefault="008D1C0B">
      <w:pPr>
        <w:tabs>
          <w:tab w:val="clear" w:pos="1418"/>
          <w:tab w:val="left" w:pos="1440"/>
        </w:tabs>
        <w:ind w:left="270"/>
        <w:rPr>
          <w:rFonts w:cs="Arial"/>
          <w:sz w:val="22"/>
          <w:szCs w:val="22"/>
        </w:rPr>
      </w:pPr>
    </w:p>
    <w:p w:rsidR="008D1C0B" w:rsidRDefault="008D1C0B">
      <w:pPr>
        <w:pStyle w:val="Heading2"/>
      </w:pPr>
      <w:r>
        <w:t xml:space="preserve">Staffing in GRS </w:t>
      </w:r>
    </w:p>
    <w:p w:rsidR="008D1C0B" w:rsidRDefault="008D1C0B">
      <w:pPr>
        <w:keepNext/>
        <w:tabs>
          <w:tab w:val="clear" w:pos="1418"/>
          <w:tab w:val="left" w:pos="1440"/>
        </w:tabs>
        <w:ind w:left="270"/>
        <w:rPr>
          <w:rFonts w:cs="Arial"/>
          <w:b/>
        </w:rPr>
      </w:pPr>
    </w:p>
    <w:p w:rsidR="008D1C0B" w:rsidRDefault="008D1C0B">
      <w:r>
        <w:t>1.12</w:t>
      </w:r>
      <w:r>
        <w:tab/>
      </w:r>
      <w:r>
        <w:rPr>
          <w:rFonts w:hint="eastAsia"/>
        </w:rPr>
        <w:tab/>
      </w:r>
      <w:r>
        <w:t>The head of the GRS is the GRS Director, who oversees and directs the operation of the GRS.  The GRS Director is responsible to the Director of Administration of the Chief Secretary for Administration's Office</w:t>
      </w:r>
      <w:r>
        <w:rPr>
          <w:rFonts w:hint="eastAsia"/>
        </w:rPr>
        <w:t>.</w:t>
      </w:r>
      <w:r>
        <w:rPr>
          <w:rStyle w:val="FootnoteReference"/>
          <w:rFonts w:cs="Arial"/>
        </w:rPr>
        <w:footnoteReference w:id="20"/>
      </w:r>
      <w:r>
        <w:t xml:space="preserve"> </w:t>
      </w:r>
      <w:r>
        <w:rPr>
          <w:rFonts w:hint="eastAsia"/>
        </w:rPr>
        <w:t xml:space="preserve"> </w:t>
      </w:r>
      <w:r>
        <w:t>As at 31 December</w:t>
      </w:r>
      <w:r>
        <w:rPr>
          <w:lang w:eastAsia="zh-HK"/>
        </w:rPr>
        <w:t xml:space="preserve"> </w:t>
      </w:r>
      <w:r>
        <w:rPr>
          <w:rFonts w:hint="eastAsia"/>
          <w:lang w:eastAsia="zh-HK"/>
        </w:rPr>
        <w:t>2017</w:t>
      </w:r>
      <w:r>
        <w:t xml:space="preserve">, the GRS has a total of </w:t>
      </w:r>
      <w:r>
        <w:rPr>
          <w:lang w:eastAsia="zh-HK"/>
        </w:rPr>
        <w:t>10</w:t>
      </w:r>
      <w:r>
        <w:rPr>
          <w:rFonts w:hint="eastAsia"/>
          <w:lang w:eastAsia="zh-HK"/>
        </w:rPr>
        <w:t>4</w:t>
      </w:r>
      <w:r>
        <w:t xml:space="preserve"> staff members, consisting of </w:t>
      </w:r>
      <w:r>
        <w:rPr>
          <w:lang w:eastAsia="zh-HK"/>
        </w:rPr>
        <w:t>16</w:t>
      </w:r>
      <w:r>
        <w:t xml:space="preserve"> Archivist grade</w:t>
      </w:r>
      <w:r>
        <w:rPr>
          <w:lang w:eastAsia="zh-HK"/>
        </w:rPr>
        <w:t xml:space="preserve"> staff</w:t>
      </w:r>
      <w:r>
        <w:t xml:space="preserve">, four </w:t>
      </w:r>
      <w:r>
        <w:rPr>
          <w:lang w:eastAsia="zh-HK"/>
        </w:rPr>
        <w:t>C</w:t>
      </w:r>
      <w:r>
        <w:t>urator grade</w:t>
      </w:r>
      <w:r>
        <w:rPr>
          <w:lang w:eastAsia="zh-HK"/>
        </w:rPr>
        <w:t xml:space="preserve"> staff</w:t>
      </w:r>
      <w:r>
        <w:t xml:space="preserve">, </w:t>
      </w:r>
      <w:r>
        <w:rPr>
          <w:rFonts w:hint="eastAsia"/>
          <w:lang w:eastAsia="zh-HK"/>
        </w:rPr>
        <w:t>19</w:t>
      </w:r>
      <w:r>
        <w:t> </w:t>
      </w:r>
      <w:r>
        <w:rPr>
          <w:lang w:eastAsia="zh-HK"/>
        </w:rPr>
        <w:t>E</w:t>
      </w:r>
      <w:r>
        <w:t xml:space="preserve">xecutive </w:t>
      </w:r>
      <w:r>
        <w:rPr>
          <w:lang w:eastAsia="zh-HK"/>
        </w:rPr>
        <w:t>O</w:t>
      </w:r>
      <w:r>
        <w:t xml:space="preserve">fficer grade </w:t>
      </w:r>
      <w:r>
        <w:rPr>
          <w:lang w:eastAsia="zh-HK"/>
        </w:rPr>
        <w:t>staff</w:t>
      </w:r>
      <w:r>
        <w:t xml:space="preserve">, two </w:t>
      </w:r>
      <w:r>
        <w:rPr>
          <w:lang w:eastAsia="zh-HK"/>
        </w:rPr>
        <w:t>L</w:t>
      </w:r>
      <w:r>
        <w:t xml:space="preserve">ibrarian </w:t>
      </w:r>
      <w:r>
        <w:rPr>
          <w:lang w:eastAsia="zh-HK"/>
        </w:rPr>
        <w:t xml:space="preserve">grade staff </w:t>
      </w:r>
      <w:r>
        <w:t xml:space="preserve">and </w:t>
      </w:r>
      <w:r>
        <w:rPr>
          <w:lang w:eastAsia="zh-HK"/>
        </w:rPr>
        <w:t>6</w:t>
      </w:r>
      <w:r>
        <w:rPr>
          <w:rFonts w:hint="eastAsia"/>
          <w:lang w:eastAsia="zh-HK"/>
        </w:rPr>
        <w:t>3</w:t>
      </w:r>
      <w:r>
        <w:rPr>
          <w:lang w:eastAsia="zh-HK"/>
        </w:rPr>
        <w:t xml:space="preserve"> </w:t>
      </w:r>
      <w:r>
        <w:t xml:space="preserve">staff </w:t>
      </w:r>
      <w:r>
        <w:rPr>
          <w:lang w:eastAsia="zh-HK"/>
        </w:rPr>
        <w:t xml:space="preserve">members </w:t>
      </w:r>
      <w:r>
        <w:t>of other grades</w:t>
      </w:r>
      <w:r>
        <w:rPr>
          <w:rFonts w:hint="eastAsia"/>
        </w:rPr>
        <w:t>.</w:t>
      </w:r>
      <w:r>
        <w:t xml:space="preserve"> </w:t>
      </w:r>
    </w:p>
    <w:p w:rsidR="008D1C0B" w:rsidRPr="00997C83" w:rsidRDefault="008D1C0B">
      <w:pPr>
        <w:pStyle w:val="ListParagraph"/>
        <w:tabs>
          <w:tab w:val="clear" w:pos="1418"/>
          <w:tab w:val="left" w:pos="1440"/>
        </w:tabs>
        <w:ind w:left="0"/>
        <w:rPr>
          <w:rFonts w:cs="Arial"/>
          <w:sz w:val="22"/>
          <w:szCs w:val="22"/>
        </w:rPr>
      </w:pPr>
    </w:p>
    <w:p w:rsidR="008D1C0B" w:rsidRPr="00997C83" w:rsidRDefault="008D1C0B">
      <w:pPr>
        <w:pStyle w:val="ListParagraph"/>
        <w:tabs>
          <w:tab w:val="clear" w:pos="1418"/>
          <w:tab w:val="left" w:pos="1440"/>
        </w:tabs>
        <w:ind w:left="0"/>
        <w:rPr>
          <w:rFonts w:cs="Arial"/>
          <w:sz w:val="22"/>
          <w:szCs w:val="22"/>
        </w:rPr>
      </w:pPr>
    </w:p>
    <w:p w:rsidR="008D1C0B" w:rsidRDefault="008D1C0B">
      <w:pPr>
        <w:pStyle w:val="Heading3"/>
      </w:pPr>
      <w:r>
        <w:t>Staff qualifications</w:t>
      </w:r>
    </w:p>
    <w:p w:rsidR="008D1C0B" w:rsidRDefault="008D1C0B">
      <w:pPr>
        <w:pStyle w:val="ListParagraph"/>
        <w:tabs>
          <w:tab w:val="clear" w:pos="1418"/>
          <w:tab w:val="left" w:pos="1440"/>
        </w:tabs>
        <w:ind w:left="0"/>
        <w:rPr>
          <w:rFonts w:cs="Arial"/>
        </w:rPr>
      </w:pPr>
    </w:p>
    <w:p w:rsidR="008D1C0B" w:rsidRDefault="008D1C0B">
      <w:pPr>
        <w:rPr>
          <w:lang w:eastAsia="zh-HK"/>
        </w:rPr>
      </w:pPr>
      <w:r>
        <w:t>1.13</w:t>
      </w:r>
      <w:r>
        <w:tab/>
      </w:r>
      <w:r>
        <w:rPr>
          <w:rFonts w:hint="eastAsia"/>
        </w:rPr>
        <w:tab/>
      </w:r>
      <w:r w:rsidRPr="001C31AD">
        <w:t>The entry requirements of the Archivist grade include a bachelor</w:t>
      </w:r>
      <w:r>
        <w:t>'</w:t>
      </w:r>
      <w:r w:rsidRPr="001C31AD">
        <w:rPr>
          <w:rFonts w:hint="eastAsia"/>
        </w:rPr>
        <w:t>s</w:t>
      </w:r>
      <w:r w:rsidRPr="001C31AD">
        <w:t xml:space="preserve"> degree in History, Political Science, Public Administration, Information Management and Library Studies, Archives and Records Management, or equivalent, and two-years</w:t>
      </w:r>
      <w:r>
        <w:t>'</w:t>
      </w:r>
      <w:r w:rsidRPr="001C31AD">
        <w:t xml:space="preserve"> post-graduate research, study or training in the abovementioned subjects, as well as good language proficiency in Chinese and English.</w:t>
      </w:r>
      <w:r>
        <w:t xml:space="preserve">  Currently, all the </w:t>
      </w:r>
      <w:r>
        <w:rPr>
          <w:rFonts w:hint="eastAsia"/>
          <w:lang w:eastAsia="zh-HK"/>
        </w:rPr>
        <w:t>16</w:t>
      </w:r>
      <w:r>
        <w:t xml:space="preserve"> Archivist grade officers</w:t>
      </w:r>
      <w:r>
        <w:rPr>
          <w:rFonts w:hint="eastAsia"/>
          <w:lang w:eastAsia="zh-HK"/>
        </w:rPr>
        <w:t xml:space="preserve"> </w:t>
      </w:r>
      <w:r>
        <w:t xml:space="preserve">(including </w:t>
      </w:r>
      <w:r>
        <w:rPr>
          <w:lang w:eastAsia="zh-HK"/>
        </w:rPr>
        <w:t>two</w:t>
      </w:r>
      <w:r>
        <w:t xml:space="preserve"> Archivist</w:t>
      </w:r>
      <w:r>
        <w:rPr>
          <w:rFonts w:hint="eastAsia"/>
          <w:lang w:eastAsia="zh-HK"/>
        </w:rPr>
        <w:t>s</w:t>
      </w:r>
      <w:r>
        <w:t xml:space="preserve">, </w:t>
      </w:r>
      <w:r>
        <w:rPr>
          <w:lang w:eastAsia="zh-HK"/>
        </w:rPr>
        <w:t>six</w:t>
      </w:r>
      <w:r>
        <w:t xml:space="preserve"> Senior Assistant Archivists and </w:t>
      </w:r>
      <w:r>
        <w:rPr>
          <w:lang w:eastAsia="zh-HK"/>
        </w:rPr>
        <w:t>eight</w:t>
      </w:r>
      <w:r>
        <w:rPr>
          <w:rFonts w:hint="eastAsia"/>
          <w:lang w:eastAsia="zh-HK"/>
        </w:rPr>
        <w:t xml:space="preserve"> </w:t>
      </w:r>
      <w:r>
        <w:t>Assistant Archivists)</w:t>
      </w:r>
      <w:r>
        <w:rPr>
          <w:rFonts w:hint="eastAsia"/>
          <w:lang w:eastAsia="zh-HK"/>
        </w:rPr>
        <w:t xml:space="preserve"> </w:t>
      </w:r>
      <w:r>
        <w:t>have obtained master degrees in relevant subjects including history, archives and records management, library science or political science.  The Archivists and Senior Assistant Archivists have also obtained a postgraduate diploma in archives and records management and undergone ongoing professional training in related subjects.  Newly recruited Assistant Archivists are provided with in-house training and are required to pass a proficiency test involving written and practical exercises after one year's service.  Upon passing the test, they are required to take a postgraduate programme on archives and records management</w:t>
      </w:r>
      <w:r>
        <w:rPr>
          <w:rFonts w:hint="eastAsia"/>
        </w:rPr>
        <w:t>.</w:t>
      </w:r>
    </w:p>
    <w:p w:rsidR="008D1C0B" w:rsidRDefault="008D1C0B">
      <w:pPr>
        <w:tabs>
          <w:tab w:val="clear" w:pos="1418"/>
          <w:tab w:val="left" w:pos="1440"/>
        </w:tabs>
        <w:ind w:left="270"/>
        <w:rPr>
          <w:rFonts w:cs="Arial"/>
        </w:rPr>
      </w:pPr>
    </w:p>
    <w:p w:rsidR="008D1C0B" w:rsidRDefault="008D1C0B">
      <w:pPr>
        <w:rPr>
          <w:lang w:eastAsia="zh-HK"/>
        </w:rPr>
      </w:pPr>
      <w:r>
        <w:t>1.14</w:t>
      </w:r>
      <w:r>
        <w:tab/>
      </w:r>
      <w:r>
        <w:rPr>
          <w:rFonts w:hint="eastAsia"/>
        </w:rPr>
        <w:tab/>
      </w:r>
      <w:r>
        <w:t xml:space="preserve">Besides, officers </w:t>
      </w:r>
      <w:r>
        <w:rPr>
          <w:lang w:eastAsia="zh-HK"/>
        </w:rPr>
        <w:t>from the Conservation Stream</w:t>
      </w:r>
      <w:r>
        <w:t xml:space="preserve"> of the Curator grade and the Librarian grade, which are under the management of the Director of Leisure and Cultural Services, are also </w:t>
      </w:r>
      <w:r>
        <w:rPr>
          <w:lang w:eastAsia="zh-HK"/>
        </w:rPr>
        <w:t>deployed to the GRS.</w:t>
      </w:r>
      <w:r>
        <w:rPr>
          <w:rFonts w:hint="eastAsia"/>
          <w:lang w:eastAsia="zh-HK"/>
        </w:rPr>
        <w:t xml:space="preserve"> </w:t>
      </w:r>
      <w:r>
        <w:rPr>
          <w:lang w:eastAsia="zh-HK"/>
        </w:rPr>
        <w:t xml:space="preserve"> The Curator grade officers participate </w:t>
      </w:r>
      <w:r>
        <w:rPr>
          <w:rFonts w:hint="eastAsia"/>
          <w:lang w:eastAsia="zh-HK"/>
        </w:rPr>
        <w:t xml:space="preserve">in work relating to handling, identification, examination and conservation of archival and </w:t>
      </w:r>
      <w:r>
        <w:rPr>
          <w:lang w:eastAsia="zh-HK"/>
        </w:rPr>
        <w:t>library</w:t>
      </w:r>
      <w:r>
        <w:rPr>
          <w:rFonts w:hint="eastAsia"/>
          <w:lang w:eastAsia="zh-HK"/>
        </w:rPr>
        <w:t xml:space="preserve"> collections and loan exhibits; environmental monitoring and control programmes in archival repositories and display venues as well as the rendering of preventive measures for the preservation of collection items.</w:t>
      </w:r>
      <w:r>
        <w:rPr>
          <w:rStyle w:val="FootnoteReference"/>
          <w:rFonts w:cs="Arial"/>
        </w:rPr>
        <w:footnoteReference w:id="21"/>
      </w:r>
      <w:r>
        <w:rPr>
          <w:rFonts w:hint="eastAsia"/>
          <w:lang w:eastAsia="zh-HK"/>
        </w:rPr>
        <w:t xml:space="preserve">  </w:t>
      </w:r>
      <w:r w:rsidRPr="00307F82">
        <w:rPr>
          <w:shd w:val="clear" w:color="auto" w:fill="FFFFFF"/>
          <w:lang w:eastAsia="zh-HK"/>
        </w:rPr>
        <w:t>The entry requirements of the Curator grade include a bachelor's degree majoring in Conservation</w:t>
      </w:r>
      <w:r w:rsidRPr="00307F82">
        <w:rPr>
          <w:rFonts w:hint="eastAsia"/>
          <w:shd w:val="clear" w:color="auto" w:fill="FFFFFF"/>
          <w:lang w:eastAsia="zh-HK"/>
        </w:rPr>
        <w:t xml:space="preserve">, </w:t>
      </w:r>
      <w:r w:rsidRPr="00307F82">
        <w:rPr>
          <w:rFonts w:hint="eastAsia"/>
          <w:shd w:val="clear" w:color="auto" w:fill="FFFFFF"/>
          <w:lang w:eastAsia="zh-HK"/>
        </w:rPr>
        <w:lastRenderedPageBreak/>
        <w:t>A</w:t>
      </w:r>
      <w:r w:rsidRPr="00307F82">
        <w:rPr>
          <w:shd w:val="clear" w:color="auto" w:fill="FFFFFF"/>
          <w:lang w:eastAsia="zh-HK"/>
        </w:rPr>
        <w:t>pplied Chemistry / Chemistry, Materials Science or Materials Engineering, as well as good language proficiency in both Chinese and English.  Throughout their career, they receive on-the-job training and attend courses on relevant subjects like conservation of paper, audiovisual, photographic, archival and library materials.</w:t>
      </w:r>
      <w:r w:rsidRPr="00550B6E">
        <w:rPr>
          <w:rFonts w:hint="eastAsia"/>
          <w:i/>
          <w:lang w:eastAsia="zh-HK"/>
        </w:rPr>
        <w:t xml:space="preserve"> </w:t>
      </w:r>
      <w:r w:rsidRPr="00550B6E">
        <w:rPr>
          <w:i/>
          <w:lang w:eastAsia="zh-HK"/>
        </w:rPr>
        <w:t xml:space="preserve"> </w:t>
      </w:r>
      <w:r w:rsidRPr="00307F82">
        <w:rPr>
          <w:rFonts w:hint="eastAsia"/>
          <w:shd w:val="clear" w:color="auto" w:fill="FFFFFF"/>
          <w:lang w:eastAsia="zh-HK"/>
        </w:rPr>
        <w:t>As regards the Librarian grade officers, they are mainly responsible for library services.  T</w:t>
      </w:r>
      <w:r w:rsidRPr="00307F82">
        <w:rPr>
          <w:shd w:val="clear" w:color="auto" w:fill="FFFFFF"/>
          <w:lang w:eastAsia="zh-HK"/>
        </w:rPr>
        <w:t xml:space="preserve">he entry requirements </w:t>
      </w:r>
      <w:r w:rsidRPr="00307F82">
        <w:rPr>
          <w:rFonts w:hint="eastAsia"/>
          <w:shd w:val="clear" w:color="auto" w:fill="FFFFFF"/>
          <w:lang w:eastAsia="zh-HK"/>
        </w:rPr>
        <w:t xml:space="preserve">of </w:t>
      </w:r>
      <w:r w:rsidRPr="00307F82">
        <w:rPr>
          <w:shd w:val="clear" w:color="auto" w:fill="FFFFFF"/>
          <w:lang w:eastAsia="zh-HK"/>
        </w:rPr>
        <w:t>the Librarian grade include a bachelor's degree, good language proficiency in Chinese and English as well as a pass in the Aptitude Test in the Common Recruitment Examination.  O</w:t>
      </w:r>
      <w:r w:rsidRPr="00307F82">
        <w:rPr>
          <w:rFonts w:hint="eastAsia"/>
          <w:shd w:val="clear" w:color="auto" w:fill="FFFFFF"/>
          <w:lang w:eastAsia="zh-HK"/>
        </w:rPr>
        <w:t>fficers at</w:t>
      </w:r>
      <w:r w:rsidRPr="00307F82">
        <w:rPr>
          <w:shd w:val="clear" w:color="auto" w:fill="FFFFFF"/>
          <w:lang w:eastAsia="zh-HK"/>
        </w:rPr>
        <w:t xml:space="preserve"> the rank of Librarian</w:t>
      </w:r>
      <w:r w:rsidRPr="00307F82">
        <w:rPr>
          <w:rFonts w:hint="eastAsia"/>
          <w:shd w:val="clear" w:color="auto" w:fill="FFFFFF"/>
          <w:lang w:eastAsia="zh-HK"/>
        </w:rPr>
        <w:t xml:space="preserve"> </w:t>
      </w:r>
      <w:r w:rsidRPr="00307F82">
        <w:rPr>
          <w:shd w:val="clear" w:color="auto" w:fill="FFFFFF"/>
          <w:lang w:eastAsia="zh-HK"/>
        </w:rPr>
        <w:t>have obtained a diploma in librarianship</w:t>
      </w:r>
      <w:r w:rsidRPr="00307F82">
        <w:rPr>
          <w:rFonts w:hint="eastAsia"/>
          <w:shd w:val="clear" w:color="auto" w:fill="FFFFFF"/>
          <w:lang w:eastAsia="zh-HK"/>
        </w:rPr>
        <w:t xml:space="preserve"> </w:t>
      </w:r>
      <w:r w:rsidRPr="00307F82">
        <w:rPr>
          <w:shd w:val="clear" w:color="auto" w:fill="FFFFFF"/>
          <w:lang w:eastAsia="zh-HK"/>
        </w:rPr>
        <w:t>or a full Membership of the Hong Kong Library Association or equivalent.</w:t>
      </w:r>
      <w:r w:rsidRPr="00550B6E">
        <w:rPr>
          <w:rFonts w:hint="eastAsia"/>
          <w:i/>
          <w:lang w:eastAsia="zh-HK"/>
        </w:rPr>
        <w:t xml:space="preserve"> </w:t>
      </w:r>
    </w:p>
    <w:p w:rsidR="008D1C0B" w:rsidRDefault="008D1C0B">
      <w:pPr>
        <w:tabs>
          <w:tab w:val="clear" w:pos="1418"/>
          <w:tab w:val="left" w:pos="1440"/>
        </w:tabs>
        <w:rPr>
          <w:i/>
          <w:color w:val="FF0000"/>
          <w:lang w:eastAsia="zh-HK"/>
        </w:rPr>
      </w:pPr>
    </w:p>
    <w:p w:rsidR="008D1C0B" w:rsidRPr="00550B6E" w:rsidRDefault="008D1C0B">
      <w:pPr>
        <w:tabs>
          <w:tab w:val="clear" w:pos="1418"/>
          <w:tab w:val="left" w:pos="1440"/>
        </w:tabs>
        <w:rPr>
          <w:i/>
          <w:lang w:eastAsia="zh-HK"/>
        </w:rPr>
      </w:pPr>
      <w:r w:rsidRPr="00550B6E">
        <w:rPr>
          <w:rFonts w:hint="eastAsia"/>
          <w:lang w:eastAsia="zh-HK"/>
        </w:rPr>
        <w:t>1.15</w:t>
      </w:r>
      <w:r w:rsidRPr="00550B6E">
        <w:rPr>
          <w:rFonts w:hint="eastAsia"/>
          <w:i/>
          <w:lang w:eastAsia="zh-HK"/>
        </w:rPr>
        <w:tab/>
      </w:r>
      <w:r w:rsidRPr="00550B6E">
        <w:rPr>
          <w:lang w:eastAsia="zh-HK"/>
        </w:rPr>
        <w:t>Executive Officers specialise in office administration, personnel, systems and resource management.  Among their great variety of duties are records management and the supervision of the operation of filing registries in B/Ds.</w:t>
      </w:r>
      <w:r w:rsidRPr="00550B6E">
        <w:rPr>
          <w:rFonts w:hint="eastAsia"/>
          <w:i/>
          <w:lang w:eastAsia="zh-HK"/>
        </w:rPr>
        <w:t xml:space="preserve">  </w:t>
      </w:r>
      <w:r w:rsidRPr="00550B6E">
        <w:rPr>
          <w:lang w:eastAsia="zh-HK"/>
        </w:rPr>
        <w:t>The entry requirements of Executive Officer grade include a bachelor</w:t>
      </w:r>
      <w:r>
        <w:rPr>
          <w:lang w:eastAsia="zh-HK"/>
        </w:rPr>
        <w:t>'</w:t>
      </w:r>
      <w:r w:rsidRPr="00550B6E">
        <w:rPr>
          <w:lang w:eastAsia="zh-HK"/>
        </w:rPr>
        <w:t>s degree, and good language proficiency in Chinese and English as well as a pass in the Aptitude Test in the Common Recruitment Examination.  After joining the service, Executive Officer</w:t>
      </w:r>
      <w:r w:rsidRPr="00550B6E">
        <w:rPr>
          <w:lang w:val="en-US" w:eastAsia="zh-HK"/>
        </w:rPr>
        <w:t>s</w:t>
      </w:r>
      <w:r w:rsidRPr="00550B6E">
        <w:rPr>
          <w:lang w:eastAsia="zh-HK"/>
        </w:rPr>
        <w:t xml:space="preserve"> receive training at various stages of their careers.  The training programme of Executive Officer II includes a session on records management.  On promotion to the Executive Officer I rank, they have to participate in a comprehensive records management module in the management development programme.  For those taking up records management duties in GRS, they are required to enrol in the Association for Intelligent Information Management</w:t>
      </w:r>
      <w:r>
        <w:rPr>
          <w:lang w:eastAsia="zh-HK"/>
        </w:rPr>
        <w:t>'</w:t>
      </w:r>
      <w:r w:rsidRPr="00550B6E">
        <w:rPr>
          <w:rFonts w:hint="eastAsia"/>
          <w:lang w:eastAsia="zh-HK"/>
        </w:rPr>
        <w:t>s</w:t>
      </w:r>
      <w:r w:rsidRPr="00550B6E">
        <w:rPr>
          <w:lang w:eastAsia="zh-HK"/>
        </w:rPr>
        <w:t xml:space="preserve"> Electronic Records Management Certificate Programmes.</w:t>
      </w:r>
      <w:r>
        <w:rPr>
          <w:rStyle w:val="FootnoteReference"/>
          <w:lang w:eastAsia="zh-HK"/>
        </w:rPr>
        <w:footnoteReference w:id="22"/>
      </w:r>
      <w:r w:rsidRPr="00550B6E">
        <w:rPr>
          <w:lang w:eastAsia="zh-HK"/>
        </w:rPr>
        <w:t xml:space="preserve"> </w:t>
      </w:r>
    </w:p>
    <w:p w:rsidR="008D1C0B" w:rsidRDefault="008D1C0B" w:rsidP="00331EDA">
      <w:pPr>
        <w:pStyle w:val="Heading3"/>
        <w:keepNext w:val="0"/>
        <w:jc w:val="both"/>
        <w:rPr>
          <w:lang w:eastAsia="zh-HK"/>
        </w:rPr>
      </w:pPr>
    </w:p>
    <w:p w:rsidR="008D1C0B" w:rsidRPr="00B72570" w:rsidRDefault="008D1C0B" w:rsidP="00331EDA">
      <w:pPr>
        <w:rPr>
          <w:lang w:eastAsia="zh-HK"/>
        </w:rPr>
      </w:pPr>
    </w:p>
    <w:p w:rsidR="008D1C0B" w:rsidRDefault="008D1C0B" w:rsidP="00331EDA">
      <w:pPr>
        <w:pStyle w:val="Heading3"/>
        <w:keepNext w:val="0"/>
        <w:jc w:val="both"/>
        <w:rPr>
          <w:b w:val="0"/>
          <w:color w:val="FF0000"/>
          <w:lang w:eastAsia="zh-HK"/>
        </w:rPr>
      </w:pPr>
      <w:r>
        <w:rPr>
          <w:lang w:eastAsia="zh-HK"/>
        </w:rPr>
        <w:t>Staff training</w:t>
      </w:r>
      <w:r>
        <w:rPr>
          <w:rFonts w:hint="eastAsia"/>
          <w:lang w:eastAsia="zh-HK"/>
        </w:rPr>
        <w:t xml:space="preserve"> </w:t>
      </w:r>
      <w:r>
        <w:rPr>
          <w:rFonts w:hint="eastAsia"/>
          <w:b w:val="0"/>
          <w:color w:val="FF0000"/>
          <w:lang w:eastAsia="zh-HK"/>
        </w:rPr>
        <w:t xml:space="preserve"> </w:t>
      </w:r>
    </w:p>
    <w:p w:rsidR="008D1C0B" w:rsidRDefault="008D1C0B" w:rsidP="00331EDA">
      <w:pPr>
        <w:pStyle w:val="Heading3"/>
        <w:keepNext w:val="0"/>
        <w:jc w:val="both"/>
        <w:rPr>
          <w:b w:val="0"/>
          <w:color w:val="FF0000"/>
          <w:lang w:eastAsia="zh-HK"/>
        </w:rPr>
      </w:pPr>
    </w:p>
    <w:p w:rsidR="008D1C0B" w:rsidRPr="00550B6E" w:rsidRDefault="008D1C0B" w:rsidP="00331EDA">
      <w:pPr>
        <w:pStyle w:val="Heading3"/>
        <w:keepNext w:val="0"/>
        <w:jc w:val="both"/>
        <w:rPr>
          <w:b w:val="0"/>
          <w:i w:val="0"/>
          <w:lang w:eastAsia="zh-HK"/>
        </w:rPr>
      </w:pPr>
      <w:r w:rsidRPr="00550B6E">
        <w:rPr>
          <w:b w:val="0"/>
          <w:i w:val="0"/>
          <w:lang w:eastAsia="zh-HK"/>
        </w:rPr>
        <w:t>1.16</w:t>
      </w:r>
      <w:r w:rsidRPr="00550B6E">
        <w:rPr>
          <w:b w:val="0"/>
          <w:i w:val="0"/>
          <w:lang w:eastAsia="zh-HK"/>
        </w:rPr>
        <w:tab/>
      </w:r>
      <w:r w:rsidRPr="00550B6E">
        <w:rPr>
          <w:b w:val="0"/>
          <w:i w:val="0"/>
          <w:lang w:eastAsia="zh-HK"/>
        </w:rPr>
        <w:tab/>
        <w:t>GRS has developed a structured training and development programme to equip its staff to face the challenges of paradigm shift, particularly in view of the extensive use of electronic means to conduct business resulting in substantial growth in electronic records.  The training programme is a combination of online courses/webinars on archives and records management as well as digital preservation provided by recognised professional bodies.  Moreover, GRS has arranged its staff to attend duty visits and professional conferences overseas so as to widen their exposure to international best practices.</w:t>
      </w:r>
      <w:r w:rsidRPr="00550B6E">
        <w:rPr>
          <w:rStyle w:val="FootnoteReference"/>
          <w:b w:val="0"/>
          <w:i w:val="0"/>
          <w:lang w:eastAsia="zh-HK"/>
        </w:rPr>
        <w:footnoteReference w:id="23"/>
      </w:r>
    </w:p>
    <w:p w:rsidR="008D1C0B" w:rsidRDefault="008D1C0B">
      <w:pPr>
        <w:pStyle w:val="ListParagraph"/>
        <w:tabs>
          <w:tab w:val="clear" w:pos="1418"/>
          <w:tab w:val="left" w:pos="1440"/>
        </w:tabs>
        <w:ind w:left="0"/>
        <w:rPr>
          <w:rFonts w:cs="Arial"/>
        </w:rPr>
      </w:pPr>
    </w:p>
    <w:p w:rsidR="008D1C0B" w:rsidRDefault="008D1C0B">
      <w:pPr>
        <w:pStyle w:val="Heading2"/>
      </w:pPr>
      <w:r>
        <w:lastRenderedPageBreak/>
        <w:t xml:space="preserve">Facilities in GRS </w:t>
      </w:r>
    </w:p>
    <w:p w:rsidR="008D1C0B" w:rsidRDefault="008D1C0B" w:rsidP="00331EDA">
      <w:pPr>
        <w:keepNext/>
        <w:tabs>
          <w:tab w:val="clear" w:pos="1418"/>
          <w:tab w:val="left" w:pos="1440"/>
        </w:tabs>
        <w:ind w:left="272"/>
        <w:rPr>
          <w:rFonts w:cs="Arial"/>
        </w:rPr>
      </w:pPr>
    </w:p>
    <w:p w:rsidR="008D1C0B" w:rsidRDefault="008D1C0B">
      <w:r>
        <w:rPr>
          <w:rFonts w:hint="eastAsia"/>
        </w:rPr>
        <w:t>1.1</w:t>
      </w:r>
      <w:r>
        <w:t>7</w:t>
      </w:r>
      <w:r>
        <w:tab/>
      </w:r>
      <w:r>
        <w:rPr>
          <w:rFonts w:hint="eastAsia"/>
        </w:rPr>
        <w:tab/>
      </w:r>
      <w:r>
        <w:t>The GRS' purpose-built archival facility for preservation of archival and library holdings, namely, the Hong Kong Public Records Building, was opened in 1997.</w:t>
      </w:r>
      <w:r>
        <w:rPr>
          <w:rStyle w:val="FootnoteReference"/>
          <w:rFonts w:cs="Arial"/>
        </w:rPr>
        <w:footnoteReference w:id="24"/>
      </w:r>
      <w:r>
        <w:t xml:space="preserve">  It provides </w:t>
      </w:r>
      <w:r>
        <w:rPr>
          <w:rFonts w:hint="eastAsia"/>
        </w:rPr>
        <w:t xml:space="preserve">a </w:t>
      </w:r>
      <w:r>
        <w:rPr>
          <w:rFonts w:hint="eastAsia"/>
          <w:lang w:eastAsia="zh-HK"/>
        </w:rPr>
        <w:t xml:space="preserve">permanent and suitable environment as well as </w:t>
      </w:r>
      <w:r>
        <w:t>preservation support to archival and library holding</w:t>
      </w:r>
      <w:r>
        <w:rPr>
          <w:rFonts w:hint="eastAsia"/>
        </w:rPr>
        <w:t>s</w:t>
      </w:r>
      <w:r>
        <w:t xml:space="preserve">, including archival and library repositories, </w:t>
      </w:r>
      <w:r>
        <w:rPr>
          <w:rFonts w:hint="eastAsia"/>
          <w:lang w:eastAsia="zh-HK"/>
        </w:rPr>
        <w:t xml:space="preserve">preservation </w:t>
      </w:r>
      <w:r>
        <w:t xml:space="preserve">laboratories, </w:t>
      </w:r>
      <w:r>
        <w:rPr>
          <w:rFonts w:hint="eastAsia"/>
          <w:lang w:eastAsia="zh-HK"/>
        </w:rPr>
        <w:t xml:space="preserve">advanced </w:t>
      </w:r>
      <w:r>
        <w:t>digital imaging equipment, microfilm</w:t>
      </w:r>
      <w:r>
        <w:rPr>
          <w:rFonts w:hint="eastAsia"/>
          <w:lang w:eastAsia="zh-HK"/>
        </w:rPr>
        <w:t>ers</w:t>
      </w:r>
      <w:r>
        <w:t xml:space="preserve"> and associated film process</w:t>
      </w:r>
      <w:r>
        <w:rPr>
          <w:rFonts w:hint="eastAsia"/>
          <w:lang w:eastAsia="zh-HK"/>
        </w:rPr>
        <w:t>ing</w:t>
      </w:r>
      <w:r>
        <w:t xml:space="preserve"> facilities.  The building also houses a search room for visitors to consult the </w:t>
      </w:r>
      <w:r>
        <w:rPr>
          <w:rFonts w:hint="eastAsia"/>
          <w:lang w:eastAsia="zh-HK"/>
        </w:rPr>
        <w:t xml:space="preserve">archival </w:t>
      </w:r>
      <w:r>
        <w:t>records and other</w:t>
      </w:r>
      <w:r>
        <w:rPr>
          <w:rFonts w:hint="eastAsia"/>
          <w:lang w:eastAsia="zh-HK"/>
        </w:rPr>
        <w:t xml:space="preserve"> </w:t>
      </w:r>
      <w:r>
        <w:t xml:space="preserve">materials, an exhibition hall and also a lecture room.  In addition, the Records Management </w:t>
      </w:r>
      <w:r>
        <w:rPr>
          <w:rFonts w:hint="eastAsia"/>
          <w:lang w:eastAsia="zh-HK"/>
        </w:rPr>
        <w:t xml:space="preserve">and </w:t>
      </w:r>
      <w:r>
        <w:t>Administration Office operates two Records Centres</w:t>
      </w:r>
      <w:r>
        <w:rPr>
          <w:rStyle w:val="FootnoteReference"/>
          <w:rFonts w:cs="Arial"/>
        </w:rPr>
        <w:footnoteReference w:id="25"/>
      </w:r>
      <w:r>
        <w:t xml:space="preserve"> which offer intermediate storage service for inactive records of B/Ds.  </w:t>
      </w:r>
    </w:p>
    <w:p w:rsidR="008D1C0B" w:rsidRDefault="008D1C0B">
      <w:pPr>
        <w:tabs>
          <w:tab w:val="clear" w:pos="1418"/>
          <w:tab w:val="left" w:pos="1440"/>
        </w:tabs>
        <w:ind w:left="270"/>
        <w:rPr>
          <w:rFonts w:cs="Arial"/>
        </w:rPr>
      </w:pPr>
    </w:p>
    <w:p w:rsidR="008D1C0B" w:rsidRDefault="008D1C0B">
      <w:r>
        <w:rPr>
          <w:rFonts w:hint="eastAsia"/>
        </w:rPr>
        <w:t>1.</w:t>
      </w:r>
      <w:r>
        <w:t>18</w:t>
      </w:r>
      <w:r>
        <w:tab/>
      </w:r>
      <w:r>
        <w:rPr>
          <w:rFonts w:hint="eastAsia"/>
        </w:rPr>
        <w:tab/>
      </w:r>
      <w:r>
        <w:t xml:space="preserve">The GRS also operates the Central Preservation Library for Government Publications which preserves selected government publications and printed materials with permanent value as Hong Kong's documentary heritage.  Its holdings include publications, reports and printed materials on Hong Kong in different formats, dating back to as early as 1840s.  As at the end of December </w:t>
      </w:r>
      <w:r>
        <w:rPr>
          <w:lang w:eastAsia="zh-HK"/>
        </w:rPr>
        <w:t>2017</w:t>
      </w:r>
      <w:r>
        <w:t xml:space="preserve">, it preserved around </w:t>
      </w:r>
      <w:r>
        <w:rPr>
          <w:rFonts w:hint="eastAsia"/>
          <w:lang w:eastAsia="zh-HK"/>
        </w:rPr>
        <w:t>43,</w:t>
      </w:r>
      <w:r>
        <w:rPr>
          <w:lang w:eastAsia="zh-HK"/>
        </w:rPr>
        <w:t>4</w:t>
      </w:r>
      <w:r>
        <w:rPr>
          <w:rFonts w:hint="eastAsia"/>
          <w:lang w:eastAsia="zh-HK"/>
        </w:rPr>
        <w:t xml:space="preserve">00 </w:t>
      </w:r>
      <w:r>
        <w:t>publications</w:t>
      </w:r>
      <w:r>
        <w:rPr>
          <w:rFonts w:hint="eastAsia"/>
        </w:rPr>
        <w:t>.</w:t>
      </w:r>
      <w:r>
        <w:rPr>
          <w:rStyle w:val="FootnoteReference"/>
          <w:rFonts w:cs="Arial"/>
        </w:rPr>
        <w:footnoteReference w:id="26"/>
      </w:r>
      <w:r>
        <w:t xml:space="preserve">  </w:t>
      </w:r>
    </w:p>
    <w:p w:rsidR="008D1C0B" w:rsidRDefault="008D1C0B">
      <w:pPr>
        <w:tabs>
          <w:tab w:val="clear" w:pos="1418"/>
          <w:tab w:val="left" w:pos="1440"/>
        </w:tabs>
        <w:rPr>
          <w:rFonts w:cs="Arial"/>
        </w:rPr>
      </w:pPr>
    </w:p>
    <w:p w:rsidR="008D1C0B" w:rsidRDefault="008D1C0B">
      <w:pPr>
        <w:tabs>
          <w:tab w:val="clear" w:pos="1418"/>
          <w:tab w:val="left" w:pos="1440"/>
        </w:tabs>
        <w:rPr>
          <w:rFonts w:cs="Arial"/>
        </w:rPr>
      </w:pPr>
    </w:p>
    <w:p w:rsidR="008D1C0B" w:rsidRDefault="008D1C0B">
      <w:pPr>
        <w:pStyle w:val="Heading2"/>
        <w:rPr>
          <w:lang w:eastAsia="zh-HK"/>
        </w:rPr>
      </w:pPr>
      <w:r>
        <w:t>Comments</w:t>
      </w:r>
      <w:r>
        <w:rPr>
          <w:rFonts w:hint="eastAsia"/>
          <w:lang w:eastAsia="zh-HK"/>
        </w:rPr>
        <w:t xml:space="preserve"> </w:t>
      </w:r>
    </w:p>
    <w:p w:rsidR="008D1C0B" w:rsidRDefault="008D1C0B">
      <w:pPr>
        <w:keepNext/>
        <w:tabs>
          <w:tab w:val="clear" w:pos="1418"/>
          <w:tab w:val="left" w:pos="1440"/>
        </w:tabs>
        <w:rPr>
          <w:rFonts w:cs="Arial"/>
        </w:rPr>
      </w:pPr>
    </w:p>
    <w:p w:rsidR="008D1C0B" w:rsidRDefault="008D1C0B">
      <w:pPr>
        <w:tabs>
          <w:tab w:val="clear" w:pos="1418"/>
          <w:tab w:val="left" w:pos="1440"/>
        </w:tabs>
        <w:rPr>
          <w:rFonts w:cs="Arial"/>
        </w:rPr>
      </w:pPr>
      <w:r>
        <w:rPr>
          <w:rFonts w:cs="Arial"/>
        </w:rPr>
        <w:t>1.19</w:t>
      </w:r>
      <w:r>
        <w:rPr>
          <w:rFonts w:cs="Arial"/>
        </w:rPr>
        <w:tab/>
        <w:t>The administrative public records management system discussed in this chapter has been subject to scrutiny in recent years, for example the reports issued by the Civic Exchange in 2007</w:t>
      </w:r>
      <w:r>
        <w:rPr>
          <w:rStyle w:val="FootnoteReference"/>
          <w:rFonts w:cs="Arial"/>
        </w:rPr>
        <w:footnoteReference w:id="27"/>
      </w:r>
      <w:r>
        <w:rPr>
          <w:rFonts w:cs="Arial"/>
        </w:rPr>
        <w:t xml:space="preserve"> ("</w:t>
      </w:r>
      <w:r>
        <w:rPr>
          <w:rFonts w:cs="Arial"/>
          <w:b/>
        </w:rPr>
        <w:t>2007 Civic Exchange Report</w:t>
      </w:r>
      <w:r>
        <w:rPr>
          <w:rFonts w:cs="Arial"/>
        </w:rPr>
        <w:t>") and 2011</w:t>
      </w:r>
      <w:r>
        <w:rPr>
          <w:rStyle w:val="FootnoteReference"/>
          <w:rFonts w:cs="Arial"/>
        </w:rPr>
        <w:footnoteReference w:id="28"/>
      </w:r>
      <w:r>
        <w:rPr>
          <w:rFonts w:cs="Arial"/>
        </w:rPr>
        <w:t xml:space="preserve"> ("</w:t>
      </w:r>
      <w:r>
        <w:rPr>
          <w:rFonts w:cs="Arial"/>
          <w:b/>
        </w:rPr>
        <w:t>2011 Civic Exchange Report</w:t>
      </w:r>
      <w:r>
        <w:rPr>
          <w:rFonts w:cs="Arial"/>
        </w:rPr>
        <w:t>"), report by the Audit Commission in 2011</w:t>
      </w:r>
      <w:r>
        <w:rPr>
          <w:rStyle w:val="FootnoteReference"/>
          <w:rFonts w:cs="Arial"/>
        </w:rPr>
        <w:footnoteReference w:id="29"/>
      </w:r>
      <w:r>
        <w:rPr>
          <w:rFonts w:cs="Arial"/>
        </w:rPr>
        <w:t xml:space="preserve"> ("</w:t>
      </w:r>
      <w:r>
        <w:rPr>
          <w:rFonts w:cs="Arial"/>
          <w:b/>
        </w:rPr>
        <w:t>Audit Commission's Report</w:t>
      </w:r>
      <w:r>
        <w:rPr>
          <w:rFonts w:cs="Arial"/>
        </w:rPr>
        <w:t>") and report by The Ombudsman in 2014</w:t>
      </w:r>
      <w:r>
        <w:rPr>
          <w:rStyle w:val="FootnoteReference"/>
          <w:rFonts w:cs="Arial"/>
        </w:rPr>
        <w:footnoteReference w:id="30"/>
      </w:r>
      <w:r>
        <w:rPr>
          <w:rFonts w:cs="Arial"/>
        </w:rPr>
        <w:t xml:space="preserve"> ("</w:t>
      </w:r>
      <w:r>
        <w:rPr>
          <w:rFonts w:cs="Arial"/>
          <w:b/>
        </w:rPr>
        <w:t>Ombudsman's Report</w:t>
      </w:r>
      <w:r>
        <w:rPr>
          <w:rFonts w:cs="Arial"/>
        </w:rPr>
        <w:t xml:space="preserve">").  Comments are also found in news articles and other publications some of which call for an </w:t>
      </w:r>
      <w:r>
        <w:rPr>
          <w:rFonts w:cs="Arial"/>
        </w:rPr>
        <w:lastRenderedPageBreak/>
        <w:t>archives law.</w:t>
      </w:r>
      <w:r>
        <w:rPr>
          <w:rStyle w:val="FootnoteReference"/>
          <w:rFonts w:cs="Arial"/>
        </w:rPr>
        <w:footnoteReference w:id="31"/>
      </w:r>
      <w:r>
        <w:rPr>
          <w:rFonts w:cs="Arial"/>
        </w:rPr>
        <w:t xml:space="preserve">  Incidents involving destruction or unavailability of public records were also cited in some of these publications to illustrate the problems of the public records management system in Hong Kong.</w:t>
      </w:r>
      <w:r>
        <w:rPr>
          <w:rStyle w:val="FootnoteReference"/>
          <w:rFonts w:cs="Arial"/>
        </w:rPr>
        <w:footnoteReference w:id="32"/>
      </w:r>
      <w:r>
        <w:rPr>
          <w:rFonts w:cs="Arial"/>
        </w:rPr>
        <w:t xml:space="preserve">  Shortcomings in B/Ds' management of records have also been mentioned by the courts.</w:t>
      </w:r>
      <w:r>
        <w:rPr>
          <w:rStyle w:val="FootnoteReference"/>
          <w:rFonts w:cs="Arial"/>
        </w:rPr>
        <w:footnoteReference w:id="33"/>
      </w:r>
    </w:p>
    <w:p w:rsidR="008D1C0B" w:rsidRDefault="008D1C0B">
      <w:pPr>
        <w:tabs>
          <w:tab w:val="clear" w:pos="1418"/>
          <w:tab w:val="left" w:pos="1440"/>
        </w:tabs>
        <w:rPr>
          <w:rFonts w:cs="Arial"/>
        </w:rPr>
      </w:pPr>
    </w:p>
    <w:p w:rsidR="008D1C0B" w:rsidRDefault="008D1C0B">
      <w:r>
        <w:t>1.20</w:t>
      </w:r>
      <w:r>
        <w:tab/>
      </w:r>
      <w:r>
        <w:tab/>
        <w:t>In a Legislative Council ("</w:t>
      </w:r>
      <w:r w:rsidRPr="00550B6E">
        <w:rPr>
          <w:b/>
        </w:rPr>
        <w:t>LegCo</w:t>
      </w:r>
      <w:r>
        <w:t>") debate on the motion of "Enacting an archives law" on 16 November 2011, members supporting the motion referred to alleged defects in the Government's administrative system and argued that Hong Kong lagged behind other jurisdictions which all have an archives law.  The motion was eventually not passed,</w:t>
      </w:r>
      <w:r>
        <w:rPr>
          <w:rStyle w:val="FootnoteReference"/>
          <w:rFonts w:cs="Arial"/>
        </w:rPr>
        <w:footnoteReference w:id="34"/>
      </w:r>
      <w:r>
        <w:t xml:space="preserve"> but demands for an archives law have continued.  In 2017, three LegCo members sought to introduce the Public Records Bill as a private member's bill.</w:t>
      </w:r>
      <w:r>
        <w:rPr>
          <w:rStyle w:val="FootnoteReference"/>
          <w:rFonts w:cs="Arial"/>
        </w:rPr>
        <w:footnoteReference w:id="35"/>
      </w:r>
      <w:r>
        <w:t xml:space="preserve">  </w:t>
      </w:r>
    </w:p>
    <w:p w:rsidR="008D1C0B" w:rsidRDefault="008D1C0B">
      <w:pPr>
        <w:pStyle w:val="ListParagraph"/>
        <w:ind w:left="0"/>
        <w:rPr>
          <w:rFonts w:cs="Arial"/>
        </w:rPr>
      </w:pPr>
    </w:p>
    <w:p w:rsidR="008D1C0B" w:rsidRDefault="008D1C0B">
      <w:r>
        <w:t>1.21</w:t>
      </w:r>
      <w:r>
        <w:tab/>
      </w:r>
      <w:r>
        <w:rPr>
          <w:rFonts w:hint="eastAsia"/>
        </w:rPr>
        <w:tab/>
      </w:r>
      <w:r>
        <w:t>Having reviewed the foregoing reports, judgments and publications, we set out below their main comments for the sake of completeness of this introductory chapter -</w:t>
      </w:r>
    </w:p>
    <w:p w:rsidR="008D1C0B" w:rsidRDefault="008D1C0B">
      <w:pPr>
        <w:tabs>
          <w:tab w:val="clear" w:pos="1418"/>
          <w:tab w:val="left" w:pos="1440"/>
        </w:tabs>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rPr>
        <w:t>administrative rules and guidelines being nullified by records-related legislation;</w:t>
      </w:r>
    </w:p>
    <w:p w:rsidR="008D1C0B" w:rsidRDefault="008D1C0B">
      <w:pPr>
        <w:pStyle w:val="ListParagraph"/>
        <w:ind w:left="1440" w:hanging="720"/>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rPr>
        <w:t>limited coverage of the current administrative records management framework;</w:t>
      </w:r>
    </w:p>
    <w:p w:rsidR="008D1C0B" w:rsidRDefault="008D1C0B">
      <w:pPr>
        <w:pStyle w:val="ListParagraph"/>
        <w:ind w:left="1440" w:hanging="720"/>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rPr>
        <w:t xml:space="preserve">lack of </w:t>
      </w:r>
      <w:r>
        <w:rPr>
          <w:rFonts w:cs="Arial" w:hint="eastAsia"/>
          <w:lang w:eastAsia="zh-HK"/>
        </w:rPr>
        <w:t>support of any advisory body in carrying out GRS</w:t>
      </w:r>
      <w:r>
        <w:rPr>
          <w:rFonts w:cs="Arial"/>
          <w:lang w:eastAsia="zh-HK"/>
        </w:rPr>
        <w:t>'</w:t>
      </w:r>
      <w:r>
        <w:rPr>
          <w:rFonts w:cs="Arial" w:hint="eastAsia"/>
          <w:lang w:eastAsia="zh-HK"/>
        </w:rPr>
        <w:t xml:space="preserve"> mission to ensure proper management of government records</w:t>
      </w:r>
      <w:r>
        <w:rPr>
          <w:rFonts w:cs="Arial"/>
        </w:rPr>
        <w:t>;</w:t>
      </w:r>
    </w:p>
    <w:p w:rsidR="008D1C0B" w:rsidRDefault="008D1C0B">
      <w:pPr>
        <w:pStyle w:val="ListParagraph"/>
        <w:ind w:left="1440" w:hanging="720"/>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lang w:eastAsia="zh-HK"/>
        </w:rPr>
        <w:t>i</w:t>
      </w:r>
      <w:r>
        <w:rPr>
          <w:rFonts w:cs="Arial" w:hint="eastAsia"/>
          <w:lang w:eastAsia="zh-HK"/>
        </w:rPr>
        <w:t>n</w:t>
      </w:r>
      <w:r>
        <w:rPr>
          <w:rFonts w:cs="Arial"/>
        </w:rPr>
        <w:t>effective compliance framework;</w:t>
      </w:r>
    </w:p>
    <w:p w:rsidR="008D1C0B" w:rsidRDefault="008D1C0B">
      <w:pPr>
        <w:ind w:left="1440" w:hanging="720"/>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lang w:eastAsia="zh-HK"/>
        </w:rPr>
        <w:t>i</w:t>
      </w:r>
      <w:r>
        <w:rPr>
          <w:rFonts w:cs="Arial" w:hint="eastAsia"/>
          <w:lang w:eastAsia="zh-HK"/>
        </w:rPr>
        <w:t>nadequacies</w:t>
      </w:r>
      <w:r>
        <w:rPr>
          <w:rFonts w:cs="Arial"/>
        </w:rPr>
        <w:t xml:space="preserve"> in the administration and operations of GRS itself;</w:t>
      </w:r>
    </w:p>
    <w:p w:rsidR="008D1C0B" w:rsidRDefault="008D1C0B">
      <w:pPr>
        <w:pStyle w:val="ListParagraph"/>
        <w:ind w:left="1440" w:hanging="720"/>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rPr>
        <w:t>inappropriateness of the "30-year rule" on transfer of records to GRS for appraisal and retention; and</w:t>
      </w:r>
    </w:p>
    <w:p w:rsidR="008D1C0B" w:rsidRDefault="008D1C0B">
      <w:pPr>
        <w:pStyle w:val="ListParagraph"/>
        <w:ind w:left="1440" w:hanging="720"/>
        <w:rPr>
          <w:rFonts w:cs="Arial"/>
        </w:rPr>
      </w:pPr>
    </w:p>
    <w:p w:rsidR="008D1C0B" w:rsidRDefault="008D1C0B" w:rsidP="00D86E22">
      <w:pPr>
        <w:pStyle w:val="ListParagraph"/>
        <w:widowControl/>
        <w:numPr>
          <w:ilvl w:val="0"/>
          <w:numId w:val="22"/>
        </w:numPr>
        <w:ind w:left="1440" w:hanging="720"/>
        <w:contextualSpacing w:val="0"/>
        <w:rPr>
          <w:rFonts w:cs="Arial"/>
        </w:rPr>
      </w:pPr>
      <w:r>
        <w:rPr>
          <w:rFonts w:cs="Arial"/>
        </w:rPr>
        <w:t>lack of legal backing of the existing regime.</w:t>
      </w:r>
    </w:p>
    <w:p w:rsidR="008D1C0B" w:rsidRDefault="008D1C0B">
      <w:pPr>
        <w:snapToGrid/>
        <w:jc w:val="left"/>
      </w:pPr>
    </w:p>
    <w:p w:rsidR="008D1C0B" w:rsidRDefault="008D1C0B">
      <w:r>
        <w:t>1.22</w:t>
      </w:r>
      <w:r>
        <w:tab/>
      </w:r>
      <w:r>
        <w:rPr>
          <w:rFonts w:hint="eastAsia"/>
        </w:rPr>
        <w:tab/>
      </w:r>
      <w:r>
        <w:t xml:space="preserve">In the following chapters, we will examine each of the above comments by conducting comparative studies and setting out Government's responses and positive measures taken to address them, and will then set out our provisional </w:t>
      </w:r>
      <w:r w:rsidRPr="006F683A">
        <w:t xml:space="preserve">view(s) </w:t>
      </w:r>
      <w:r>
        <w:t xml:space="preserve">and/or draw up a list of consultation questions. </w:t>
      </w:r>
    </w:p>
    <w:p w:rsidR="008D1C0B" w:rsidRDefault="008D1C0B">
      <w:pPr>
        <w:tabs>
          <w:tab w:val="clear" w:pos="1418"/>
          <w:tab w:val="left" w:pos="1440"/>
        </w:tabs>
      </w:pPr>
    </w:p>
    <w:p w:rsidR="008D1C0B" w:rsidRDefault="008D1C0B">
      <w:pPr>
        <w:tabs>
          <w:tab w:val="clear" w:pos="1418"/>
          <w:tab w:val="left" w:pos="1440"/>
        </w:tabs>
        <w:rPr>
          <w:rFonts w:cs="Arial"/>
          <w:i/>
          <w:sz w:val="20"/>
        </w:rPr>
      </w:pPr>
    </w:p>
    <w:p w:rsidR="008D1C0B" w:rsidRDefault="008D1C0B">
      <w:pPr>
        <w:tabs>
          <w:tab w:val="clear" w:pos="1418"/>
          <w:tab w:val="left" w:pos="1440"/>
        </w:tabs>
        <w:rPr>
          <w:rFonts w:cs="Arial"/>
          <w:i/>
          <w:sz w:val="20"/>
        </w:rPr>
      </w:pPr>
    </w:p>
    <w:p w:rsidR="008D1C0B" w:rsidRDefault="008D1C0B">
      <w:pPr>
        <w:tabs>
          <w:tab w:val="clear" w:pos="1418"/>
          <w:tab w:val="left" w:pos="1440"/>
        </w:tabs>
        <w:rPr>
          <w:rFonts w:cs="Arial"/>
          <w:i/>
          <w:sz w:val="20"/>
        </w:rPr>
      </w:pPr>
    </w:p>
    <w:p w:rsidR="008D1C0B" w:rsidRDefault="008D1C0B">
      <w:pPr>
        <w:tabs>
          <w:tab w:val="clear" w:pos="1418"/>
          <w:tab w:val="left" w:pos="1440"/>
        </w:tabs>
        <w:rPr>
          <w:rFonts w:cs="Arial"/>
          <w:i/>
          <w:sz w:val="20"/>
        </w:rPr>
      </w:pPr>
    </w:p>
    <w:p w:rsidR="008D1C0B" w:rsidRDefault="008D1C0B">
      <w:pPr>
        <w:tabs>
          <w:tab w:val="clear" w:pos="1418"/>
          <w:tab w:val="left" w:pos="1440"/>
        </w:tabs>
        <w:rPr>
          <w:rFonts w:cs="Arial"/>
          <w:i/>
          <w:sz w:val="20"/>
        </w:rPr>
      </w:pPr>
    </w:p>
    <w:p w:rsidR="008D1C0B" w:rsidRDefault="008D1C0B">
      <w:pPr>
        <w:tabs>
          <w:tab w:val="clear" w:pos="1418"/>
          <w:tab w:val="left" w:pos="1440"/>
        </w:tabs>
        <w:rPr>
          <w:rFonts w:cs="Arial"/>
          <w:i/>
          <w:sz w:val="20"/>
        </w:rPr>
      </w:pPr>
    </w:p>
    <w:p w:rsidR="008D1C0B" w:rsidRPr="00001191" w:rsidRDefault="008D1C0B" w:rsidP="00331EDA"/>
    <w:p w:rsidR="00331EDA" w:rsidRDefault="00331EDA">
      <w:pPr>
        <w:pStyle w:val="Heading1"/>
        <w:keepNext w:val="0"/>
        <w:rPr>
          <w:rFonts w:cs="Arial"/>
          <w:b w:val="0"/>
          <w:sz w:val="20"/>
          <w:szCs w:val="20"/>
        </w:rPr>
        <w:sectPr w:rsidR="00331EDA" w:rsidSect="0099054B">
          <w:footerReference w:type="default" r:id="rId16"/>
          <w:footnotePr>
            <w:numStart w:val="49"/>
            <w:numRestart w:val="eachSect"/>
          </w:footnotePr>
          <w:pgSz w:w="11906" w:h="16838" w:code="9"/>
          <w:pgMar w:top="1440" w:right="1800" w:bottom="1440" w:left="1800" w:header="720" w:footer="720" w:gutter="0"/>
          <w:cols w:space="425"/>
          <w:docGrid w:type="linesAndChars" w:linePitch="360"/>
        </w:sectPr>
      </w:pPr>
    </w:p>
    <w:p w:rsidR="00331EDA" w:rsidRDefault="00331EDA" w:rsidP="00331EDA">
      <w:pPr>
        <w:pStyle w:val="Heading1"/>
      </w:pPr>
      <w:r>
        <w:lastRenderedPageBreak/>
        <w:t>Chapter 2</w:t>
      </w:r>
    </w:p>
    <w:p w:rsidR="00331EDA" w:rsidRDefault="00331EDA">
      <w:pPr>
        <w:tabs>
          <w:tab w:val="clear" w:pos="1418"/>
          <w:tab w:val="left" w:pos="1440"/>
        </w:tabs>
        <w:ind w:left="1440" w:hanging="1170"/>
        <w:rPr>
          <w:rFonts w:cs="Arial"/>
          <w:sz w:val="36"/>
          <w:szCs w:val="36"/>
        </w:rPr>
      </w:pPr>
    </w:p>
    <w:p w:rsidR="00331EDA" w:rsidRDefault="00331EDA">
      <w:pPr>
        <w:pStyle w:val="Heading1"/>
      </w:pPr>
      <w:r>
        <w:t>Overview of records management cycle</w:t>
      </w:r>
    </w:p>
    <w:p w:rsidR="00331EDA" w:rsidRDefault="00331EDA" w:rsidP="00331EDA">
      <w:pPr>
        <w:pStyle w:val="Heading1"/>
      </w:pPr>
      <w:r>
        <w:t>and its related rules, guidelines</w:t>
      </w:r>
    </w:p>
    <w:p w:rsidR="00331EDA" w:rsidRDefault="00331EDA">
      <w:pPr>
        <w:pStyle w:val="Heading1"/>
      </w:pPr>
      <w:r>
        <w:t>and publications</w:t>
      </w:r>
    </w:p>
    <w:p w:rsidR="00331EDA" w:rsidRDefault="00331EDA">
      <w:pPr>
        <w:tabs>
          <w:tab w:val="clear" w:pos="1418"/>
          <w:tab w:val="left" w:pos="1440"/>
        </w:tabs>
        <w:ind w:left="567" w:hangingChars="236" w:hanging="567"/>
        <w:rPr>
          <w:rFonts w:cs="Arial"/>
          <w:b/>
        </w:rPr>
      </w:pPr>
      <w:r>
        <w:rPr>
          <w:rFonts w:cs="Arial"/>
          <w:b/>
        </w:rPr>
        <w:t>___________________________________________________</w:t>
      </w:r>
    </w:p>
    <w:p w:rsidR="00331EDA" w:rsidRDefault="00331EDA">
      <w:pPr>
        <w:tabs>
          <w:tab w:val="clear" w:pos="1418"/>
          <w:tab w:val="left" w:pos="1440"/>
        </w:tabs>
        <w:ind w:left="566" w:hangingChars="236" w:hanging="566"/>
        <w:rPr>
          <w:rFonts w:cs="Arial"/>
        </w:rPr>
      </w:pPr>
    </w:p>
    <w:p w:rsidR="00331EDA" w:rsidRDefault="00331EDA">
      <w:pPr>
        <w:tabs>
          <w:tab w:val="clear" w:pos="1418"/>
          <w:tab w:val="left" w:pos="1440"/>
        </w:tabs>
        <w:ind w:left="566" w:hangingChars="236" w:hanging="566"/>
        <w:rPr>
          <w:rFonts w:cs="Arial"/>
        </w:rPr>
      </w:pPr>
    </w:p>
    <w:p w:rsidR="00331EDA" w:rsidRDefault="00331EDA">
      <w:pPr>
        <w:tabs>
          <w:tab w:val="clear" w:pos="1418"/>
          <w:tab w:val="left" w:pos="1440"/>
        </w:tabs>
        <w:ind w:left="566" w:hangingChars="236" w:hanging="566"/>
        <w:rPr>
          <w:rFonts w:cs="Arial"/>
        </w:rPr>
      </w:pPr>
    </w:p>
    <w:p w:rsidR="00331EDA" w:rsidRDefault="00331EDA" w:rsidP="00331EDA">
      <w:pPr>
        <w:pStyle w:val="Heading2"/>
      </w:pPr>
      <w:r>
        <w:t>Introduction</w:t>
      </w:r>
    </w:p>
    <w:p w:rsidR="00331EDA" w:rsidRDefault="00331EDA">
      <w:pPr>
        <w:tabs>
          <w:tab w:val="clear" w:pos="1418"/>
          <w:tab w:val="left" w:pos="1440"/>
        </w:tabs>
        <w:ind w:left="2160" w:hanging="1890"/>
        <w:rPr>
          <w:rFonts w:cs="Arial"/>
        </w:rPr>
      </w:pPr>
    </w:p>
    <w:p w:rsidR="00331EDA" w:rsidRDefault="00331EDA">
      <w:r>
        <w:t>2.1</w:t>
      </w:r>
      <w:r>
        <w:tab/>
      </w:r>
      <w:r>
        <w:rPr>
          <w:rFonts w:hint="eastAsia"/>
        </w:rPr>
        <w:tab/>
      </w:r>
      <w:r>
        <w:t xml:space="preserve">As mentioned in the previous chapter, the different aspects of records management of B/Ds are currently governed by administrative rules and guidelines.  </w:t>
      </w:r>
      <w:r>
        <w:rPr>
          <w:rFonts w:hint="eastAsia"/>
          <w:lang w:eastAsia="zh-HK"/>
        </w:rPr>
        <w:t>The records management manuals, guidelines and publications are posted on the Government</w:t>
      </w:r>
      <w:r>
        <w:rPr>
          <w:lang w:eastAsia="zh-HK"/>
        </w:rPr>
        <w:t>'</w:t>
      </w:r>
      <w:r>
        <w:rPr>
          <w:rFonts w:hint="eastAsia"/>
          <w:lang w:eastAsia="zh-HK"/>
        </w:rPr>
        <w:t>s intranet for B/Ds</w:t>
      </w:r>
      <w:r>
        <w:rPr>
          <w:lang w:eastAsia="zh-HK"/>
        </w:rPr>
        <w:t>'</w:t>
      </w:r>
      <w:r>
        <w:rPr>
          <w:rFonts w:hint="eastAsia"/>
          <w:lang w:eastAsia="zh-HK"/>
        </w:rPr>
        <w:t xml:space="preserve"> reference. Some of these manuals and publications are also available in GRS</w:t>
      </w:r>
      <w:r>
        <w:rPr>
          <w:lang w:eastAsia="zh-HK"/>
        </w:rPr>
        <w:t>'</w:t>
      </w:r>
      <w:r>
        <w:rPr>
          <w:rFonts w:hint="eastAsia"/>
          <w:lang w:eastAsia="zh-HK"/>
        </w:rPr>
        <w:t xml:space="preserve"> Central Preservation Library </w:t>
      </w:r>
      <w:r>
        <w:rPr>
          <w:lang w:eastAsia="zh-HK"/>
        </w:rPr>
        <w:t xml:space="preserve">for Government Publications </w:t>
      </w:r>
      <w:r>
        <w:rPr>
          <w:rFonts w:hint="eastAsia"/>
          <w:lang w:eastAsia="zh-HK"/>
        </w:rPr>
        <w:t>for public inspection.  In April 2017</w:t>
      </w:r>
      <w:r>
        <w:t xml:space="preserve">, </w:t>
      </w:r>
      <w:r>
        <w:rPr>
          <w:rFonts w:hint="eastAsia"/>
          <w:lang w:eastAsia="zh-HK"/>
        </w:rPr>
        <w:t xml:space="preserve">most </w:t>
      </w:r>
      <w:r>
        <w:t xml:space="preserve">of </w:t>
      </w:r>
      <w:r>
        <w:rPr>
          <w:rFonts w:hint="eastAsia"/>
        </w:rPr>
        <w:t xml:space="preserve">such documents </w:t>
      </w:r>
      <w:r>
        <w:t>were uploaded to the official website of the GRS for public information.  Since these rules and guidelines do not feature heavily in the daily lives of the general population, their intricacies may not be familiar to the general public.</w:t>
      </w:r>
    </w:p>
    <w:p w:rsidR="00331EDA" w:rsidRDefault="00331EDA">
      <w:pPr>
        <w:tabs>
          <w:tab w:val="clear" w:pos="1418"/>
          <w:tab w:val="left" w:pos="1440"/>
        </w:tabs>
        <w:rPr>
          <w:rFonts w:cs="Arial"/>
        </w:rPr>
      </w:pPr>
    </w:p>
    <w:p w:rsidR="00331EDA" w:rsidRDefault="00331EDA">
      <w:pPr>
        <w:rPr>
          <w:i/>
          <w:color w:val="FF0000"/>
          <w:lang w:eastAsia="zh-HK"/>
        </w:rPr>
      </w:pPr>
      <w:r>
        <w:t xml:space="preserve">2.2  </w:t>
      </w:r>
      <w:r>
        <w:tab/>
      </w:r>
      <w:r>
        <w:rPr>
          <w:rFonts w:hint="eastAsia"/>
        </w:rPr>
        <w:tab/>
      </w:r>
      <w:r>
        <w:t xml:space="preserve">To enable readers to gain an informed view of the Government's records management regime, we set out in this chapter an overview of the key records management stages with reference to the main rules and guidelines according to which government records are currently managed in Hong Kong.  Readers may also find it helpful to refer to the flowchart in </w:t>
      </w:r>
      <w:r w:rsidRPr="00F2505D">
        <w:t>Annex I of this Paper.</w:t>
      </w:r>
      <w:r>
        <w:t xml:space="preserve">  Where a relevant requirement is made mandatory by GC09, it is underlined.  </w:t>
      </w:r>
    </w:p>
    <w:p w:rsidR="00331EDA" w:rsidRPr="00C032BE" w:rsidRDefault="00331EDA">
      <w:pPr>
        <w:tabs>
          <w:tab w:val="clear" w:pos="1418"/>
          <w:tab w:val="left" w:pos="1440"/>
        </w:tabs>
        <w:rPr>
          <w:rFonts w:cs="Arial"/>
        </w:rPr>
      </w:pPr>
    </w:p>
    <w:p w:rsidR="00331EDA" w:rsidRDefault="00331EDA">
      <w:r>
        <w:t>2.3</w:t>
      </w:r>
      <w:r>
        <w:tab/>
      </w:r>
      <w:r>
        <w:rPr>
          <w:rFonts w:hint="eastAsia"/>
        </w:rPr>
        <w:tab/>
      </w:r>
      <w:r>
        <w:t>It should be noted that, although the records management processes are presented in this chapter and in the flowchart as if in a sequence, some of them may in fact take place simultaneously.  For instance, records creation and classification are often carried out as an integrated series of actions.</w:t>
      </w:r>
    </w:p>
    <w:p w:rsidR="00331EDA" w:rsidRDefault="00331EDA">
      <w:pPr>
        <w:tabs>
          <w:tab w:val="clear" w:pos="1418"/>
          <w:tab w:val="left" w:pos="810"/>
          <w:tab w:val="left" w:pos="1440"/>
        </w:tabs>
        <w:ind w:left="270"/>
        <w:rPr>
          <w:rFonts w:cs="Arial"/>
        </w:rPr>
      </w:pPr>
    </w:p>
    <w:p w:rsidR="00331EDA" w:rsidRDefault="00331EDA">
      <w:pPr>
        <w:tabs>
          <w:tab w:val="clear" w:pos="1418"/>
          <w:tab w:val="left" w:pos="810"/>
          <w:tab w:val="left" w:pos="1440"/>
        </w:tabs>
        <w:ind w:left="270"/>
        <w:rPr>
          <w:rFonts w:cs="Arial"/>
        </w:rPr>
      </w:pPr>
    </w:p>
    <w:p w:rsidR="00331EDA" w:rsidRDefault="00331EDA">
      <w:pPr>
        <w:pStyle w:val="Heading2"/>
      </w:pPr>
      <w:r>
        <w:t>Terminology</w:t>
      </w:r>
    </w:p>
    <w:p w:rsidR="00331EDA" w:rsidRDefault="00331EDA">
      <w:pPr>
        <w:tabs>
          <w:tab w:val="clear" w:pos="1418"/>
          <w:tab w:val="left" w:pos="810"/>
          <w:tab w:val="left" w:pos="1440"/>
        </w:tabs>
        <w:rPr>
          <w:rFonts w:cs="Arial"/>
        </w:rPr>
      </w:pPr>
    </w:p>
    <w:p w:rsidR="00331EDA" w:rsidRDefault="00331EDA">
      <w:r>
        <w:t>2.4</w:t>
      </w:r>
      <w:r>
        <w:tab/>
      </w:r>
      <w:r>
        <w:rPr>
          <w:rFonts w:hint="eastAsia"/>
        </w:rPr>
        <w:tab/>
      </w:r>
      <w:r>
        <w:t>In order to fully understand the records management rules, it is necessary first to be familiar with the following key terms, which have been defined in the RMM.</w:t>
      </w:r>
      <w:r>
        <w:rPr>
          <w:rStyle w:val="FootnoteReference"/>
          <w:rFonts w:cs="Arial"/>
        </w:rPr>
        <w:footnoteReference w:id="36"/>
      </w:r>
    </w:p>
    <w:p w:rsidR="00331EDA" w:rsidRDefault="00331EDA">
      <w:pPr>
        <w:tabs>
          <w:tab w:val="clear" w:pos="1418"/>
          <w:tab w:val="left" w:pos="810"/>
          <w:tab w:val="left" w:pos="1440"/>
        </w:tabs>
        <w:rPr>
          <w:rFonts w:cs="Arial"/>
        </w:rPr>
      </w:pPr>
    </w:p>
    <w:p w:rsidR="00331EDA" w:rsidRDefault="00331EDA">
      <w:pPr>
        <w:tabs>
          <w:tab w:val="clear" w:pos="1418"/>
          <w:tab w:val="left" w:pos="810"/>
          <w:tab w:val="left" w:pos="1440"/>
        </w:tabs>
        <w:rPr>
          <w:rFonts w:cs="Arial"/>
        </w:rPr>
      </w:pPr>
    </w:p>
    <w:p w:rsidR="00331EDA" w:rsidRDefault="00331EDA">
      <w:pPr>
        <w:pStyle w:val="Heading3"/>
      </w:pPr>
      <w:r>
        <w:lastRenderedPageBreak/>
        <w:t>"Record", "Government record", "Electronic records"</w:t>
      </w:r>
    </w:p>
    <w:p w:rsidR="00331EDA" w:rsidRDefault="00331EDA">
      <w:pPr>
        <w:keepNext/>
        <w:tabs>
          <w:tab w:val="clear" w:pos="1418"/>
          <w:tab w:val="left" w:pos="810"/>
          <w:tab w:val="left" w:pos="1440"/>
        </w:tabs>
        <w:ind w:left="270"/>
        <w:rPr>
          <w:rFonts w:cs="Arial"/>
          <w:b/>
          <w:i/>
        </w:rPr>
      </w:pPr>
    </w:p>
    <w:p w:rsidR="00331EDA" w:rsidRDefault="00331EDA">
      <w:r>
        <w:t>2.5</w:t>
      </w:r>
      <w:r>
        <w:tab/>
      </w:r>
      <w:r>
        <w:rPr>
          <w:rFonts w:hint="eastAsia"/>
        </w:rPr>
        <w:tab/>
      </w:r>
      <w:r>
        <w:t>"Record" is defined to mean recorded information regardless of physical format or media created or received in the course of official business and maintained for reference and as evidence of such business.  "Government record" is any recorded information or data in any physical format or media created or received by a B/D during its course of official business and kept as evidence of policies, decisions, procedures, functions, activities and transactions.</w:t>
      </w:r>
      <w:r>
        <w:rPr>
          <w:rStyle w:val="FootnoteReference"/>
          <w:rFonts w:cs="Arial"/>
        </w:rPr>
        <w:footnoteReference w:id="37"/>
      </w:r>
      <w:r>
        <w:t xml:space="preserve">  "Electronic records" are any information recorded in a form that only a computer or other electronic devices can retrieve and process, and that satisfies the definition of "record" given in the RMM.</w:t>
      </w:r>
      <w:r>
        <w:rPr>
          <w:rStyle w:val="FootnoteReference"/>
        </w:rPr>
        <w:footnoteReference w:id="38"/>
      </w:r>
      <w:r>
        <w:t xml:space="preserve"> </w:t>
      </w:r>
    </w:p>
    <w:p w:rsidR="00331EDA" w:rsidRDefault="00331EDA">
      <w:pPr>
        <w:tabs>
          <w:tab w:val="clear" w:pos="1418"/>
          <w:tab w:val="left" w:pos="810"/>
          <w:tab w:val="left" w:pos="1440"/>
        </w:tabs>
        <w:rPr>
          <w:rFonts w:cs="Arial"/>
        </w:rPr>
      </w:pPr>
    </w:p>
    <w:p w:rsidR="00331EDA" w:rsidRPr="007B430E" w:rsidRDefault="00331EDA" w:rsidP="00331EDA">
      <w:pPr>
        <w:tabs>
          <w:tab w:val="clear" w:pos="1418"/>
          <w:tab w:val="left" w:pos="810"/>
          <w:tab w:val="left" w:pos="1440"/>
        </w:tabs>
        <w:rPr>
          <w:rFonts w:cs="Arial"/>
          <w:lang w:val="en-US"/>
        </w:rPr>
      </w:pPr>
    </w:p>
    <w:p w:rsidR="00331EDA" w:rsidRDefault="00331EDA">
      <w:pPr>
        <w:pStyle w:val="Heading3"/>
      </w:pPr>
      <w:r>
        <w:t>"Programme records" vs "administrative records"</w:t>
      </w:r>
    </w:p>
    <w:p w:rsidR="00331EDA" w:rsidRDefault="00331EDA">
      <w:pPr>
        <w:tabs>
          <w:tab w:val="clear" w:pos="1418"/>
          <w:tab w:val="left" w:pos="810"/>
          <w:tab w:val="left" w:pos="1440"/>
        </w:tabs>
        <w:ind w:left="270"/>
        <w:rPr>
          <w:rFonts w:cs="Arial"/>
        </w:rPr>
      </w:pPr>
    </w:p>
    <w:p w:rsidR="00331EDA" w:rsidRDefault="00331EDA">
      <w:r>
        <w:t>2.6</w:t>
      </w:r>
      <w:r>
        <w:tab/>
      </w:r>
      <w:r>
        <w:rPr>
          <w:rFonts w:hint="eastAsia"/>
        </w:rPr>
        <w:tab/>
      </w:r>
      <w:r>
        <w:t>"Programme records" are records created or received by a B/D whilst carrying out the primary functions, activities or missions for which it was established; whereas "administrative records" mean those records created or received during the course of day-to-day administrative activities that deal with finance, accommodation, procurement and supply, establishment, personnel and other general administrative activities.</w:t>
      </w:r>
      <w:r>
        <w:rPr>
          <w:rStyle w:val="FootnoteReference"/>
        </w:rPr>
        <w:footnoteReference w:id="39"/>
      </w:r>
    </w:p>
    <w:p w:rsidR="00331EDA" w:rsidRDefault="00331EDA">
      <w:pPr>
        <w:tabs>
          <w:tab w:val="clear" w:pos="1418"/>
          <w:tab w:val="left" w:pos="810"/>
          <w:tab w:val="left" w:pos="1440"/>
        </w:tabs>
        <w:rPr>
          <w:rFonts w:cs="Arial"/>
        </w:rPr>
      </w:pPr>
    </w:p>
    <w:p w:rsidR="00331EDA" w:rsidRPr="007B430E" w:rsidRDefault="00331EDA" w:rsidP="00331EDA">
      <w:pPr>
        <w:tabs>
          <w:tab w:val="clear" w:pos="1418"/>
          <w:tab w:val="left" w:pos="810"/>
          <w:tab w:val="left" w:pos="1440"/>
        </w:tabs>
        <w:rPr>
          <w:rFonts w:cs="Arial"/>
          <w:lang w:val="en-US"/>
        </w:rPr>
      </w:pPr>
    </w:p>
    <w:p w:rsidR="00331EDA" w:rsidRDefault="00331EDA">
      <w:pPr>
        <w:pStyle w:val="Heading3"/>
      </w:pPr>
      <w:r>
        <w:t>"Archives"</w:t>
      </w:r>
    </w:p>
    <w:p w:rsidR="00331EDA" w:rsidRDefault="00331EDA">
      <w:pPr>
        <w:tabs>
          <w:tab w:val="clear" w:pos="1418"/>
          <w:tab w:val="left" w:pos="810"/>
          <w:tab w:val="left" w:pos="1440"/>
        </w:tabs>
        <w:ind w:left="270"/>
        <w:rPr>
          <w:rFonts w:cs="Arial"/>
        </w:rPr>
      </w:pPr>
    </w:p>
    <w:p w:rsidR="00331EDA" w:rsidRDefault="00331EDA">
      <w:pPr>
        <w:rPr>
          <w:lang w:eastAsia="zh-HK"/>
        </w:rPr>
      </w:pPr>
      <w:r>
        <w:t>2.7</w:t>
      </w:r>
      <w:r>
        <w:tab/>
      </w:r>
      <w:r>
        <w:rPr>
          <w:rFonts w:hint="eastAsia"/>
        </w:rPr>
        <w:tab/>
      </w:r>
      <w:r>
        <w:t>"Archives" are defined as (1) documents and materials created or received and accumulated by a person or organisation in the course of conducting affairs</w:t>
      </w:r>
      <w:r>
        <w:rPr>
          <w:rFonts w:hint="eastAsia"/>
          <w:lang w:eastAsia="zh-HK"/>
        </w:rPr>
        <w:t>,</w:t>
      </w:r>
      <w:r>
        <w:t xml:space="preserve"> </w:t>
      </w:r>
      <w:r>
        <w:rPr>
          <w:rFonts w:hint="eastAsia"/>
          <w:lang w:eastAsia="zh-HK"/>
        </w:rPr>
        <w:t>and are</w:t>
      </w:r>
      <w:r>
        <w:t xml:space="preserve"> preserved because of their continuing or permanent value</w:t>
      </w:r>
      <w:r>
        <w:rPr>
          <w:lang w:eastAsia="zh-HK"/>
        </w:rPr>
        <w:t>,</w:t>
      </w:r>
      <w:r>
        <w:t xml:space="preserve"> and (2) the agency or programme responsible for selecting, acquiring, preserving, and making them available for use.</w:t>
      </w:r>
      <w:r>
        <w:rPr>
          <w:rStyle w:val="FootnoteReference"/>
          <w:rFonts w:cs="Arial"/>
        </w:rPr>
        <w:footnoteReference w:id="40"/>
      </w:r>
      <w:r>
        <w:t xml:space="preserve">  The term "archives" as defined in (1) is interchangeable with the term "archival records". </w:t>
      </w:r>
    </w:p>
    <w:p w:rsidR="00331EDA" w:rsidRDefault="00331EDA">
      <w:pPr>
        <w:tabs>
          <w:tab w:val="clear" w:pos="1418"/>
          <w:tab w:val="left" w:pos="810"/>
          <w:tab w:val="left" w:pos="1440"/>
        </w:tabs>
        <w:ind w:left="270"/>
        <w:rPr>
          <w:rFonts w:cs="Arial"/>
          <w:lang w:val="en-US"/>
        </w:rPr>
      </w:pPr>
    </w:p>
    <w:p w:rsidR="00331EDA" w:rsidRPr="00D162FF" w:rsidRDefault="00331EDA">
      <w:pPr>
        <w:tabs>
          <w:tab w:val="clear" w:pos="1418"/>
          <w:tab w:val="left" w:pos="810"/>
          <w:tab w:val="left" w:pos="1440"/>
        </w:tabs>
        <w:ind w:left="270"/>
        <w:rPr>
          <w:rFonts w:cs="Arial"/>
          <w:lang w:val="en-US"/>
        </w:rPr>
      </w:pPr>
    </w:p>
    <w:p w:rsidR="00331EDA" w:rsidRDefault="00331EDA">
      <w:pPr>
        <w:pStyle w:val="Heading3"/>
      </w:pPr>
      <w:r>
        <w:t>"Records management"</w:t>
      </w:r>
    </w:p>
    <w:p w:rsidR="00331EDA" w:rsidRDefault="00331EDA">
      <w:pPr>
        <w:tabs>
          <w:tab w:val="clear" w:pos="1418"/>
          <w:tab w:val="left" w:pos="1440"/>
        </w:tabs>
        <w:ind w:left="2160" w:hanging="1890"/>
        <w:rPr>
          <w:rFonts w:cs="Arial"/>
        </w:rPr>
      </w:pPr>
    </w:p>
    <w:p w:rsidR="00331EDA" w:rsidRDefault="00331EDA">
      <w:r>
        <w:t>2.8</w:t>
      </w:r>
      <w:r>
        <w:tab/>
      </w:r>
      <w:r>
        <w:rPr>
          <w:rFonts w:hint="eastAsia"/>
        </w:rPr>
        <w:tab/>
      </w:r>
      <w:r>
        <w:t>"Records management" is defined to include planning, directing, organising</w:t>
      </w:r>
      <w:r>
        <w:rPr>
          <w:lang w:eastAsia="zh-HK"/>
        </w:rPr>
        <w:t>, controlling, reviewing, training,</w:t>
      </w:r>
      <w:r>
        <w:t xml:space="preserve"> and other managerial activities involved with respect to the creation, classification</w:t>
      </w:r>
      <w:r>
        <w:rPr>
          <w:lang w:eastAsia="zh-HK"/>
        </w:rPr>
        <w:t xml:space="preserve"> and indexing</w:t>
      </w:r>
      <w:r>
        <w:t xml:space="preserve">, </w:t>
      </w:r>
      <w:r>
        <w:rPr>
          <w:lang w:eastAsia="zh-HK"/>
        </w:rPr>
        <w:t xml:space="preserve">distribution, handling, use, tracking, </w:t>
      </w:r>
      <w:r>
        <w:t xml:space="preserve">storage, </w:t>
      </w:r>
      <w:r>
        <w:rPr>
          <w:lang w:eastAsia="zh-HK"/>
        </w:rPr>
        <w:t xml:space="preserve">retrieval, protection and </w:t>
      </w:r>
      <w:r>
        <w:t>disposal of records to achieve adequate and proper documentation of government policies, decisions and transactions as well as efficient and effective operation of government agencies.</w:t>
      </w:r>
      <w:r>
        <w:rPr>
          <w:rStyle w:val="FootnoteReference"/>
          <w:rFonts w:cs="Arial"/>
        </w:rPr>
        <w:footnoteReference w:id="41"/>
      </w:r>
    </w:p>
    <w:p w:rsidR="00331EDA" w:rsidRDefault="00331EDA">
      <w:pPr>
        <w:tabs>
          <w:tab w:val="clear" w:pos="1418"/>
          <w:tab w:val="left" w:pos="1440"/>
        </w:tabs>
        <w:rPr>
          <w:rFonts w:cs="Arial"/>
        </w:rPr>
      </w:pPr>
    </w:p>
    <w:p w:rsidR="00331EDA" w:rsidRDefault="00331EDA">
      <w:r>
        <w:t>2.9</w:t>
      </w:r>
      <w:r>
        <w:tab/>
      </w:r>
      <w:r>
        <w:rPr>
          <w:rFonts w:hint="eastAsia"/>
        </w:rPr>
        <w:tab/>
      </w:r>
      <w:r>
        <w:t>The GRS' website sets out an overview of the Government's records management in Hong Kong, and a summary of the policies and processes involved.  In gist, its records management programme applies to the entire life cycle of a record from its creation or receipt, through its useful life to its final disposal.  The records management processes in different stages of records life cycle include:</w:t>
      </w:r>
    </w:p>
    <w:p w:rsidR="00331EDA" w:rsidRDefault="00331EDA">
      <w:pPr>
        <w:tabs>
          <w:tab w:val="clear" w:pos="1418"/>
          <w:tab w:val="left" w:pos="1440"/>
        </w:tabs>
        <w:rPr>
          <w:rFonts w:cs="Arial"/>
        </w:rPr>
      </w:pPr>
    </w:p>
    <w:p w:rsidR="00331EDA" w:rsidRDefault="00331EDA">
      <w:pPr>
        <w:tabs>
          <w:tab w:val="clear" w:pos="1418"/>
          <w:tab w:val="left" w:pos="1440"/>
        </w:tabs>
        <w:ind w:left="720"/>
        <w:rPr>
          <w:rFonts w:cs="Arial"/>
        </w:rPr>
      </w:pPr>
      <w:r>
        <w:rPr>
          <w:rFonts w:cs="Arial" w:hint="eastAsia"/>
        </w:rPr>
        <w:t>(</w:t>
      </w:r>
      <w:r>
        <w:rPr>
          <w:rFonts w:cs="Arial"/>
        </w:rPr>
        <w:t>i</w:t>
      </w:r>
      <w:r>
        <w:rPr>
          <w:rFonts w:cs="Arial" w:hint="eastAsia"/>
        </w:rPr>
        <w:t>)</w:t>
      </w:r>
      <w:r>
        <w:rPr>
          <w:rFonts w:cs="Arial"/>
        </w:rPr>
        <w:tab/>
        <w:t>capture</w:t>
      </w:r>
    </w:p>
    <w:p w:rsidR="00331EDA" w:rsidRDefault="00331EDA">
      <w:pPr>
        <w:tabs>
          <w:tab w:val="clear" w:pos="1418"/>
          <w:tab w:val="left" w:pos="1440"/>
        </w:tabs>
        <w:ind w:left="720"/>
        <w:rPr>
          <w:rFonts w:cs="Arial"/>
        </w:rPr>
      </w:pPr>
      <w:r>
        <w:rPr>
          <w:rFonts w:cs="Arial" w:hint="eastAsia"/>
        </w:rPr>
        <w:t>(</w:t>
      </w:r>
      <w:r>
        <w:rPr>
          <w:rFonts w:cs="Arial"/>
        </w:rPr>
        <w:t>ii</w:t>
      </w:r>
      <w:r>
        <w:rPr>
          <w:rFonts w:cs="Arial" w:hint="eastAsia"/>
        </w:rPr>
        <w:t>)</w:t>
      </w:r>
      <w:r>
        <w:rPr>
          <w:rFonts w:cs="Arial"/>
        </w:rPr>
        <w:t xml:space="preserve"> </w:t>
      </w:r>
      <w:r>
        <w:rPr>
          <w:rFonts w:cs="Arial"/>
        </w:rPr>
        <w:tab/>
        <w:t xml:space="preserve">registration </w:t>
      </w:r>
    </w:p>
    <w:p w:rsidR="00331EDA" w:rsidRDefault="00331EDA">
      <w:pPr>
        <w:tabs>
          <w:tab w:val="clear" w:pos="1418"/>
          <w:tab w:val="left" w:pos="1440"/>
        </w:tabs>
        <w:ind w:left="720"/>
        <w:rPr>
          <w:rFonts w:cs="Arial"/>
        </w:rPr>
      </w:pPr>
      <w:r>
        <w:rPr>
          <w:rFonts w:cs="Arial" w:hint="eastAsia"/>
        </w:rPr>
        <w:t>(</w:t>
      </w:r>
      <w:r>
        <w:rPr>
          <w:rFonts w:cs="Arial"/>
        </w:rPr>
        <w:t>iii</w:t>
      </w:r>
      <w:r>
        <w:rPr>
          <w:rFonts w:cs="Arial" w:hint="eastAsia"/>
        </w:rPr>
        <w:t>)</w:t>
      </w:r>
      <w:r>
        <w:rPr>
          <w:rFonts w:cs="Arial"/>
        </w:rPr>
        <w:tab/>
        <w:t>classification</w:t>
      </w:r>
    </w:p>
    <w:p w:rsidR="00331EDA" w:rsidRDefault="00331EDA">
      <w:pPr>
        <w:tabs>
          <w:tab w:val="clear" w:pos="1418"/>
          <w:tab w:val="left" w:pos="1440"/>
        </w:tabs>
        <w:ind w:left="720"/>
        <w:rPr>
          <w:rFonts w:cs="Arial"/>
        </w:rPr>
      </w:pPr>
      <w:r>
        <w:rPr>
          <w:rFonts w:cs="Arial" w:hint="eastAsia"/>
        </w:rPr>
        <w:t>(</w:t>
      </w:r>
      <w:r>
        <w:rPr>
          <w:rFonts w:cs="Arial"/>
        </w:rPr>
        <w:t>iv</w:t>
      </w:r>
      <w:r>
        <w:rPr>
          <w:rFonts w:cs="Arial" w:hint="eastAsia"/>
        </w:rPr>
        <w:t>)</w:t>
      </w:r>
      <w:r>
        <w:rPr>
          <w:rFonts w:cs="Arial"/>
        </w:rPr>
        <w:tab/>
        <w:t>scheduling</w:t>
      </w:r>
      <w:r>
        <w:rPr>
          <w:rFonts w:cs="Arial"/>
        </w:rPr>
        <w:tab/>
      </w:r>
    </w:p>
    <w:p w:rsidR="00331EDA" w:rsidRDefault="00331EDA">
      <w:pPr>
        <w:tabs>
          <w:tab w:val="clear" w:pos="1418"/>
          <w:tab w:val="left" w:pos="1440"/>
        </w:tabs>
        <w:ind w:left="720"/>
        <w:rPr>
          <w:rFonts w:cs="Arial"/>
        </w:rPr>
      </w:pPr>
      <w:r>
        <w:rPr>
          <w:rFonts w:cs="Arial" w:hint="eastAsia"/>
        </w:rPr>
        <w:t>(</w:t>
      </w:r>
      <w:r>
        <w:rPr>
          <w:rFonts w:cs="Arial"/>
        </w:rPr>
        <w:t>v</w:t>
      </w:r>
      <w:r>
        <w:rPr>
          <w:rFonts w:cs="Arial" w:hint="eastAsia"/>
        </w:rPr>
        <w:t>)</w:t>
      </w:r>
      <w:r>
        <w:rPr>
          <w:rFonts w:cs="Arial"/>
        </w:rPr>
        <w:t xml:space="preserve"> </w:t>
      </w:r>
      <w:r>
        <w:rPr>
          <w:rFonts w:cs="Arial"/>
        </w:rPr>
        <w:tab/>
        <w:t>storage</w:t>
      </w:r>
    </w:p>
    <w:p w:rsidR="00331EDA" w:rsidRDefault="00331EDA">
      <w:pPr>
        <w:tabs>
          <w:tab w:val="clear" w:pos="1418"/>
          <w:tab w:val="left" w:pos="1440"/>
        </w:tabs>
        <w:ind w:left="720"/>
        <w:rPr>
          <w:rFonts w:cs="Arial"/>
        </w:rPr>
      </w:pPr>
      <w:r>
        <w:rPr>
          <w:rFonts w:cs="Arial" w:hint="eastAsia"/>
        </w:rPr>
        <w:t>(</w:t>
      </w:r>
      <w:r>
        <w:rPr>
          <w:rFonts w:cs="Arial"/>
        </w:rPr>
        <w:t>vi</w:t>
      </w:r>
      <w:r>
        <w:rPr>
          <w:rFonts w:cs="Arial" w:hint="eastAsia"/>
        </w:rPr>
        <w:t>)</w:t>
      </w:r>
      <w:r>
        <w:rPr>
          <w:rFonts w:cs="Arial"/>
        </w:rPr>
        <w:t xml:space="preserve"> </w:t>
      </w:r>
      <w:r>
        <w:rPr>
          <w:rFonts w:cs="Arial"/>
        </w:rPr>
        <w:tab/>
        <w:t>access</w:t>
      </w:r>
    </w:p>
    <w:p w:rsidR="00331EDA" w:rsidRDefault="00331EDA">
      <w:pPr>
        <w:tabs>
          <w:tab w:val="clear" w:pos="1418"/>
          <w:tab w:val="left" w:pos="1440"/>
        </w:tabs>
        <w:ind w:left="720"/>
        <w:rPr>
          <w:rFonts w:cs="Arial"/>
          <w:lang w:eastAsia="zh-HK"/>
        </w:rPr>
      </w:pPr>
      <w:r>
        <w:rPr>
          <w:rFonts w:cs="Arial" w:hint="eastAsia"/>
        </w:rPr>
        <w:t>(</w:t>
      </w:r>
      <w:r>
        <w:rPr>
          <w:rFonts w:cs="Arial"/>
        </w:rPr>
        <w:t>vii</w:t>
      </w:r>
      <w:r>
        <w:rPr>
          <w:rFonts w:cs="Arial" w:hint="eastAsia"/>
        </w:rPr>
        <w:t>)</w:t>
      </w:r>
      <w:r>
        <w:rPr>
          <w:rFonts w:cs="Arial"/>
        </w:rPr>
        <w:tab/>
        <w:t>tracking</w:t>
      </w:r>
    </w:p>
    <w:p w:rsidR="00331EDA" w:rsidRDefault="00331EDA">
      <w:pPr>
        <w:tabs>
          <w:tab w:val="clear" w:pos="1418"/>
          <w:tab w:val="left" w:pos="1440"/>
        </w:tabs>
        <w:ind w:left="720"/>
        <w:rPr>
          <w:rFonts w:cs="Arial"/>
        </w:rPr>
      </w:pPr>
      <w:r>
        <w:rPr>
          <w:rFonts w:cs="Arial" w:hint="eastAsia"/>
        </w:rPr>
        <w:t>(</w:t>
      </w:r>
      <w:r>
        <w:rPr>
          <w:rFonts w:cs="Arial"/>
        </w:rPr>
        <w:t>vii</w:t>
      </w:r>
      <w:r>
        <w:rPr>
          <w:rFonts w:cs="Arial" w:hint="eastAsia"/>
          <w:lang w:eastAsia="zh-HK"/>
        </w:rPr>
        <w:t>i</w:t>
      </w:r>
      <w:r>
        <w:rPr>
          <w:rFonts w:cs="Arial" w:hint="eastAsia"/>
        </w:rPr>
        <w:t>)</w:t>
      </w:r>
      <w:r>
        <w:rPr>
          <w:rFonts w:cs="Arial"/>
        </w:rPr>
        <w:t xml:space="preserve"> </w:t>
      </w:r>
      <w:r>
        <w:rPr>
          <w:rFonts w:cs="Arial"/>
        </w:rPr>
        <w:tab/>
        <w:t>disposal.</w:t>
      </w:r>
    </w:p>
    <w:p w:rsidR="00331EDA" w:rsidRDefault="00331EDA">
      <w:pPr>
        <w:tabs>
          <w:tab w:val="clear" w:pos="1418"/>
          <w:tab w:val="left" w:pos="1440"/>
        </w:tabs>
        <w:rPr>
          <w:rFonts w:cs="Arial"/>
        </w:rPr>
      </w:pPr>
    </w:p>
    <w:p w:rsidR="00331EDA" w:rsidRDefault="00331EDA">
      <w:r>
        <w:t>2.10</w:t>
      </w:r>
      <w:r>
        <w:tab/>
      </w:r>
      <w:r>
        <w:rPr>
          <w:rFonts w:hint="eastAsia"/>
        </w:rPr>
        <w:tab/>
      </w:r>
      <w:r>
        <w:t>Thus, on a diagram, these various stages will look like:-</w:t>
      </w:r>
    </w:p>
    <w:p w:rsidR="00331EDA" w:rsidRDefault="00331EDA">
      <w:pPr>
        <w:tabs>
          <w:tab w:val="clear" w:pos="1418"/>
          <w:tab w:val="left" w:pos="1440"/>
        </w:tabs>
        <w:rPr>
          <w:rFonts w:cs="Arial"/>
        </w:rPr>
      </w:pPr>
    </w:p>
    <w:p w:rsidR="00331EDA" w:rsidRDefault="00764270">
      <w:pPr>
        <w:tabs>
          <w:tab w:val="clear" w:pos="1418"/>
          <w:tab w:val="left" w:pos="1440"/>
        </w:tabs>
        <w:rPr>
          <w:rFonts w:cs="Arial"/>
        </w:rPr>
      </w:pPr>
      <w:r>
        <w:rPr>
          <w:noProof/>
          <w:snapToGrid/>
        </w:rPr>
        <mc:AlternateContent>
          <mc:Choice Requires="wpg">
            <w:drawing>
              <wp:anchor distT="0" distB="0" distL="114300" distR="114300" simplePos="0" relativeHeight="251638272" behindDoc="0" locked="0" layoutInCell="1" allowOverlap="1">
                <wp:simplePos x="0" y="0"/>
                <wp:positionH relativeFrom="column">
                  <wp:posOffset>495300</wp:posOffset>
                </wp:positionH>
                <wp:positionV relativeFrom="paragraph">
                  <wp:posOffset>131445</wp:posOffset>
                </wp:positionV>
                <wp:extent cx="4924425" cy="3114675"/>
                <wp:effectExtent l="0" t="0" r="9525" b="104775"/>
                <wp:wrapNone/>
                <wp:docPr id="11"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4425" cy="3114675"/>
                          <a:chOff x="0" y="0"/>
                          <a:chExt cx="4924478" cy="2948692"/>
                        </a:xfrm>
                      </wpg:grpSpPr>
                      <wpg:grpSp>
                        <wpg:cNvPr id="321" name="群組 321"/>
                        <wpg:cNvGrpSpPr/>
                        <wpg:grpSpPr>
                          <a:xfrm>
                            <a:off x="43891" y="255999"/>
                            <a:ext cx="4880587" cy="2692693"/>
                            <a:chOff x="-19595" y="631515"/>
                            <a:chExt cx="6032909" cy="3449883"/>
                          </a:xfrm>
                        </wpg:grpSpPr>
                        <wpg:grpSp>
                          <wpg:cNvPr id="313" name="群組 313"/>
                          <wpg:cNvGrpSpPr/>
                          <wpg:grpSpPr>
                            <a:xfrm>
                              <a:off x="-19595" y="631515"/>
                              <a:ext cx="6032819" cy="3411541"/>
                              <a:chOff x="-19595" y="631581"/>
                              <a:chExt cx="6032819" cy="3411914"/>
                            </a:xfrm>
                          </wpg:grpSpPr>
                          <wpg:grpSp>
                            <wpg:cNvPr id="311" name="群組 311"/>
                            <wpg:cNvGrpSpPr/>
                            <wpg:grpSpPr>
                              <a:xfrm>
                                <a:off x="-19595" y="631581"/>
                                <a:ext cx="4192219" cy="3411914"/>
                                <a:chOff x="-19312" y="454007"/>
                                <a:chExt cx="4131736" cy="3224526"/>
                              </a:xfrm>
                            </wpg:grpSpPr>
                            <wps:wsp>
                              <wps:cNvPr id="307" name="文字方塊 2"/>
                              <wps:cNvSpPr txBox="1">
                                <a:spLocks noChangeArrowheads="1"/>
                              </wps:cNvSpPr>
                              <wps:spPr bwMode="auto">
                                <a:xfrm>
                                  <a:off x="2344990" y="454082"/>
                                  <a:ext cx="1767341" cy="712739"/>
                                </a:xfrm>
                                <a:prstGeom prst="rect">
                                  <a:avLst/>
                                </a:prstGeom>
                                <a:solidFill>
                                  <a:srgbClr val="F79646">
                                    <a:lumMod val="40000"/>
                                    <a:lumOff val="60000"/>
                                  </a:srgbClr>
                                </a:solidFill>
                                <a:ln w="19050">
                                  <a:solidFill>
                                    <a:srgbClr val="000000"/>
                                  </a:solidFill>
                                  <a:miter lim="800000"/>
                                  <a:headEnd/>
                                  <a:tailEnd/>
                                </a:ln>
                              </wps:spPr>
                              <wps:txbx>
                                <w:txbxContent>
                                  <w:p w:rsidR="009A4F49" w:rsidRDefault="009A4F49">
                                    <w:pPr>
                                      <w:spacing w:before="180"/>
                                      <w:jc w:val="center"/>
                                      <w:rPr>
                                        <w:rFonts w:cs="Arial"/>
                                        <w:b/>
                                      </w:rPr>
                                    </w:pPr>
                                    <w:r>
                                      <w:rPr>
                                        <w:rFonts w:cs="Arial"/>
                                        <w:b/>
                                        <w:lang w:eastAsia="zh-HK"/>
                                      </w:rPr>
                                      <w:t>Creation</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2344991" y="1694188"/>
                                  <a:ext cx="1767341" cy="515528"/>
                                </a:xfrm>
                                <a:prstGeom prst="rect">
                                  <a:avLst/>
                                </a:prstGeom>
                                <a:solidFill>
                                  <a:srgbClr val="F79646">
                                    <a:lumMod val="40000"/>
                                    <a:lumOff val="60000"/>
                                  </a:srgbClr>
                                </a:solidFill>
                                <a:ln w="19050">
                                  <a:solidFill>
                                    <a:srgbClr val="000000"/>
                                  </a:solidFill>
                                  <a:miter lim="800000"/>
                                  <a:headEnd/>
                                  <a:tailEnd/>
                                </a:ln>
                              </wps:spPr>
                              <wps:txbx>
                                <w:txbxContent>
                                  <w:p w:rsidR="009A4F49" w:rsidRDefault="009A4F49">
                                    <w:pPr>
                                      <w:jc w:val="center"/>
                                      <w:rPr>
                                        <w:rFonts w:cs="Arial"/>
                                        <w:b/>
                                      </w:rPr>
                                    </w:pPr>
                                    <w:r>
                                      <w:rPr>
                                        <w:rFonts w:cs="Arial"/>
                                        <w:b/>
                                        <w:lang w:eastAsia="zh-HK"/>
                                      </w:rPr>
                                      <w:t>Active Records</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2344186" y="2271877"/>
                                  <a:ext cx="1768238" cy="451718"/>
                                </a:xfrm>
                                <a:prstGeom prst="rect">
                                  <a:avLst/>
                                </a:prstGeom>
                                <a:solidFill>
                                  <a:srgbClr val="F79646">
                                    <a:lumMod val="40000"/>
                                    <a:lumOff val="60000"/>
                                  </a:srgbClr>
                                </a:solidFill>
                                <a:ln w="19050">
                                  <a:solidFill>
                                    <a:srgbClr val="000000"/>
                                  </a:solidFill>
                                  <a:miter lim="800000"/>
                                  <a:headEnd/>
                                  <a:tailEnd/>
                                </a:ln>
                              </wps:spPr>
                              <wps:txbx>
                                <w:txbxContent>
                                  <w:p w:rsidR="009A4F49" w:rsidRDefault="009A4F49">
                                    <w:pPr>
                                      <w:jc w:val="center"/>
                                      <w:rPr>
                                        <w:rFonts w:cs="Arial"/>
                                        <w:b/>
                                        <w:lang w:eastAsia="zh-HK"/>
                                      </w:rPr>
                                    </w:pPr>
                                    <w:r>
                                      <w:rPr>
                                        <w:rFonts w:cs="Arial"/>
                                        <w:b/>
                                        <w:lang w:eastAsia="zh-HK"/>
                                      </w:rPr>
                                      <w:t>Inactive Records</w:t>
                                    </w:r>
                                  </w:p>
                                </w:txbxContent>
                              </wps:txbx>
                              <wps:bodyPr rot="0" vert="horz" wrap="square" lIns="91440" tIns="45720" rIns="91440" bIns="45720" anchor="t" anchorCtr="0">
                                <a:noAutofit/>
                              </wps:bodyPr>
                            </wps:wsp>
                            <wps:wsp>
                              <wps:cNvPr id="288" name="文字方塊 2"/>
                              <wps:cNvSpPr txBox="1">
                                <a:spLocks noChangeArrowheads="1"/>
                              </wps:cNvSpPr>
                              <wps:spPr bwMode="auto">
                                <a:xfrm>
                                  <a:off x="2344186" y="3319520"/>
                                  <a:ext cx="1768238" cy="359013"/>
                                </a:xfrm>
                                <a:prstGeom prst="rect">
                                  <a:avLst/>
                                </a:prstGeom>
                                <a:solidFill>
                                  <a:srgbClr val="F79646">
                                    <a:lumMod val="40000"/>
                                    <a:lumOff val="60000"/>
                                  </a:srgbClr>
                                </a:solidFill>
                                <a:ln w="19050">
                                  <a:solidFill>
                                    <a:srgbClr val="000000"/>
                                  </a:solidFill>
                                  <a:miter lim="800000"/>
                                  <a:headEnd/>
                                  <a:tailEnd/>
                                </a:ln>
                              </wps:spPr>
                              <wps:txbx>
                                <w:txbxContent>
                                  <w:p w:rsidR="009A4F49" w:rsidRDefault="009A4F49">
                                    <w:pPr>
                                      <w:jc w:val="center"/>
                                      <w:rPr>
                                        <w:rFonts w:cs="Arial"/>
                                        <w:b/>
                                      </w:rPr>
                                    </w:pPr>
                                    <w:r>
                                      <w:rPr>
                                        <w:rFonts w:cs="Arial"/>
                                        <w:b/>
                                        <w:lang w:eastAsia="zh-HK"/>
                                      </w:rPr>
                                      <w:t>Disposal</w:t>
                                    </w:r>
                                  </w:p>
                                </w:txbxContent>
                              </wps:txbx>
                              <wps:bodyPr rot="0" vert="horz" wrap="square" lIns="91440" tIns="45720" rIns="91440" bIns="45720" anchor="t" anchorCtr="0">
                                <a:noAutofit/>
                              </wps:bodyPr>
                            </wps:wsp>
                            <wps:wsp>
                              <wps:cNvPr id="289" name="文字方塊 289"/>
                              <wps:cNvSpPr txBox="1"/>
                              <wps:spPr>
                                <a:xfrm>
                                  <a:off x="-19312" y="454007"/>
                                  <a:ext cx="1436302" cy="992109"/>
                                </a:xfrm>
                                <a:prstGeom prst="rect">
                                  <a:avLst/>
                                </a:prstGeom>
                                <a:solidFill>
                                  <a:srgbClr val="9BBB59">
                                    <a:lumMod val="40000"/>
                                    <a:lumOff val="60000"/>
                                  </a:srgbClr>
                                </a:solidFill>
                                <a:ln w="6350">
                                  <a:solidFill>
                                    <a:prstClr val="black"/>
                                  </a:solidFill>
                                </a:ln>
                                <a:effectLst/>
                              </wps:spPr>
                              <wps:txbx>
                                <w:txbxContent>
                                  <w:p w:rsidR="009A4F49" w:rsidRDefault="009A4F49">
                                    <w:pPr>
                                      <w:jc w:val="center"/>
                                      <w:rPr>
                                        <w:rFonts w:cs="Arial"/>
                                        <w:lang w:eastAsia="zh-HK"/>
                                      </w:rPr>
                                    </w:pPr>
                                    <w:r>
                                      <w:rPr>
                                        <w:rFonts w:cs="Arial"/>
                                        <w:lang w:eastAsia="zh-HK"/>
                                      </w:rPr>
                                      <w:t>Capture</w:t>
                                    </w:r>
                                  </w:p>
                                  <w:p w:rsidR="009A4F49" w:rsidRDefault="009A4F49">
                                    <w:pPr>
                                      <w:jc w:val="center"/>
                                      <w:rPr>
                                        <w:rFonts w:cs="Arial"/>
                                        <w:lang w:eastAsia="zh-HK"/>
                                      </w:rPr>
                                    </w:pPr>
                                    <w:r>
                                      <w:rPr>
                                        <w:rFonts w:cs="Arial"/>
                                        <w:lang w:eastAsia="zh-HK"/>
                                      </w:rPr>
                                      <w:t>Registration</w:t>
                                    </w:r>
                                  </w:p>
                                  <w:p w:rsidR="009A4F49" w:rsidRDefault="009A4F49">
                                    <w:pPr>
                                      <w:jc w:val="center"/>
                                      <w:rPr>
                                        <w:rFonts w:cs="Arial"/>
                                        <w:lang w:eastAsia="zh-HK"/>
                                      </w:rPr>
                                    </w:pPr>
                                    <w:r>
                                      <w:rPr>
                                        <w:rFonts w:cs="Arial"/>
                                        <w:lang w:eastAsia="zh-HK"/>
                                      </w:rPr>
                                      <w:t>Classification</w:t>
                                    </w:r>
                                  </w:p>
                                  <w:p w:rsidR="009A4F49" w:rsidRPr="00372DEA" w:rsidRDefault="009A4F49">
                                    <w:pPr>
                                      <w:jc w:val="center"/>
                                      <w:rPr>
                                        <w:rFonts w:cs="Arial"/>
                                        <w:lang w:val="en-US" w:eastAsia="zh-HK"/>
                                      </w:rPr>
                                    </w:pPr>
                                    <w:r>
                                      <w:rPr>
                                        <w:rFonts w:cs="Arial"/>
                                        <w:lang w:val="en-US" w:eastAsia="zh-HK"/>
                                      </w:rPr>
                                      <w:t>Scheduling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文字方塊 290"/>
                              <wps:cNvSpPr txBox="1"/>
                              <wps:spPr>
                                <a:xfrm>
                                  <a:off x="-18962" y="1747308"/>
                                  <a:ext cx="1435958" cy="876931"/>
                                </a:xfrm>
                                <a:prstGeom prst="rect">
                                  <a:avLst/>
                                </a:prstGeom>
                                <a:solidFill>
                                  <a:srgbClr val="9BBB59">
                                    <a:lumMod val="40000"/>
                                    <a:lumOff val="60000"/>
                                  </a:srgbClr>
                                </a:solidFill>
                                <a:ln w="6350">
                                  <a:solidFill>
                                    <a:prstClr val="black"/>
                                  </a:solidFill>
                                </a:ln>
                                <a:effectLst/>
                              </wps:spPr>
                              <wps:txbx>
                                <w:txbxContent>
                                  <w:p w:rsidR="009A4F49" w:rsidRDefault="009A4F49">
                                    <w:pPr>
                                      <w:jc w:val="center"/>
                                      <w:rPr>
                                        <w:rFonts w:cs="Arial"/>
                                        <w:lang w:eastAsia="zh-HK"/>
                                      </w:rPr>
                                    </w:pPr>
                                    <w:r>
                                      <w:rPr>
                                        <w:rFonts w:cs="Arial"/>
                                        <w:lang w:eastAsia="zh-HK"/>
                                      </w:rPr>
                                      <w:t>Storage</w:t>
                                    </w:r>
                                  </w:p>
                                  <w:p w:rsidR="009A4F49" w:rsidRDefault="009A4F49">
                                    <w:pPr>
                                      <w:contextualSpacing/>
                                      <w:jc w:val="center"/>
                                      <w:rPr>
                                        <w:rFonts w:cs="Arial"/>
                                        <w:lang w:eastAsia="zh-HK"/>
                                      </w:rPr>
                                    </w:pPr>
                                    <w:r>
                                      <w:rPr>
                                        <w:rFonts w:cs="Arial"/>
                                        <w:lang w:eastAsia="zh-HK"/>
                                      </w:rPr>
                                      <w:t>Access</w:t>
                                    </w:r>
                                  </w:p>
                                  <w:p w:rsidR="009A4F49" w:rsidRDefault="009A4F49">
                                    <w:pPr>
                                      <w:contextualSpacing/>
                                      <w:jc w:val="center"/>
                                      <w:rPr>
                                        <w:rFonts w:cs="Arial"/>
                                        <w:lang w:eastAsia="zh-HK"/>
                                      </w:rPr>
                                    </w:pPr>
                                    <w:r>
                                      <w:rPr>
                                        <w:rFonts w:cs="Arial"/>
                                        <w:lang w:eastAsia="zh-HK"/>
                                      </w:rPr>
                                      <w:t>Tracking</w:t>
                                    </w:r>
                                  </w:p>
                                  <w:p w:rsidR="009A4F49" w:rsidRDefault="009A4F49">
                                    <w:pPr>
                                      <w:jc w:val="center"/>
                                      <w:rPr>
                                        <w:rFonts w:cs="Arial"/>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文字方塊 292"/>
                              <wps:cNvSpPr txBox="1"/>
                              <wps:spPr>
                                <a:xfrm>
                                  <a:off x="28562" y="3336533"/>
                                  <a:ext cx="1386939" cy="341883"/>
                                </a:xfrm>
                                <a:prstGeom prst="rect">
                                  <a:avLst/>
                                </a:prstGeom>
                                <a:solidFill>
                                  <a:srgbClr val="9BBB59">
                                    <a:lumMod val="40000"/>
                                    <a:lumOff val="60000"/>
                                  </a:srgbClr>
                                </a:solidFill>
                                <a:ln w="6350">
                                  <a:solidFill>
                                    <a:prstClr val="black"/>
                                  </a:solidFill>
                                </a:ln>
                                <a:effectLst/>
                              </wps:spPr>
                              <wps:txbx>
                                <w:txbxContent>
                                  <w:p w:rsidR="009A4F49" w:rsidRDefault="009A4F49">
                                    <w:pPr>
                                      <w:jc w:val="center"/>
                                      <w:rPr>
                                        <w:rFonts w:cs="Arial"/>
                                        <w:lang w:eastAsia="zh-HK"/>
                                      </w:rPr>
                                    </w:pPr>
                                    <w:r>
                                      <w:rPr>
                                        <w:rFonts w:cs="Arial"/>
                                        <w:lang w:eastAsia="zh-HK"/>
                                      </w:rPr>
                                      <w:t>Disposal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向下箭號 296"/>
                              <wps:cNvSpPr/>
                              <wps:spPr>
                                <a:xfrm>
                                  <a:off x="2961699" y="1183543"/>
                                  <a:ext cx="354806" cy="510341"/>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向下箭號 298"/>
                              <wps:cNvSpPr/>
                              <wps:spPr>
                                <a:xfrm>
                                  <a:off x="2960805" y="2721358"/>
                                  <a:ext cx="354806" cy="585812"/>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直線接點 312"/>
                            <wps:cNvCnPr/>
                            <wps:spPr>
                              <a:xfrm>
                                <a:off x="2193409" y="2526989"/>
                                <a:ext cx="3819815" cy="28441"/>
                              </a:xfrm>
                              <a:prstGeom prst="line">
                                <a:avLst/>
                              </a:prstGeom>
                              <a:noFill/>
                              <a:ln w="38100" cap="flat" cmpd="sng" algn="ctr">
                                <a:solidFill>
                                  <a:srgbClr val="4BACC6">
                                    <a:shade val="95000"/>
                                    <a:satMod val="105000"/>
                                  </a:srgbClr>
                                </a:solidFill>
                                <a:prstDash val="solid"/>
                              </a:ln>
                              <a:effectLst/>
                            </wps:spPr>
                            <wps:bodyPr/>
                          </wps:wsp>
                        </wpg:grpSp>
                        <wps:wsp>
                          <wps:cNvPr id="315" name="文字方塊 2"/>
                          <wps:cNvSpPr txBox="1">
                            <a:spLocks noChangeArrowheads="1"/>
                          </wps:cNvSpPr>
                          <wps:spPr bwMode="auto">
                            <a:xfrm>
                              <a:off x="4430746" y="1240868"/>
                              <a:ext cx="1582568" cy="560031"/>
                            </a:xfrm>
                            <a:prstGeom prst="rect">
                              <a:avLst/>
                            </a:prstGeom>
                            <a:solidFill>
                              <a:srgbClr val="FFFFFF"/>
                            </a:solidFill>
                            <a:ln w="9525">
                              <a:noFill/>
                              <a:miter lim="800000"/>
                              <a:headEnd/>
                              <a:tailEnd/>
                            </a:ln>
                          </wps:spPr>
                          <wps:txbx>
                            <w:txbxContent>
                              <w:p w:rsidR="009A4F49" w:rsidRDefault="009A4F49">
                                <w:pPr>
                                  <w:rPr>
                                    <w:rFonts w:cs="Arial"/>
                                    <w:noProof/>
                                    <w:lang w:eastAsia="zh-HK"/>
                                  </w:rPr>
                                </w:pPr>
                                <w:r>
                                  <w:rPr>
                                    <w:rFonts w:cs="Arial"/>
                                    <w:noProof/>
                                    <w:lang w:eastAsia="zh-HK"/>
                                  </w:rPr>
                                  <w:t>Management of Active Records</w:t>
                                </w:r>
                              </w:p>
                            </w:txbxContent>
                          </wps:txbx>
                          <wps:bodyPr rot="0" vert="horz" wrap="square" lIns="91440" tIns="45720" rIns="91440" bIns="45720" anchor="t" anchorCtr="0">
                            <a:noAutofit/>
                          </wps:bodyPr>
                        </wps:wsp>
                        <wps:wsp>
                          <wps:cNvPr id="316" name="向下箭號 316"/>
                          <wps:cNvSpPr/>
                          <wps:spPr>
                            <a:xfrm>
                              <a:off x="5057774" y="631580"/>
                              <a:ext cx="295275" cy="471816"/>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向下箭號 317"/>
                          <wps:cNvSpPr/>
                          <wps:spPr>
                            <a:xfrm rot="10800000">
                              <a:off x="5057769" y="1999823"/>
                              <a:ext cx="295275" cy="420788"/>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文字方塊 2"/>
                          <wps:cNvSpPr txBox="1">
                            <a:spLocks noChangeArrowheads="1"/>
                          </wps:cNvSpPr>
                          <wps:spPr bwMode="auto">
                            <a:xfrm>
                              <a:off x="4358209" y="3109884"/>
                              <a:ext cx="1655105" cy="524844"/>
                            </a:xfrm>
                            <a:prstGeom prst="rect">
                              <a:avLst/>
                            </a:prstGeom>
                            <a:solidFill>
                              <a:srgbClr val="FFFFFF"/>
                            </a:solidFill>
                            <a:ln w="9525">
                              <a:noFill/>
                              <a:miter lim="800000"/>
                              <a:headEnd/>
                              <a:tailEnd/>
                            </a:ln>
                          </wps:spPr>
                          <wps:txbx>
                            <w:txbxContent>
                              <w:p w:rsidR="009A4F49" w:rsidRDefault="009A4F49">
                                <w:pPr>
                                  <w:rPr>
                                    <w:rFonts w:cs="Arial"/>
                                    <w:noProof/>
                                    <w:lang w:eastAsia="zh-HK"/>
                                  </w:rPr>
                                </w:pPr>
                                <w:r>
                                  <w:rPr>
                                    <w:rFonts w:cs="Arial"/>
                                    <w:noProof/>
                                    <w:lang w:eastAsia="zh-HK"/>
                                  </w:rPr>
                                  <w:t>Management of Inactive Records</w:t>
                                </w:r>
                              </w:p>
                            </w:txbxContent>
                          </wps:txbx>
                          <wps:bodyPr rot="0" vert="horz" wrap="square" lIns="91440" tIns="45720" rIns="91440" bIns="45720" anchor="t" anchorCtr="0">
                            <a:noAutofit/>
                          </wps:bodyPr>
                        </wps:wsp>
                        <wps:wsp>
                          <wps:cNvPr id="319" name="向下箭號 319"/>
                          <wps:cNvSpPr/>
                          <wps:spPr>
                            <a:xfrm>
                              <a:off x="5070498" y="2617211"/>
                              <a:ext cx="295275" cy="415943"/>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向下箭號 320"/>
                          <wps:cNvSpPr/>
                          <wps:spPr>
                            <a:xfrm rot="10800000">
                              <a:off x="5070499" y="3663260"/>
                              <a:ext cx="295275" cy="418138"/>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文字方塊 2"/>
                        <wps:cNvSpPr txBox="1">
                          <a:spLocks noChangeArrowheads="1"/>
                        </wps:cNvSpPr>
                        <wps:spPr bwMode="auto">
                          <a:xfrm>
                            <a:off x="0" y="7315"/>
                            <a:ext cx="1258214" cy="277978"/>
                          </a:xfrm>
                          <a:prstGeom prst="rect">
                            <a:avLst/>
                          </a:prstGeom>
                          <a:noFill/>
                          <a:ln w="9525">
                            <a:noFill/>
                            <a:miter lim="800000"/>
                            <a:headEnd/>
                            <a:tailEnd/>
                          </a:ln>
                        </wps:spPr>
                        <wps:txbx>
                          <w:txbxContent>
                            <w:p w:rsidR="009A4F49" w:rsidRDefault="009A4F49">
                              <w:pPr>
                                <w:jc w:val="center"/>
                                <w:rPr>
                                  <w:b/>
                                  <w:u w:val="single"/>
                                </w:rPr>
                              </w:pPr>
                              <w:r>
                                <w:rPr>
                                  <w:rFonts w:hint="eastAsia"/>
                                  <w:b/>
                                  <w:u w:val="single"/>
                                  <w:lang w:eastAsia="zh-HK"/>
                                </w:rPr>
                                <w:t>Processes</w:t>
                              </w:r>
                            </w:p>
                          </w:txbxContent>
                        </wps:txbx>
                        <wps:bodyPr rot="0" vert="horz" wrap="square" lIns="91440" tIns="45720" rIns="91440" bIns="45720" anchor="t" anchorCtr="0">
                          <a:noAutofit/>
                        </wps:bodyPr>
                      </wps:wsp>
                      <wps:wsp>
                        <wps:cNvPr id="15" name="文字方塊 2"/>
                        <wps:cNvSpPr txBox="1">
                          <a:spLocks noChangeArrowheads="1"/>
                        </wps:cNvSpPr>
                        <wps:spPr bwMode="auto">
                          <a:xfrm>
                            <a:off x="1982419" y="0"/>
                            <a:ext cx="1448409" cy="277978"/>
                          </a:xfrm>
                          <a:prstGeom prst="rect">
                            <a:avLst/>
                          </a:prstGeom>
                          <a:noFill/>
                          <a:ln w="9525">
                            <a:noFill/>
                            <a:miter lim="800000"/>
                            <a:headEnd/>
                            <a:tailEnd/>
                          </a:ln>
                        </wps:spPr>
                        <wps:txbx>
                          <w:txbxContent>
                            <w:p w:rsidR="009A4F49" w:rsidRDefault="009A4F49">
                              <w:pPr>
                                <w:jc w:val="center"/>
                                <w:rPr>
                                  <w:b/>
                                  <w:u w:val="single"/>
                                </w:rPr>
                              </w:pPr>
                              <w:r>
                                <w:rPr>
                                  <w:rFonts w:hint="eastAsia"/>
                                  <w:b/>
                                  <w:u w:val="single"/>
                                  <w:lang w:eastAsia="zh-HK"/>
                                </w:rPr>
                                <w:t>Stages</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群組 8" o:spid="_x0000_s1026" style="position:absolute;left:0;text-align:left;margin-left:39pt;margin-top:10.35pt;width:387.75pt;height:245.25pt;z-index:251638272;mso-height-relative:margin" coordsize="49244,2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">
                <v:group id="群組 321" o:spid="_x0000_s1027" style="position:absolute;left:438;top:2559;width:48806;height:26927" coordorigin="-195,6315" coordsize="60329,34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群組 313" o:spid="_x0000_s1028" style="position:absolute;left:-195;top:6315;width:60327;height:34115" coordorigin="-195,6315" coordsize="60328,3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群組 311" o:spid="_x0000_s1029" style="position:absolute;left:-195;top:6315;width:41921;height:34119" coordorigin="-193,4540" coordsize="41317,3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type id="_x0000_t202" coordsize="21600,21600" o:spt="202" path="m,l,21600r21600,l21600,xe">
                        <v:stroke joinstyle="miter"/>
                        <v:path gradientshapeok="t" o:connecttype="rect"/>
                      </v:shapetype>
                      <v:shape id="_x0000_s1030" type="#_x0000_t202" style="position:absolute;left:23449;top:4540;width:17674;height:7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XUcMA&#10;AADcAAAADwAAAGRycy9kb3ducmV2LnhtbESP0WrCQBRE3wX/YbmCb7oxbW1JXYMEKqXQQmM/4JK9&#10;JsHs3bC7JunfdwuCj8PMnGF2+WQ6MZDzrWUFm3UCgriyuuVawc/pbfUCwgdkjZ1lUvBLHvL9fLbD&#10;TNuRv2koQy0ihH2GCpoQ+kxKXzVk0K9tTxy9s3UGQ5SultrhGOGmk2mSbKXBluNCgz0VDVWX8moU&#10;HAld8F+T/uw+CirkOS2eHo1Sy8V0eAURaAr38K39rhU8JM/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XUcMAAADcAAAADwAAAAAAAAAAAAAAAACYAgAAZHJzL2Rv&#10;d25yZXYueG1sUEsFBgAAAAAEAAQA9QAAAIgDAAAAAA==&#10;" fillcolor="#fcd5b5" strokeweight="1.5pt">
                        <v:textbox>
                          <w:txbxContent>
                            <w:p w:rsidR="009A4F49" w:rsidRDefault="009A4F49">
                              <w:pPr>
                                <w:spacing w:before="180"/>
                                <w:jc w:val="center"/>
                                <w:rPr>
                                  <w:rFonts w:cs="Arial"/>
                                  <w:b/>
                                </w:rPr>
                              </w:pPr>
                              <w:r>
                                <w:rPr>
                                  <w:rFonts w:cs="Arial"/>
                                  <w:b/>
                                  <w:lang w:eastAsia="zh-HK"/>
                                </w:rPr>
                                <w:t>Creation</w:t>
                              </w:r>
                            </w:p>
                          </w:txbxContent>
                        </v:textbox>
                      </v:shape>
                      <v:shape id="_x0000_s1031" type="#_x0000_t202" style="position:absolute;left:23449;top:16941;width:17674;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dE70A&#10;AADbAAAADwAAAGRycy9kb3ducmV2LnhtbERPy4rCMBTdC/5DuII7TX0italIYYZhQMHHB1yaa1ts&#10;bkoStfP3k4Xg8nDe2a43rXiS841lBbNpAoK4tLrhSsH18jXZgPABWWNrmRT8kYddPhxkmGr74hM9&#10;z6ESMYR9igrqELpUSl/WZNBPbUccuZt1BkOErpLa4SuGm1bOk2QtDTYcG2rsqKipvJ8fRsE3oQv+&#10;2OtD+1tQIW/zYrU0So1H/X4LIlAfPuK3+0crWMT18Uv8AT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NAdE70AAADbAAAADwAAAAAAAAAAAAAAAACYAgAAZHJzL2Rvd25yZXYu&#10;eG1sUEsFBgAAAAAEAAQA9QAAAIIDAAAAAA==&#10;" fillcolor="#fcd5b5" strokeweight="1.5pt">
                        <v:textbox>
                          <w:txbxContent>
                            <w:p w:rsidR="009A4F49" w:rsidRDefault="009A4F49">
                              <w:pPr>
                                <w:jc w:val="center"/>
                                <w:rPr>
                                  <w:rFonts w:cs="Arial"/>
                                  <w:b/>
                                </w:rPr>
                              </w:pPr>
                              <w:r>
                                <w:rPr>
                                  <w:rFonts w:cs="Arial"/>
                                  <w:b/>
                                  <w:lang w:eastAsia="zh-HK"/>
                                </w:rPr>
                                <w:t>Active Records</w:t>
                              </w:r>
                            </w:p>
                          </w:txbxContent>
                        </v:textbox>
                      </v:shape>
                      <v:shape id="_x0000_s1032" type="#_x0000_t202" style="position:absolute;left:23441;top:22718;width:17683;height:4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4iMAA&#10;AADbAAAADwAAAGRycy9kb3ducmV2LnhtbESP3YrCMBSE7xd8h3AE79bUnxWpRpGCIoIL/jzAoTm2&#10;xeakJFHr2xtB8HKYmW+Y+bI1tbiT85VlBYN+AoI4t7riQsH5tP6dgvABWWNtmRQ8ycNy0fmZY6rt&#10;gw90P4ZCRAj7FBWUITSplD4vyaDv24Y4ehfrDIYoXSG1w0eEm1oOk2QiDVYcF0psKCspvx5vRsGG&#10;0AX/3+p9vcsok5dh9jc2SvW67WoGIlAbvuFPe6sVjAbw/h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y4iMAAAADbAAAADwAAAAAAAAAAAAAAAACYAgAAZHJzL2Rvd25y&#10;ZXYueG1sUEsFBgAAAAAEAAQA9QAAAIUDAAAAAA==&#10;" fillcolor="#fcd5b5" strokeweight="1.5pt">
                        <v:textbox>
                          <w:txbxContent>
                            <w:p w:rsidR="009A4F49" w:rsidRDefault="009A4F49">
                              <w:pPr>
                                <w:jc w:val="center"/>
                                <w:rPr>
                                  <w:rFonts w:cs="Arial"/>
                                  <w:b/>
                                  <w:lang w:eastAsia="zh-HK"/>
                                </w:rPr>
                              </w:pPr>
                              <w:r>
                                <w:rPr>
                                  <w:rFonts w:cs="Arial"/>
                                  <w:b/>
                                  <w:lang w:eastAsia="zh-HK"/>
                                </w:rPr>
                                <w:t>Inactive Records</w:t>
                              </w:r>
                            </w:p>
                          </w:txbxContent>
                        </v:textbox>
                      </v:shape>
                      <v:shape id="_x0000_s1033" type="#_x0000_t202" style="position:absolute;left:23441;top:33195;width:17683;height:3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5L8A&#10;AADcAAAADwAAAGRycy9kb3ducmV2LnhtbERPzYrCMBC+C/sOYRb2pqllFammRQq7LIKC1QcYmrEt&#10;NpOSZLW+vTkIHj++/00xml7cyPnOsoL5LAFBXFvdcaPgfPqZrkD4gKyxt0wKHuShyD8mG8y0vfOR&#10;blVoRAxhn6GCNoQhk9LXLRn0MzsQR+5incEQoWukdniP4aaXaZIspcGOY0OLA5Ut1dfq3yj4JXTB&#10;H0a973cllfKSlotvo9TX57hdgwg0hrf45f7TCtJVXBvPxCMg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0/kvwAAANwAAAAPAAAAAAAAAAAAAAAAAJgCAABkcnMvZG93bnJl&#10;di54bWxQSwUGAAAAAAQABAD1AAAAhAMAAAAA&#10;" fillcolor="#fcd5b5" strokeweight="1.5pt">
                        <v:textbox>
                          <w:txbxContent>
                            <w:p w:rsidR="009A4F49" w:rsidRDefault="009A4F49">
                              <w:pPr>
                                <w:jc w:val="center"/>
                                <w:rPr>
                                  <w:rFonts w:cs="Arial"/>
                                  <w:b/>
                                </w:rPr>
                              </w:pPr>
                              <w:r>
                                <w:rPr>
                                  <w:rFonts w:cs="Arial"/>
                                  <w:b/>
                                  <w:lang w:eastAsia="zh-HK"/>
                                </w:rPr>
                                <w:t>Disposal</w:t>
                              </w:r>
                            </w:p>
                          </w:txbxContent>
                        </v:textbox>
                      </v:shape>
                      <v:shape id="文字方塊 289" o:spid="_x0000_s1034" type="#_x0000_t202" style="position:absolute;left:-193;top:4540;width:14362;height:9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tksUA&#10;AADcAAAADwAAAGRycy9kb3ducmV2LnhtbESPQWvCQBSE70L/w/IK3nRjDhKjm1BKFWlRMO3F2yP7&#10;TEKzb2N2o+m/7xYKHoeZ+YbZ5KNpxY1611hWsJhHIIhLqxuuFHx9bmcJCOeRNbaWScEPOcizp8kG&#10;U23vfKJb4SsRIOxSVFB736VSurImg25uO+LgXWxv0AfZV1L3eA9w08o4ipbSYMNhocaOXmsqv4vB&#10;KDjYIjl/2N2b7t6PA13i9noYFkpNn8eXNQhPo3+E/9t7rSBOVv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i2SxQAAANwAAAAPAAAAAAAAAAAAAAAAAJgCAABkcnMv&#10;ZG93bnJldi54bWxQSwUGAAAAAAQABAD1AAAAigMAAAAA&#10;" fillcolor="#d7e4bd" strokeweight=".5pt">
                        <v:textbox>
                          <w:txbxContent>
                            <w:p w:rsidR="009A4F49" w:rsidRDefault="009A4F49">
                              <w:pPr>
                                <w:jc w:val="center"/>
                                <w:rPr>
                                  <w:rFonts w:cs="Arial"/>
                                  <w:lang w:eastAsia="zh-HK"/>
                                </w:rPr>
                              </w:pPr>
                              <w:r>
                                <w:rPr>
                                  <w:rFonts w:cs="Arial"/>
                                  <w:lang w:eastAsia="zh-HK"/>
                                </w:rPr>
                                <w:t>Capture</w:t>
                              </w:r>
                            </w:p>
                            <w:p w:rsidR="009A4F49" w:rsidRDefault="009A4F49">
                              <w:pPr>
                                <w:jc w:val="center"/>
                                <w:rPr>
                                  <w:rFonts w:cs="Arial"/>
                                  <w:lang w:eastAsia="zh-HK"/>
                                </w:rPr>
                              </w:pPr>
                              <w:r>
                                <w:rPr>
                                  <w:rFonts w:cs="Arial"/>
                                  <w:lang w:eastAsia="zh-HK"/>
                                </w:rPr>
                                <w:t>Registration</w:t>
                              </w:r>
                            </w:p>
                            <w:p w:rsidR="009A4F49" w:rsidRDefault="009A4F49">
                              <w:pPr>
                                <w:jc w:val="center"/>
                                <w:rPr>
                                  <w:rFonts w:cs="Arial"/>
                                  <w:lang w:eastAsia="zh-HK"/>
                                </w:rPr>
                              </w:pPr>
                              <w:r>
                                <w:rPr>
                                  <w:rFonts w:cs="Arial"/>
                                  <w:lang w:eastAsia="zh-HK"/>
                                </w:rPr>
                                <w:t>Classification</w:t>
                              </w:r>
                            </w:p>
                            <w:p w:rsidR="009A4F49" w:rsidRPr="00372DEA" w:rsidRDefault="009A4F49">
                              <w:pPr>
                                <w:jc w:val="center"/>
                                <w:rPr>
                                  <w:rFonts w:cs="Arial"/>
                                  <w:lang w:val="en-US" w:eastAsia="zh-HK"/>
                                </w:rPr>
                              </w:pPr>
                              <w:r>
                                <w:rPr>
                                  <w:rFonts w:cs="Arial"/>
                                  <w:lang w:val="en-US" w:eastAsia="zh-HK"/>
                                </w:rPr>
                                <w:t>Scheduling</w:t>
                              </w:r>
                            </w:p>
                          </w:txbxContent>
                        </v:textbox>
                      </v:shape>
                      <v:shape id="文字方塊 290" o:spid="_x0000_s1035" type="#_x0000_t202" style="position:absolute;left:-189;top:17473;width:14358;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S0sIA&#10;AADcAAAADwAAAGRycy9kb3ducmV2LnhtbERPy2rCQBTdC/7DcAvd6cQsSowZRYotpUXB6MbdJXPz&#10;wMydNDMx6d93FoUuD+ed7SbTigf1rrGsYLWMQBAXVjdcKbhe3hYJCOeRNbaWScEPOdht57MMU21H&#10;PtMj95UIIexSVFB736VSuqImg25pO+LAlbY36APsK6l7HEO4aWUcRS/SYMOhocaOXmsq7vlgFBxt&#10;nty+7PtBd5+ngcq4/T4OK6Wen6b9BoSnyf+L/9wfWkG8DvP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RLSwgAAANwAAAAPAAAAAAAAAAAAAAAAAJgCAABkcnMvZG93&#10;bnJldi54bWxQSwUGAAAAAAQABAD1AAAAhwMAAAAA&#10;" fillcolor="#d7e4bd" strokeweight=".5pt">
                        <v:textbox>
                          <w:txbxContent>
                            <w:p w:rsidR="009A4F49" w:rsidRDefault="009A4F49">
                              <w:pPr>
                                <w:jc w:val="center"/>
                                <w:rPr>
                                  <w:rFonts w:cs="Arial"/>
                                  <w:lang w:eastAsia="zh-HK"/>
                                </w:rPr>
                              </w:pPr>
                              <w:r>
                                <w:rPr>
                                  <w:rFonts w:cs="Arial"/>
                                  <w:lang w:eastAsia="zh-HK"/>
                                </w:rPr>
                                <w:t>Storage</w:t>
                              </w:r>
                            </w:p>
                            <w:p w:rsidR="009A4F49" w:rsidRDefault="009A4F49">
                              <w:pPr>
                                <w:contextualSpacing/>
                                <w:jc w:val="center"/>
                                <w:rPr>
                                  <w:rFonts w:cs="Arial"/>
                                  <w:lang w:eastAsia="zh-HK"/>
                                </w:rPr>
                              </w:pPr>
                              <w:r>
                                <w:rPr>
                                  <w:rFonts w:cs="Arial"/>
                                  <w:lang w:eastAsia="zh-HK"/>
                                </w:rPr>
                                <w:t>Access</w:t>
                              </w:r>
                            </w:p>
                            <w:p w:rsidR="009A4F49" w:rsidRDefault="009A4F49">
                              <w:pPr>
                                <w:contextualSpacing/>
                                <w:jc w:val="center"/>
                                <w:rPr>
                                  <w:rFonts w:cs="Arial"/>
                                  <w:lang w:eastAsia="zh-HK"/>
                                </w:rPr>
                              </w:pPr>
                              <w:r>
                                <w:rPr>
                                  <w:rFonts w:cs="Arial"/>
                                  <w:lang w:eastAsia="zh-HK"/>
                                </w:rPr>
                                <w:t>Tracking</w:t>
                              </w:r>
                            </w:p>
                            <w:p w:rsidR="009A4F49" w:rsidRDefault="009A4F49">
                              <w:pPr>
                                <w:jc w:val="center"/>
                                <w:rPr>
                                  <w:rFonts w:cs="Arial"/>
                                  <w:lang w:eastAsia="zh-HK"/>
                                </w:rPr>
                              </w:pPr>
                            </w:p>
                          </w:txbxContent>
                        </v:textbox>
                      </v:shape>
                      <v:shape id="文字方塊 292" o:spid="_x0000_s1036" type="#_x0000_t202" style="position:absolute;left:285;top:33365;width:13870;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pPsUA&#10;AADcAAAADwAAAGRycy9kb3ducmV2LnhtbESPQWvCQBSE7wX/w/IEb3WTHCRNXUMRFWlJodFLb4/s&#10;MwnNvo3Zjab/vlso9DjMzDfMOp9MJ240uNaygngZgSCurG65VnA+7R9TEM4ja+wsk4JvcpBvZg9r&#10;zLS98wfdSl+LAGGXoYLG+z6T0lUNGXRL2xMH72IHgz7IoZZ6wHuAm04mUbSSBlsOCw32tG2o+ipH&#10;o6CwZfr5Zg873b++j3RJumsxxkot5tPLMwhPk/8P/7WPWkHylMD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yk+xQAAANwAAAAPAAAAAAAAAAAAAAAAAJgCAABkcnMv&#10;ZG93bnJldi54bWxQSwUGAAAAAAQABAD1AAAAigMAAAAA&#10;" fillcolor="#d7e4bd" strokeweight=".5pt">
                        <v:textbox>
                          <w:txbxContent>
                            <w:p w:rsidR="009A4F49" w:rsidRDefault="009A4F49">
                              <w:pPr>
                                <w:jc w:val="center"/>
                                <w:rPr>
                                  <w:rFonts w:cs="Arial"/>
                                  <w:lang w:eastAsia="zh-HK"/>
                                </w:rPr>
                              </w:pPr>
                              <w:r>
                                <w:rPr>
                                  <w:rFonts w:cs="Arial"/>
                                  <w:lang w:eastAsia="zh-HK"/>
                                </w:rPr>
                                <w:t>Disposal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96" o:spid="_x0000_s1037" type="#_x0000_t67" style="position:absolute;left:29616;top:11835;width:3549;height: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CesMA&#10;AADcAAAADwAAAGRycy9kb3ducmV2LnhtbESPT4vCMBTE7wt+h/AEb2uqSNFqFNGVXW/rv/ujeTbV&#10;5qU02Vq//WZhweMwM79hFqvOVqKlxpeOFYyGCQji3OmSCwXn0+59CsIHZI2VY1LwJA+rZe9tgZl2&#10;Dz5QewyFiBD2GSowIdSZlD43ZNEPXU0cvatrLIYom0LqBh8Rbis5TpJUWiw5LhisaWMovx9/rIJt&#10;+nk7f9s6PCeTcj/dXz4Opr0rNeh36zmIQF14hf/bX1rBeJbC3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CesMAAADcAAAADwAAAAAAAAAAAAAAAACYAgAAZHJzL2Rv&#10;d25yZXYueG1sUEsFBgAAAAAEAAQA9QAAAIgDAAAAAA==&#10;" adj="14091" fillcolor="#ffa2a1" strokecolor="#be4b48">
                        <v:fill color2="#ffe5e5" rotate="t" angle="180" colors="0 #ffa2a1;22938f #ffbebd;1 #ffe5e5" focus="100%" type="gradient"/>
                        <v:shadow on="t" color="black" opacity="24903f" origin=",.5" offset="0,.55556mm"/>
                      </v:shape>
                      <v:shape id="向下箭號 298" o:spid="_x0000_s1038" type="#_x0000_t67" style="position:absolute;left:29608;top:27213;width:3548;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gScEA&#10;AADcAAAADwAAAGRycy9kb3ducmV2LnhtbERPy2oCMRTdF/yHcIXuakZLfYxGKYLgQgpVcX1JrpPR&#10;yc00iTr+fbModHk478Wqc424U4i1ZwXDQQGCWHtTc6XgeNi8TUHEhGyw8UwKnhRhtey9LLA0/sHf&#10;dN+nSuQQjiUqsCm1pZRRW3IYB74lztzZB4cpw1BJE/CRw10jR0Uxlg5rzg0WW1pb0tf9zSn4uk3W&#10;441+/zjZoOsu7PCZLj9Kvfa7zzmIRF36F/+5t0bBaJbX5jP5CM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yYEnBAAAA3AAAAA8AAAAAAAAAAAAAAAAAmAIAAGRycy9kb3du&#10;cmV2LnhtbFBLBQYAAAAABAAEAPUAAACGAwAAAAA=&#10;" adj="15059" fillcolor="#ffa2a1" strokecolor="#be4b48">
                        <v:fill color2="#ffe5e5" rotate="t" angle="180" colors="0 #ffa2a1;22938f #ffbebd;1 #ffe5e5" focus="100%" type="gradient"/>
                        <v:shadow on="t" color="black" opacity="24903f" origin=",.5" offset="0,.55556mm"/>
                      </v:shape>
                    </v:group>
                    <v:line id="直線接點 312" o:spid="_x0000_s1039" style="position:absolute;visibility:visible;mso-wrap-style:square" from="21934,25269" to="60132,2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IK8UAAADcAAAADwAAAGRycy9kb3ducmV2LnhtbESPQWvCQBSE74L/YXmF3nQTA0VTVymC&#10;4EnSKNreXrOvSWj2bciumvz7riB4HGbmG2a57k0jrtS52rKCeBqBIC6srrlUcDxsJ3MQziNrbCyT&#10;goEcrFfj0RJTbW/8SdfclyJA2KWooPK+TaV0RUUG3dS2xMH7tZ1BH2RXSt3hLcBNI2dR9CYN1hwW&#10;KmxpU1Hxl1+MglO8+77s9U9DnA39Ocm+zseFVer1pf94B+Gp98/wo73TCpJ4Bvc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IK8UAAADcAAAADwAAAAAAAAAA&#10;AAAAAAChAgAAZHJzL2Rvd25yZXYueG1sUEsFBgAAAAAEAAQA+QAAAJMDAAAAAA==&#10;" strokecolor="#46aac5" strokeweight="3pt"/>
                  </v:group>
                  <v:shape id="_x0000_s1040" type="#_x0000_t202" style="position:absolute;left:44307;top:12408;width:15826;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tcMA&#10;AADcAAAADwAAAGRycy9kb3ducmV2LnhtbESP0YrCMBRE3xf8h3AFXxZN1dVqNYoKu/iq2w+4Nte2&#10;2NyUJtr69xtB2MdhZs4w621nKvGgxpWWFYxHEQjizOqScwXp7/dwAcJ5ZI2VZVLwJAfbTe9jjYm2&#10;LZ/ocfa5CBB2CSoovK8TKV1WkEE3sjVx8K62MeiDbHKpG2wD3FRyEkVzabDksFBgTYeCstv5bhRc&#10;j+3nbNlefnwan77meyzji30qNeh3uxUIT53/D7/bR61gOp7B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tcMAAADcAAAADwAAAAAAAAAAAAAAAACYAgAAZHJzL2Rv&#10;d25yZXYueG1sUEsFBgAAAAAEAAQA9QAAAIgDAAAAAA==&#10;" stroked="f">
                    <v:textbox>
                      <w:txbxContent>
                        <w:p w:rsidR="009A4F49" w:rsidRDefault="009A4F49">
                          <w:pPr>
                            <w:rPr>
                              <w:rFonts w:cs="Arial"/>
                              <w:noProof/>
                              <w:lang w:eastAsia="zh-HK"/>
                            </w:rPr>
                          </w:pPr>
                          <w:r>
                            <w:rPr>
                              <w:rFonts w:cs="Arial"/>
                              <w:noProof/>
                              <w:lang w:eastAsia="zh-HK"/>
                            </w:rPr>
                            <w:t>Management of Active Records</w:t>
                          </w:r>
                        </w:p>
                      </w:txbxContent>
                    </v:textbox>
                  </v:shape>
                  <v:shape id="向下箭號 316" o:spid="_x0000_s1041" type="#_x0000_t67" style="position:absolute;left:50577;top:6315;width:2953;height:4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ECMUA&#10;AADcAAAADwAAAGRycy9kb3ducmV2LnhtbESPUUvDMBSF3wX/Q7iCby6tjjHqsiGCoI492PUHXJJr&#10;WmxuapJtrb9+GQx8PJxzvsNZbUbXiyOF2HlWUM4KEMTam46tgmb/9rAEEROywd4zKZgowmZ9e7PC&#10;yvgTf9GxTlZkCMcKFbQpDZWUUbfkMM78QJy9bx8cpiyDlSbgKcNdLx+LYiEddpwXWhzotSX9Ux+c&#10;AlcuG/fx+/mn59Y2u0lvD5MOSt3fjS/PIBKN6T98bb8bBU/lAi5n8hG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sQIxQAAANwAAAAPAAAAAAAAAAAAAAAAAJgCAABkcnMv&#10;ZG93bnJldi54bWxQSwUGAAAAAAQABAD1AAAAigMAAAAA&#10;" adj="14841" fillcolor="#c9b5e8" strokecolor="#7d60a0">
                    <v:fill color2="#f0eaf9" rotate="t" angle="180" colors="0 #c9b5e8;22938f #d9cbee;1 #f0eaf9" focus="100%" type="gradient"/>
                    <v:shadow on="t" color="black" opacity="24903f" origin=",.5" offset="0,.55556mm"/>
                  </v:shape>
                  <v:shape id="向下箭號 317" o:spid="_x0000_s1042" type="#_x0000_t67" style="position:absolute;left:50577;top:19998;width:2953;height:420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T08YA&#10;AADcAAAADwAAAGRycy9kb3ducmV2LnhtbESPT2vCQBTE70K/w/IKvelGC1pSN9JWC714SNoqvT2y&#10;L39o9m3Mrhr99K4geBxm5jfMfNGbRhyoc7VlBeNRBII4t7rmUsHP9+fwBYTzyBoby6TgRA4WycNg&#10;jrG2R07pkPlSBAi7GBVU3rexlC6vyKAb2ZY4eIXtDPogu1LqDo8Bbho5iaKpNFhzWKiwpY+K8v9s&#10;bxSsJnJD2T5d/+6W76tzmnNh/7ZKPT32b68gPPX+Hr61v7SC5/EM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gT08YAAADcAAAADwAAAAAAAAAAAAAAAACYAgAAZHJz&#10;L2Rvd25yZXYueG1sUEsFBgAAAAAEAAQA9QAAAIsDAAAAAA==&#10;" adj="14021" fillcolor="#c9b5e8" strokecolor="#7d60a0">
                    <v:fill color2="#f0eaf9" rotate="t" angle="180" colors="0 #c9b5e8;22938f #d9cbee;1 #f0eaf9" focus="100%" type="gradient"/>
                    <v:shadow on="t" color="black" opacity="24903f" origin=",.5" offset="0,.55556mm"/>
                  </v:shape>
                  <v:shape id="_x0000_s1043" type="#_x0000_t202" style="position:absolute;left:43582;top:31098;width:16551;height:5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7K8EA&#10;AADcAAAADwAAAGRycy9kb3ducmV2LnhtbERPyW7CMBC9I/EP1lTqBREHSlkCBtFKIK5J+YAhnixq&#10;PI5iQ8Lf40OlHp/evjsMphEP6lxtWcEsikEQ51bXXCq4/pymaxDOI2tsLJOCJzk47MejHSba9pzS&#10;I/OlCCHsElRQed8mUrq8IoMusi1x4ArbGfQBdqXUHfYh3DRyHsdLabDm0FBhS98V5b/Z3SgoLv3k&#10;c9Pfzv66ShfLL6xXN/tU6v1tOG5BeBr8v/jPfdEKPmZhbT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3uyvBAAAA3AAAAA8AAAAAAAAAAAAAAAAAmAIAAGRycy9kb3du&#10;cmV2LnhtbFBLBQYAAAAABAAEAPUAAACGAwAAAAA=&#10;" stroked="f">
                    <v:textbox>
                      <w:txbxContent>
                        <w:p w:rsidR="009A4F49" w:rsidRDefault="009A4F49">
                          <w:pPr>
                            <w:rPr>
                              <w:rFonts w:cs="Arial"/>
                              <w:noProof/>
                              <w:lang w:eastAsia="zh-HK"/>
                            </w:rPr>
                          </w:pPr>
                          <w:r>
                            <w:rPr>
                              <w:rFonts w:cs="Arial"/>
                              <w:noProof/>
                              <w:lang w:eastAsia="zh-HK"/>
                            </w:rPr>
                            <w:t>Management of Inactive Records</w:t>
                          </w:r>
                        </w:p>
                      </w:txbxContent>
                    </v:textbox>
                  </v:shape>
                  <v:shape id="向下箭號 319" o:spid="_x0000_s1044" type="#_x0000_t67" style="position:absolute;left:50704;top:26172;width:295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alCsYA&#10;AADcAAAADwAAAGRycy9kb3ducmV2LnhtbESPQWvCQBSE74X+h+UJvdWNLUgTXSUUDOZSMZaeH9ln&#10;Esy+jdmtSfrru4WCx2FmvmHW29G04ka9aywrWMwjEMSl1Q1XCj5Pu+c3EM4ja2wtk4KJHGw3jw9r&#10;TLQd+Ei3wlciQNglqKD2vkukdGVNBt3cdsTBO9veoA+yr6TucQhw08qXKFpKgw2HhRo7eq+pvBTf&#10;RkGax6ePaPgyP/sun7JDdj0Wh6VST7MxXYHwNPp7+L+91wpeFzH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alCsYAAADcAAAADwAAAAAAAAAAAAAAAACYAgAAZHJz&#10;L2Rvd25yZXYueG1sUEsFBgAAAAAEAAQA9QAAAIsDAAAAAA==&#10;" adj="13933" fillcolor="#c9b5e8" strokecolor="#7d60a0">
                    <v:fill color2="#f0eaf9" rotate="t" angle="180" colors="0 #c9b5e8;22938f #d9cbee;1 #f0eaf9" focus="100%" type="gradient"/>
                    <v:shadow on="t" color="black" opacity="24903f" origin=",.5" offset="0,.55556mm"/>
                  </v:shape>
                  <v:shape id="向下箭號 320" o:spid="_x0000_s1045" type="#_x0000_t67" style="position:absolute;left:50704;top:36632;width:2953;height:41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c3L4A&#10;AADcAAAADwAAAGRycy9kb3ducmV2LnhtbERPTYvCMBC9C/sfwix403SzIm41yiIIizereJ5txrba&#10;TEoStf57cxA8Pt73YtXbVtzIh8axhq9xBoK4dKbhSsNhvxnNQISIbLB1TBoeFGC1/BgsMDfuzju6&#10;FbESKYRDjhrqGLtcylDWZDGMXUecuJPzFmOCvpLG4z2F21aqLJtKiw2nhho7WtdUXoqr1RCag/pX&#10;2/KxZ/8zY5qs1fFcaD387H/nICL18S1+uf+Mhm+V5qcz6Qj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RHNy+AAAA3AAAAA8AAAAAAAAAAAAAAAAAmAIAAGRycy9kb3ducmV2&#10;LnhtbFBLBQYAAAAABAAEAPUAAACDAwAAAAA=&#10;" adj="13973" fillcolor="#c9b5e8" strokecolor="#7d60a0">
                    <v:fill color2="#f0eaf9" rotate="t" angle="180" colors="0 #c9b5e8;22938f #d9cbee;1 #f0eaf9" focus="100%" type="gradient"/>
                    <v:shadow on="t" color="black" opacity="24903f" origin=",.5" offset="0,.55556mm"/>
                  </v:shape>
                </v:group>
                <v:shape id="_x0000_s1046" type="#_x0000_t202" style="position:absolute;top:73;width:12582;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A4F49" w:rsidRDefault="009A4F49">
                        <w:pPr>
                          <w:jc w:val="center"/>
                          <w:rPr>
                            <w:b/>
                            <w:u w:val="single"/>
                          </w:rPr>
                        </w:pPr>
                        <w:r>
                          <w:rPr>
                            <w:rFonts w:hint="eastAsia"/>
                            <w:b/>
                            <w:u w:val="single"/>
                            <w:lang w:eastAsia="zh-HK"/>
                          </w:rPr>
                          <w:t>Processes</w:t>
                        </w:r>
                      </w:p>
                    </w:txbxContent>
                  </v:textbox>
                </v:shape>
                <v:shape id="_x0000_s1047" type="#_x0000_t202" style="position:absolute;left:19824;width:14484;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A4F49" w:rsidRDefault="009A4F49">
                        <w:pPr>
                          <w:jc w:val="center"/>
                          <w:rPr>
                            <w:b/>
                            <w:u w:val="single"/>
                          </w:rPr>
                        </w:pPr>
                        <w:r>
                          <w:rPr>
                            <w:rFonts w:hint="eastAsia"/>
                            <w:b/>
                            <w:u w:val="single"/>
                            <w:lang w:eastAsia="zh-HK"/>
                          </w:rPr>
                          <w:t>Stages</w:t>
                        </w:r>
                      </w:p>
                    </w:txbxContent>
                  </v:textbox>
                </v:shape>
              </v:group>
            </w:pict>
          </mc:Fallback>
        </mc:AlternateContent>
      </w:r>
    </w:p>
    <w:p w:rsidR="00331EDA" w:rsidRDefault="00331EDA">
      <w:pPr>
        <w:tabs>
          <w:tab w:val="clear" w:pos="1418"/>
          <w:tab w:val="left" w:pos="1440"/>
        </w:tabs>
        <w:rPr>
          <w:rFonts w:cs="Arial"/>
        </w:rPr>
      </w:pPr>
    </w:p>
    <w:p w:rsidR="00331EDA" w:rsidRDefault="00331EDA">
      <w:pPr>
        <w:tabs>
          <w:tab w:val="clear" w:pos="1418"/>
          <w:tab w:val="left" w:pos="1440"/>
        </w:tabs>
        <w:rPr>
          <w:rFonts w:cs="Arial"/>
        </w:rPr>
      </w:pPr>
    </w:p>
    <w:p w:rsidR="00331EDA" w:rsidRDefault="00764270">
      <w:pPr>
        <w:tabs>
          <w:tab w:val="clear" w:pos="1418"/>
          <w:tab w:val="left" w:pos="1440"/>
        </w:tabs>
        <w:rPr>
          <w:rFonts w:cs="Arial"/>
        </w:rPr>
      </w:pPr>
      <w:r>
        <w:rPr>
          <w:noProof/>
          <w:snapToGrid/>
        </w:rPr>
        <mc:AlternateContent>
          <mc:Choice Requires="wps">
            <w:drawing>
              <wp:anchor distT="0" distB="0" distL="114300" distR="114300" simplePos="0" relativeHeight="251634176" behindDoc="0" locked="0" layoutInCell="1" allowOverlap="1">
                <wp:simplePos x="0" y="0"/>
                <wp:positionH relativeFrom="column">
                  <wp:posOffset>1709420</wp:posOffset>
                </wp:positionH>
                <wp:positionV relativeFrom="paragraph">
                  <wp:posOffset>55245</wp:posOffset>
                </wp:positionV>
                <wp:extent cx="544830" cy="266700"/>
                <wp:effectExtent l="0" t="19050" r="45720" b="38100"/>
                <wp:wrapNone/>
                <wp:docPr id="10" name="向右箭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 cy="2667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 o:spid="_x0000_s1026" type="#_x0000_t13" style="position:absolute;margin-left:134.6pt;margin-top:4.35pt;width:42.9pt;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" adj="16313" fillcolor="#9ab5e4" strokecolor="#95b3d7" strokeweight="2pt">
                <v:fill color2="#e1e8f5" rotate="t" angle="270" colors="0 #9ab5e4;.5 #c2d1ed;1 #e1e8f5" focus="100%" type="gradient"/>
                <v:path arrowok="t"/>
              </v:shape>
            </w:pict>
          </mc:Fallback>
        </mc:AlternateContent>
      </w:r>
    </w:p>
    <w:p w:rsidR="00331EDA" w:rsidRDefault="00331EDA">
      <w:pPr>
        <w:ind w:firstLineChars="69" w:firstLine="166"/>
        <w:rPr>
          <w:rFonts w:cs="Arial"/>
          <w:noProof/>
          <w:lang w:eastAsia="zh-HK"/>
        </w:rPr>
      </w:pPr>
    </w:p>
    <w:p w:rsidR="00331EDA" w:rsidRDefault="00331EDA">
      <w:pPr>
        <w:ind w:firstLineChars="69" w:firstLine="166"/>
        <w:rPr>
          <w:rFonts w:cs="Arial"/>
          <w:noProof/>
          <w:lang w:eastAsia="zh-HK"/>
        </w:rPr>
      </w:pPr>
    </w:p>
    <w:p w:rsidR="00331EDA" w:rsidRDefault="00331EDA">
      <w:pPr>
        <w:ind w:firstLineChars="69" w:firstLine="166"/>
        <w:rPr>
          <w:rFonts w:cs="Arial"/>
          <w:noProof/>
          <w:lang w:eastAsia="zh-HK"/>
        </w:rPr>
      </w:pPr>
    </w:p>
    <w:p w:rsidR="00331EDA" w:rsidRPr="009B2B01" w:rsidRDefault="00331EDA">
      <w:pPr>
        <w:ind w:firstLineChars="69" w:firstLine="166"/>
        <w:rPr>
          <w:rFonts w:cs="Arial"/>
          <w:noProof/>
          <w:lang w:eastAsia="zh-HK"/>
        </w:rPr>
      </w:pPr>
    </w:p>
    <w:p w:rsidR="00331EDA" w:rsidRDefault="00764270">
      <w:pPr>
        <w:ind w:firstLineChars="69" w:firstLine="166"/>
        <w:rPr>
          <w:rFonts w:cs="Arial"/>
          <w:noProof/>
          <w:lang w:eastAsia="zh-HK"/>
        </w:rPr>
      </w:pPr>
      <w:r>
        <w:rPr>
          <w:noProof/>
          <w:snapToGrid/>
        </w:rPr>
        <mc:AlternateContent>
          <mc:Choice Requires="wps">
            <w:drawing>
              <wp:anchor distT="0" distB="0" distL="114300" distR="114300" simplePos="0" relativeHeight="251635200" behindDoc="0" locked="0" layoutInCell="1" allowOverlap="1">
                <wp:simplePos x="0" y="0"/>
                <wp:positionH relativeFrom="column">
                  <wp:posOffset>1724660</wp:posOffset>
                </wp:positionH>
                <wp:positionV relativeFrom="paragraph">
                  <wp:posOffset>98425</wp:posOffset>
                </wp:positionV>
                <wp:extent cx="581660" cy="266700"/>
                <wp:effectExtent l="0" t="19050" r="46990" b="38100"/>
                <wp:wrapNone/>
                <wp:docPr id="2" name="向右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 cy="2667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向右箭號 2" o:spid="_x0000_s1026" type="#_x0000_t13" style="position:absolute;margin-left:135.8pt;margin-top:7.75pt;width:45.8pt;height:2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" adj="16648" fillcolor="#9ab5e4" strokecolor="#95b3d7" strokeweight="2pt">
                <v:fill color2="#e1e8f5" rotate="t" angle="270" colors="0 #9ab5e4;.5 #c2d1ed;1 #e1e8f5" focus="100%" type="gradient"/>
                <v:path arrowok="t"/>
              </v:shape>
            </w:pict>
          </mc:Fallback>
        </mc:AlternateContent>
      </w:r>
    </w:p>
    <w:p w:rsidR="00331EDA" w:rsidRDefault="00331EDA">
      <w:pPr>
        <w:ind w:firstLineChars="69" w:firstLine="166"/>
        <w:rPr>
          <w:rFonts w:cs="Arial"/>
          <w:noProof/>
          <w:lang w:eastAsia="zh-HK"/>
        </w:rPr>
      </w:pPr>
    </w:p>
    <w:p w:rsidR="00331EDA" w:rsidRDefault="00764270">
      <w:pPr>
        <w:ind w:firstLineChars="69" w:firstLine="166"/>
        <w:rPr>
          <w:rFonts w:cs="Arial"/>
          <w:noProof/>
          <w:lang w:eastAsia="zh-HK"/>
        </w:rPr>
      </w:pPr>
      <w:r>
        <w:rPr>
          <w:noProof/>
          <w:snapToGrid/>
        </w:rPr>
        <mc:AlternateContent>
          <mc:Choice Requires="wps">
            <w:drawing>
              <wp:anchor distT="0" distB="0" distL="114300" distR="114300" simplePos="0" relativeHeight="251636224" behindDoc="0" locked="0" layoutInCell="1" allowOverlap="1">
                <wp:simplePos x="0" y="0"/>
                <wp:positionH relativeFrom="column">
                  <wp:posOffset>1725295</wp:posOffset>
                </wp:positionH>
                <wp:positionV relativeFrom="paragraph">
                  <wp:posOffset>164465</wp:posOffset>
                </wp:positionV>
                <wp:extent cx="562610" cy="266700"/>
                <wp:effectExtent l="0" t="19050" r="46990" b="38100"/>
                <wp:wrapNone/>
                <wp:docPr id="7" name="向右箭號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10" cy="2667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向右箭號 7" o:spid="_x0000_s1026" type="#_x0000_t13" style="position:absolute;margin-left:135.85pt;margin-top:12.95pt;width:44.3pt;height: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" adj="16480" fillcolor="#9ab5e4" strokecolor="#95b3d7" strokeweight="2pt">
                <v:fill color2="#e1e8f5" rotate="t" angle="270" colors="0 #9ab5e4;.5 #c2d1ed;1 #e1e8f5" focus="100%" type="gradient"/>
                <v:path arrowok="t"/>
              </v:shape>
            </w:pict>
          </mc:Fallback>
        </mc:AlternateContent>
      </w:r>
    </w:p>
    <w:p w:rsidR="00331EDA" w:rsidRDefault="00331EDA">
      <w:pPr>
        <w:ind w:firstLineChars="69" w:firstLine="166"/>
        <w:rPr>
          <w:rFonts w:cs="Arial"/>
          <w:noProof/>
          <w:lang w:eastAsia="zh-HK"/>
        </w:rPr>
      </w:pPr>
    </w:p>
    <w:p w:rsidR="00331EDA" w:rsidRDefault="00331EDA">
      <w:pPr>
        <w:ind w:firstLineChars="69" w:firstLine="166"/>
        <w:rPr>
          <w:rFonts w:cs="Arial"/>
          <w:noProof/>
          <w:lang w:eastAsia="zh-HK"/>
        </w:rPr>
      </w:pPr>
    </w:p>
    <w:p w:rsidR="00331EDA" w:rsidRDefault="00331EDA">
      <w:pPr>
        <w:ind w:firstLineChars="69" w:firstLine="166"/>
        <w:rPr>
          <w:rFonts w:cs="Arial"/>
        </w:rPr>
      </w:pPr>
    </w:p>
    <w:p w:rsidR="00331EDA" w:rsidRDefault="00331EDA">
      <w:pPr>
        <w:tabs>
          <w:tab w:val="clear" w:pos="1418"/>
          <w:tab w:val="left" w:pos="1440"/>
        </w:tabs>
        <w:rPr>
          <w:rFonts w:cs="Arial"/>
          <w:lang w:eastAsia="zh-HK"/>
        </w:rPr>
      </w:pPr>
    </w:p>
    <w:p w:rsidR="00331EDA" w:rsidRDefault="00331EDA">
      <w:pPr>
        <w:tabs>
          <w:tab w:val="clear" w:pos="1418"/>
          <w:tab w:val="left" w:pos="1440"/>
        </w:tabs>
        <w:rPr>
          <w:rFonts w:cs="Arial"/>
          <w:lang w:eastAsia="zh-HK"/>
        </w:rPr>
      </w:pPr>
    </w:p>
    <w:p w:rsidR="00331EDA" w:rsidRDefault="00764270">
      <w:pPr>
        <w:tabs>
          <w:tab w:val="clear" w:pos="1418"/>
          <w:tab w:val="left" w:pos="1440"/>
        </w:tabs>
        <w:rPr>
          <w:rFonts w:cs="Arial"/>
        </w:rPr>
      </w:pPr>
      <w:r>
        <w:rPr>
          <w:noProof/>
          <w:snapToGrid/>
        </w:rPr>
        <mc:AlternateContent>
          <mc:Choice Requires="wps">
            <w:drawing>
              <wp:anchor distT="0" distB="0" distL="114300" distR="114300" simplePos="0" relativeHeight="251637248" behindDoc="0" locked="0" layoutInCell="1" allowOverlap="1">
                <wp:simplePos x="0" y="0"/>
                <wp:positionH relativeFrom="column">
                  <wp:posOffset>1715135</wp:posOffset>
                </wp:positionH>
                <wp:positionV relativeFrom="paragraph">
                  <wp:posOffset>128270</wp:posOffset>
                </wp:positionV>
                <wp:extent cx="562610" cy="266700"/>
                <wp:effectExtent l="0" t="19050" r="46990" b="38100"/>
                <wp:wrapNone/>
                <wp:docPr id="1" name="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10" cy="2667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向右箭號 3" o:spid="_x0000_s1026" type="#_x0000_t13" style="position:absolute;margin-left:135.05pt;margin-top:10.1pt;width:44.3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" adj="16480" fillcolor="#9ab5e4" strokecolor="#95b3d7" strokeweight="2pt">
                <v:fill color2="#e1e8f5" rotate="t" angle="270" colors="0 #9ab5e4;.5 #c2d1ed;1 #e1e8f5" focus="100%" type="gradient"/>
                <v:path arrowok="t"/>
              </v:shape>
            </w:pict>
          </mc:Fallback>
        </mc:AlternateContent>
      </w:r>
    </w:p>
    <w:p w:rsidR="00331EDA" w:rsidRDefault="00331EDA">
      <w:pPr>
        <w:tabs>
          <w:tab w:val="clear" w:pos="1418"/>
          <w:tab w:val="left" w:pos="1440"/>
        </w:tabs>
        <w:rPr>
          <w:rFonts w:cs="Arial"/>
        </w:rPr>
      </w:pPr>
    </w:p>
    <w:p w:rsidR="00331EDA" w:rsidRDefault="00331EDA">
      <w:pPr>
        <w:tabs>
          <w:tab w:val="clear" w:pos="1418"/>
          <w:tab w:val="left" w:pos="1440"/>
        </w:tabs>
        <w:rPr>
          <w:rFonts w:cs="Arial"/>
        </w:rPr>
      </w:pPr>
    </w:p>
    <w:p w:rsidR="00331EDA" w:rsidRDefault="00331EDA">
      <w:pPr>
        <w:tabs>
          <w:tab w:val="clear" w:pos="1418"/>
          <w:tab w:val="left" w:pos="1440"/>
        </w:tabs>
        <w:rPr>
          <w:rFonts w:cs="Arial"/>
        </w:rPr>
      </w:pPr>
    </w:p>
    <w:p w:rsidR="00331EDA" w:rsidRDefault="00331EDA" w:rsidP="00331EDA">
      <w:pPr>
        <w:pStyle w:val="Heading2"/>
      </w:pPr>
      <w:r>
        <w:t xml:space="preserve">Summary of records </w:t>
      </w:r>
      <w:r>
        <w:rPr>
          <w:lang w:eastAsia="zh-HK"/>
        </w:rPr>
        <w:t>m</w:t>
      </w:r>
      <w:r>
        <w:t xml:space="preserve">anagement </w:t>
      </w:r>
      <w:r>
        <w:rPr>
          <w:lang w:eastAsia="zh-HK"/>
        </w:rPr>
        <w:t>p</w:t>
      </w:r>
      <w:r>
        <w:t xml:space="preserve">rocesses and the </w:t>
      </w:r>
      <w:r>
        <w:rPr>
          <w:lang w:eastAsia="zh-HK"/>
        </w:rPr>
        <w:t>c</w:t>
      </w:r>
      <w:r>
        <w:t xml:space="preserve">orresponding </w:t>
      </w:r>
      <w:r>
        <w:rPr>
          <w:lang w:eastAsia="zh-HK"/>
        </w:rPr>
        <w:t>r</w:t>
      </w:r>
      <w:r>
        <w:t xml:space="preserve">ules, </w:t>
      </w:r>
      <w:r>
        <w:rPr>
          <w:lang w:eastAsia="zh-HK"/>
        </w:rPr>
        <w:t>g</w:t>
      </w:r>
      <w:r>
        <w:t xml:space="preserve">uidelines and </w:t>
      </w:r>
      <w:r>
        <w:rPr>
          <w:lang w:eastAsia="zh-HK"/>
        </w:rPr>
        <w:t>p</w:t>
      </w:r>
      <w:r>
        <w:t>ublications</w:t>
      </w:r>
    </w:p>
    <w:p w:rsidR="00331EDA" w:rsidRDefault="00331EDA">
      <w:pPr>
        <w:tabs>
          <w:tab w:val="clear" w:pos="1418"/>
          <w:tab w:val="left" w:pos="1440"/>
        </w:tabs>
        <w:rPr>
          <w:rFonts w:cs="Arial"/>
        </w:rPr>
      </w:pPr>
    </w:p>
    <w:p w:rsidR="00331EDA" w:rsidRDefault="00331EDA">
      <w:pPr>
        <w:pStyle w:val="Heading3"/>
        <w:ind w:left="720" w:hanging="720"/>
      </w:pPr>
      <w:r>
        <w:t xml:space="preserve">(a) </w:t>
      </w:r>
      <w:r>
        <w:tab/>
        <w:t xml:space="preserve">Establishment of comprehensive records management programme </w:t>
      </w:r>
    </w:p>
    <w:p w:rsidR="00331EDA" w:rsidRDefault="00331EDA">
      <w:pPr>
        <w:tabs>
          <w:tab w:val="clear" w:pos="1418"/>
          <w:tab w:val="left" w:pos="1440"/>
        </w:tabs>
        <w:rPr>
          <w:rFonts w:cs="Arial"/>
          <w:b/>
        </w:rPr>
      </w:pPr>
    </w:p>
    <w:p w:rsidR="00331EDA" w:rsidRDefault="00331EDA" w:rsidP="00F34797">
      <w:pPr>
        <w:widowControl/>
      </w:pPr>
      <w:r>
        <w:t>2.11</w:t>
      </w:r>
      <w:r>
        <w:tab/>
      </w:r>
      <w:r>
        <w:rPr>
          <w:rFonts w:hint="eastAsia"/>
        </w:rPr>
        <w:tab/>
      </w:r>
      <w:r>
        <w:t xml:space="preserve">According to the government's policy, each B/D should establish a comprehensive records management programme which should apply to the </w:t>
      </w:r>
      <w:r>
        <w:lastRenderedPageBreak/>
        <w:t>entire life cycle of a record from its creation or receipt, through its useful life to its final disposal.</w:t>
      </w:r>
      <w:r>
        <w:rPr>
          <w:rStyle w:val="FootnoteReference"/>
          <w:rFonts w:cs="Arial"/>
        </w:rPr>
        <w:footnoteReference w:id="42"/>
      </w:r>
      <w:r>
        <w:t xml:space="preserve">    </w:t>
      </w:r>
    </w:p>
    <w:p w:rsidR="00331EDA" w:rsidRDefault="00331EDA">
      <w:pPr>
        <w:tabs>
          <w:tab w:val="clear" w:pos="1418"/>
          <w:tab w:val="left" w:pos="1440"/>
        </w:tabs>
        <w:rPr>
          <w:rFonts w:cs="Arial"/>
        </w:rPr>
      </w:pPr>
    </w:p>
    <w:p w:rsidR="00331EDA" w:rsidRDefault="00331EDA">
      <w:pPr>
        <w:tabs>
          <w:tab w:val="clear" w:pos="1418"/>
          <w:tab w:val="left" w:pos="1440"/>
        </w:tabs>
        <w:rPr>
          <w:rFonts w:cs="Arial"/>
        </w:rPr>
      </w:pPr>
    </w:p>
    <w:p w:rsidR="00331EDA" w:rsidRDefault="00331EDA">
      <w:pPr>
        <w:pStyle w:val="Heading3"/>
        <w:ind w:left="720" w:hanging="720"/>
      </w:pPr>
      <w:r>
        <w:t>(b)</w:t>
      </w:r>
      <w:r>
        <w:tab/>
      </w:r>
      <w:r>
        <w:rPr>
          <w:lang w:eastAsia="zh-HK"/>
        </w:rPr>
        <w:t>Designation of a directorate officer to oversee records management in B/Ds, a</w:t>
      </w:r>
      <w:r>
        <w:t xml:space="preserve">ppointment of </w:t>
      </w:r>
      <w:r>
        <w:rPr>
          <w:lang w:eastAsia="zh-HK"/>
        </w:rPr>
        <w:t>a Department</w:t>
      </w:r>
      <w:r>
        <w:rPr>
          <w:rFonts w:hint="eastAsia"/>
          <w:lang w:eastAsia="zh-HK"/>
        </w:rPr>
        <w:t>al</w:t>
      </w:r>
      <w:r>
        <w:rPr>
          <w:lang w:eastAsia="zh-HK"/>
        </w:rPr>
        <w:t xml:space="preserve"> Records Manager ("</w:t>
      </w:r>
      <w:r>
        <w:t>DRM") and implementation of records management programme</w:t>
      </w:r>
    </w:p>
    <w:p w:rsidR="00331EDA" w:rsidRDefault="00331EDA">
      <w:pPr>
        <w:tabs>
          <w:tab w:val="clear" w:pos="1418"/>
          <w:tab w:val="left" w:pos="1440"/>
        </w:tabs>
        <w:ind w:left="270"/>
        <w:rPr>
          <w:rFonts w:cs="Arial"/>
        </w:rPr>
      </w:pPr>
    </w:p>
    <w:p w:rsidR="00331EDA" w:rsidRDefault="00331EDA">
      <w:r>
        <w:t>2.12</w:t>
      </w:r>
      <w:r>
        <w:tab/>
      </w:r>
      <w:r>
        <w:rPr>
          <w:rFonts w:hint="eastAsia"/>
        </w:rPr>
        <w:tab/>
      </w:r>
      <w:r>
        <w:t>B/Ds are required to work closely with the GRS in applying records management standards, procedures and techniques.</w:t>
      </w:r>
      <w:r>
        <w:rPr>
          <w:rStyle w:val="FootnoteReference"/>
          <w:rFonts w:cs="Arial"/>
        </w:rPr>
        <w:footnoteReference w:id="43"/>
      </w:r>
      <w:r>
        <w:t xml:space="preserve">  </w:t>
      </w:r>
      <w:r>
        <w:rPr>
          <w:lang w:eastAsia="zh-HK"/>
        </w:rPr>
        <w:t>While the head of B/D has the overall responsibility for its records management, a directorate officer should be designated to oversee the matter</w:t>
      </w:r>
      <w:r>
        <w:t>.</w:t>
      </w:r>
      <w:r>
        <w:rPr>
          <w:rStyle w:val="FootnoteReference"/>
          <w:rFonts w:cs="Arial"/>
          <w:lang w:eastAsia="zh-HK"/>
        </w:rPr>
        <w:footnoteReference w:id="44"/>
      </w:r>
      <w:r>
        <w:rPr>
          <w:lang w:eastAsia="zh-HK"/>
        </w:rPr>
        <w:t xml:space="preserve">  A DRM</w:t>
      </w:r>
      <w:r>
        <w:rPr>
          <w:rStyle w:val="FootnoteReference"/>
          <w:rFonts w:cs="Arial"/>
        </w:rPr>
        <w:footnoteReference w:id="45"/>
      </w:r>
      <w:r>
        <w:rPr>
          <w:lang w:eastAsia="zh-HK"/>
        </w:rPr>
        <w:t xml:space="preserve"> should also be appointed to assist the head of B/D to establish </w:t>
      </w:r>
      <w:r>
        <w:t xml:space="preserve">and implement the departmental records management programme.  The DRM is responsible for, </w:t>
      </w:r>
      <w:r>
        <w:rPr>
          <w:i/>
        </w:rPr>
        <w:t>inter alia</w:t>
      </w:r>
      <w:r>
        <w:t>, establishing and implementing practices and procedures according to the GRS' guidelines and instructions, and cooperating with the GRS in evaluating and improving the programme on a regular basis.</w:t>
      </w:r>
      <w:r>
        <w:rPr>
          <w:rStyle w:val="FootnoteReference"/>
          <w:rFonts w:cs="Arial"/>
        </w:rPr>
        <w:footnoteReference w:id="46"/>
      </w:r>
      <w:r>
        <w:t xml:space="preserve">  </w:t>
      </w:r>
    </w:p>
    <w:p w:rsidR="00331EDA" w:rsidRDefault="00331EDA">
      <w:pPr>
        <w:tabs>
          <w:tab w:val="clear" w:pos="1418"/>
          <w:tab w:val="left" w:pos="1440"/>
        </w:tabs>
        <w:ind w:left="270"/>
        <w:rPr>
          <w:rFonts w:cs="Arial"/>
          <w:color w:val="FF0000"/>
        </w:rPr>
      </w:pPr>
    </w:p>
    <w:p w:rsidR="00331EDA" w:rsidRDefault="00331EDA">
      <w:pPr>
        <w:tabs>
          <w:tab w:val="clear" w:pos="1418"/>
          <w:tab w:val="left" w:pos="720"/>
          <w:tab w:val="left" w:pos="1440"/>
        </w:tabs>
        <w:rPr>
          <w:rFonts w:cs="Arial"/>
          <w:b/>
          <w:i/>
        </w:rPr>
      </w:pPr>
    </w:p>
    <w:p w:rsidR="00331EDA" w:rsidRDefault="00331EDA" w:rsidP="007572E9">
      <w:pPr>
        <w:pStyle w:val="Heading3"/>
        <w:tabs>
          <w:tab w:val="clear" w:pos="1418"/>
          <w:tab w:val="left" w:pos="720"/>
        </w:tabs>
      </w:pPr>
      <w:r>
        <w:t>(c)</w:t>
      </w:r>
      <w:r>
        <w:tab/>
        <w:t>Creation and collection of records by B/Ds</w:t>
      </w:r>
    </w:p>
    <w:p w:rsidR="00331EDA" w:rsidRDefault="00331EDA">
      <w:pPr>
        <w:tabs>
          <w:tab w:val="clear" w:pos="1418"/>
          <w:tab w:val="left" w:pos="1440"/>
        </w:tabs>
        <w:ind w:left="270"/>
        <w:rPr>
          <w:rFonts w:cs="Arial"/>
        </w:rPr>
      </w:pPr>
    </w:p>
    <w:p w:rsidR="00331EDA" w:rsidRDefault="00331EDA">
      <w:r>
        <w:t>2.13</w:t>
      </w:r>
      <w:r>
        <w:tab/>
      </w:r>
      <w:r>
        <w:rPr>
          <w:rFonts w:hint="eastAsia"/>
        </w:rPr>
        <w:tab/>
      </w:r>
      <w:r>
        <w:t>B/Ds are generally required to create and collect adequate but not excessive records to meet their operational, policy, legal and financial purpose having regard to their business functions.</w:t>
      </w:r>
      <w:r>
        <w:rPr>
          <w:rStyle w:val="FootnoteReference"/>
          <w:rFonts w:cs="Arial"/>
        </w:rPr>
        <w:footnoteReference w:id="47"/>
      </w:r>
      <w:r>
        <w:t xml:space="preserve">  To minimise the risk of inadequate creation or collection of records, B/Ds should promulgate relevant business rules and guidelines to all staff for compliance,</w:t>
      </w:r>
      <w:r>
        <w:rPr>
          <w:rStyle w:val="FootnoteReference"/>
          <w:rFonts w:cs="Arial"/>
        </w:rPr>
        <w:footnoteReference w:id="48"/>
      </w:r>
      <w:r>
        <w:t xml:space="preserve"> and review them at least once every two years.</w:t>
      </w:r>
      <w:r>
        <w:rPr>
          <w:rStyle w:val="FootnoteReference"/>
          <w:rFonts w:cs="Arial"/>
        </w:rPr>
        <w:footnoteReference w:id="49"/>
      </w:r>
      <w:r>
        <w:t xml:space="preserve">  </w:t>
      </w:r>
    </w:p>
    <w:p w:rsidR="00331EDA" w:rsidRDefault="00331EDA">
      <w:pPr>
        <w:tabs>
          <w:tab w:val="clear" w:pos="1418"/>
          <w:tab w:val="left" w:pos="1440"/>
        </w:tabs>
        <w:ind w:left="270"/>
        <w:rPr>
          <w:rFonts w:cs="Arial"/>
        </w:rPr>
      </w:pPr>
    </w:p>
    <w:p w:rsidR="00331EDA" w:rsidRDefault="00331EDA" w:rsidP="00F34797">
      <w:pPr>
        <w:widowControl/>
      </w:pPr>
      <w:r>
        <w:lastRenderedPageBreak/>
        <w:t>2.14</w:t>
      </w:r>
      <w:r>
        <w:tab/>
      </w:r>
      <w:r>
        <w:rPr>
          <w:rFonts w:hint="eastAsia"/>
        </w:rPr>
        <w:tab/>
      </w:r>
      <w:r>
        <w:t>The records captured should contain not only the content but also the structure and contextual information</w:t>
      </w:r>
      <w:r>
        <w:rPr>
          <w:rStyle w:val="FootnoteReference"/>
          <w:rFonts w:cs="Arial"/>
        </w:rPr>
        <w:footnoteReference w:id="50"/>
      </w:r>
      <w:r>
        <w:t xml:space="preserve"> necessary to document an official activity or transaction.</w:t>
      </w:r>
      <w:r>
        <w:rPr>
          <w:rStyle w:val="FootnoteReference"/>
          <w:rFonts w:cs="Arial"/>
        </w:rPr>
        <w:footnoteReference w:id="51"/>
      </w:r>
    </w:p>
    <w:p w:rsidR="00331EDA" w:rsidRDefault="00331EDA">
      <w:pPr>
        <w:tabs>
          <w:tab w:val="clear" w:pos="1418"/>
          <w:tab w:val="left" w:pos="1440"/>
        </w:tabs>
        <w:ind w:left="270"/>
        <w:rPr>
          <w:rFonts w:cs="Arial"/>
        </w:rPr>
      </w:pPr>
    </w:p>
    <w:p w:rsidR="00331EDA" w:rsidRDefault="00331EDA">
      <w:r>
        <w:t>2.15</w:t>
      </w:r>
      <w:r>
        <w:tab/>
      </w:r>
      <w:r>
        <w:rPr>
          <w:rFonts w:hint="eastAsia"/>
        </w:rPr>
        <w:tab/>
      </w:r>
      <w:r>
        <w:t>Records should be created in the most suitable medium and format that would facilitate access, use and preservation as required.</w:t>
      </w:r>
      <w:r>
        <w:rPr>
          <w:rStyle w:val="FootnoteReference"/>
          <w:rFonts w:cs="Arial"/>
        </w:rPr>
        <w:footnoteReference w:id="52"/>
      </w:r>
      <w:r>
        <w:t xml:space="preserve">  For electronic mail records, B/Ds are required to print and file them in paper-based files</w:t>
      </w:r>
      <w:r>
        <w:rPr>
          <w:rStyle w:val="FootnoteReference"/>
          <w:rFonts w:cs="Arial"/>
        </w:rPr>
        <w:footnoteReference w:id="53"/>
      </w:r>
      <w:r>
        <w:t xml:space="preserve"> pending the implementation of </w:t>
      </w:r>
      <w:r>
        <w:rPr>
          <w:lang w:eastAsia="zh-HK"/>
        </w:rPr>
        <w:t>an e</w:t>
      </w:r>
      <w:r>
        <w:t xml:space="preserve">lectronic </w:t>
      </w:r>
      <w:r>
        <w:rPr>
          <w:lang w:eastAsia="zh-HK"/>
        </w:rPr>
        <w:t>r</w:t>
      </w:r>
      <w:r>
        <w:t xml:space="preserve">ecordkeeping </w:t>
      </w:r>
      <w:r>
        <w:rPr>
          <w:lang w:eastAsia="zh-HK"/>
        </w:rPr>
        <w:t>s</w:t>
      </w:r>
      <w:r>
        <w:t xml:space="preserve">ystem </w:t>
      </w:r>
      <w:r>
        <w:rPr>
          <w:lang w:eastAsia="zh-HK"/>
        </w:rPr>
        <w:t>("</w:t>
      </w:r>
      <w:r>
        <w:rPr>
          <w:b/>
        </w:rPr>
        <w:t>ERKS</w:t>
      </w:r>
      <w:r w:rsidRPr="00E459F6">
        <w:t>"</w:t>
      </w:r>
      <w:r>
        <w:rPr>
          <w:lang w:eastAsia="zh-HK"/>
        </w:rPr>
        <w:t>)</w:t>
      </w:r>
      <w:r>
        <w:t xml:space="preserve"> for keeping electronic records.  Records created or collected should be kept in an identifiable recordkeeping system</w:t>
      </w:r>
      <w:r>
        <w:rPr>
          <w:rStyle w:val="FootnoteReference"/>
          <w:rFonts w:cs="Arial"/>
        </w:rPr>
        <w:footnoteReference w:id="54"/>
      </w:r>
      <w:r>
        <w:t xml:space="preserve"> which should include at least a records classification scheme(s). </w:t>
      </w:r>
    </w:p>
    <w:p w:rsidR="00331EDA" w:rsidRDefault="00331EDA">
      <w:pPr>
        <w:tabs>
          <w:tab w:val="clear" w:pos="1418"/>
          <w:tab w:val="left" w:pos="1440"/>
        </w:tabs>
        <w:ind w:left="270"/>
        <w:rPr>
          <w:rFonts w:cs="Arial"/>
        </w:rPr>
      </w:pPr>
    </w:p>
    <w:p w:rsidR="00331EDA" w:rsidRDefault="00331EDA">
      <w:pPr>
        <w:tabs>
          <w:tab w:val="clear" w:pos="1418"/>
          <w:tab w:val="left" w:pos="1440"/>
        </w:tabs>
        <w:rPr>
          <w:rFonts w:cs="Arial"/>
        </w:rPr>
      </w:pPr>
    </w:p>
    <w:p w:rsidR="00331EDA" w:rsidRDefault="00331EDA">
      <w:pPr>
        <w:pStyle w:val="Heading3"/>
        <w:ind w:left="720" w:hanging="720"/>
      </w:pPr>
      <w:r>
        <w:t>(d)</w:t>
      </w:r>
      <w:r>
        <w:tab/>
        <w:t>Maintenance of accurate records inventory in B/Ds for tracking of records</w:t>
      </w:r>
    </w:p>
    <w:p w:rsidR="00331EDA" w:rsidRDefault="00331EDA">
      <w:pPr>
        <w:tabs>
          <w:tab w:val="clear" w:pos="1418"/>
          <w:tab w:val="left" w:pos="1440"/>
        </w:tabs>
        <w:rPr>
          <w:rFonts w:cs="Arial"/>
          <w:i/>
        </w:rPr>
      </w:pPr>
    </w:p>
    <w:p w:rsidR="00331EDA" w:rsidRDefault="00331EDA">
      <w:r>
        <w:t>2.16</w:t>
      </w:r>
      <w:r>
        <w:tab/>
      </w:r>
      <w:r>
        <w:rPr>
          <w:rFonts w:hint="eastAsia"/>
        </w:rPr>
        <w:tab/>
      </w:r>
      <w:r>
        <w:t>B/Ds should prepare and maintain an accurate inventory of all records which should at least include file titles, file reference numbers, dates opened and dates closed, and locations.</w:t>
      </w:r>
      <w:r>
        <w:rPr>
          <w:rStyle w:val="FootnoteReference"/>
          <w:rFonts w:cs="Arial"/>
        </w:rPr>
        <w:footnoteReference w:id="55"/>
      </w:r>
      <w:r>
        <w:t xml:space="preserve">  B/Ds should maintain audit trail of transactions, document the physical movement of records, and implement the recordkeeping system to maintain control on records tracking.</w:t>
      </w:r>
      <w:r>
        <w:rPr>
          <w:rStyle w:val="FootnoteReference"/>
          <w:rFonts w:cs="Arial"/>
        </w:rPr>
        <w:footnoteReference w:id="56"/>
      </w:r>
      <w:r>
        <w:t xml:space="preserve">  </w:t>
      </w:r>
    </w:p>
    <w:p w:rsidR="00331EDA" w:rsidRDefault="00331EDA">
      <w:pPr>
        <w:tabs>
          <w:tab w:val="clear" w:pos="1418"/>
          <w:tab w:val="left" w:pos="1440"/>
        </w:tabs>
        <w:rPr>
          <w:rFonts w:cs="Arial"/>
          <w:i/>
        </w:rPr>
      </w:pPr>
    </w:p>
    <w:p w:rsidR="00331EDA" w:rsidRDefault="00331EDA">
      <w:pPr>
        <w:tabs>
          <w:tab w:val="clear" w:pos="1418"/>
          <w:tab w:val="left" w:pos="1440"/>
        </w:tabs>
        <w:rPr>
          <w:rFonts w:cs="Arial"/>
          <w:i/>
        </w:rPr>
      </w:pPr>
    </w:p>
    <w:p w:rsidR="00331EDA" w:rsidRDefault="00331EDA" w:rsidP="00331EDA">
      <w:pPr>
        <w:pStyle w:val="Heading3"/>
        <w:tabs>
          <w:tab w:val="clear" w:pos="1418"/>
          <w:tab w:val="left" w:pos="720"/>
        </w:tabs>
        <w:rPr>
          <w:lang w:eastAsia="zh-HK"/>
        </w:rPr>
      </w:pPr>
      <w:r>
        <w:lastRenderedPageBreak/>
        <w:t>(e)</w:t>
      </w:r>
      <w:r>
        <w:tab/>
        <w:t>Content classification</w:t>
      </w:r>
      <w:r>
        <w:rPr>
          <w:rFonts w:hint="eastAsia"/>
          <w:lang w:eastAsia="zh-HK"/>
        </w:rPr>
        <w:t xml:space="preserve"> </w:t>
      </w:r>
    </w:p>
    <w:p w:rsidR="00331EDA" w:rsidRDefault="00331EDA" w:rsidP="00331EDA">
      <w:pPr>
        <w:keepNext/>
        <w:tabs>
          <w:tab w:val="clear" w:pos="1418"/>
          <w:tab w:val="left" w:pos="720"/>
        </w:tabs>
        <w:rPr>
          <w:rFonts w:cs="Arial"/>
        </w:rPr>
      </w:pPr>
    </w:p>
    <w:p w:rsidR="00331EDA" w:rsidRDefault="00331EDA">
      <w:r>
        <w:t>2.17</w:t>
      </w:r>
      <w:r>
        <w:tab/>
      </w:r>
      <w:r>
        <w:rPr>
          <w:rFonts w:hint="eastAsia"/>
        </w:rPr>
        <w:tab/>
      </w:r>
      <w:r>
        <w:t>Each B/D should establish and maintain a records classification scheme that builds around its functions and organisation and covers all official records.</w:t>
      </w:r>
      <w:r>
        <w:rPr>
          <w:rStyle w:val="FootnoteReference"/>
          <w:rFonts w:cs="Arial"/>
        </w:rPr>
        <w:footnoteReference w:id="57"/>
      </w:r>
      <w:r>
        <w:t xml:space="preserve">  B/Ds should organise records according to classification schemes</w:t>
      </w:r>
      <w:r>
        <w:rPr>
          <w:rStyle w:val="FootnoteReference"/>
          <w:rFonts w:cs="Arial"/>
        </w:rPr>
        <w:footnoteReference w:id="58"/>
      </w:r>
      <w:r>
        <w:t xml:space="preserve"> to facilitate access to and retrieval of records.     </w:t>
      </w:r>
    </w:p>
    <w:p w:rsidR="00331EDA" w:rsidRDefault="00331EDA">
      <w:pPr>
        <w:tabs>
          <w:tab w:val="clear" w:pos="1418"/>
          <w:tab w:val="left" w:pos="1440"/>
        </w:tabs>
        <w:ind w:left="270"/>
        <w:rPr>
          <w:rFonts w:cs="Arial"/>
        </w:rPr>
      </w:pPr>
    </w:p>
    <w:p w:rsidR="00331EDA" w:rsidRDefault="00331EDA">
      <w:r>
        <w:t>2.18</w:t>
      </w:r>
      <w:r>
        <w:tab/>
      </w:r>
      <w:r>
        <w:rPr>
          <w:rFonts w:hint="eastAsia"/>
        </w:rPr>
        <w:tab/>
      </w:r>
      <w:r>
        <w:t>Administrative records and programme records</w:t>
      </w:r>
      <w:r>
        <w:rPr>
          <w:rStyle w:val="FootnoteReference"/>
          <w:rFonts w:cs="Arial"/>
        </w:rPr>
        <w:footnoteReference w:id="59"/>
      </w:r>
      <w:r>
        <w:t xml:space="preserve"> are of different nature, and should be subject to different retention and disposal requirements.</w:t>
      </w:r>
      <w:r>
        <w:rPr>
          <w:rStyle w:val="FootnoteReference"/>
          <w:rFonts w:cs="Arial"/>
        </w:rPr>
        <w:footnoteReference w:id="60"/>
      </w:r>
      <w:r>
        <w:t xml:space="preserve">  Given the generic nature of administrative records, the GRS has promulgated a standard classification scheme which provides standard primary subject terms on administrative activities to help B/Ds in organising common administrative records and in disposing of such records.</w:t>
      </w:r>
      <w:r>
        <w:rPr>
          <w:rStyle w:val="FootnoteReference"/>
          <w:rFonts w:cs="Arial"/>
        </w:rPr>
        <w:footnoteReference w:id="61"/>
      </w:r>
      <w:r>
        <w:t xml:space="preserve">  It also facilitates B/Ds by developing a set of General Administrative Records Disposal Schedules ("</w:t>
      </w:r>
      <w:r>
        <w:rPr>
          <w:b/>
        </w:rPr>
        <w:t>GARDS</w:t>
      </w:r>
      <w:r w:rsidRPr="00483F1F">
        <w:t>"</w:t>
      </w:r>
      <w:r>
        <w:t>) on the disposal of time-expired administrative records.  By adopting the GARD</w:t>
      </w:r>
      <w:r>
        <w:rPr>
          <w:rFonts w:hint="eastAsia"/>
          <w:lang w:eastAsia="zh-HK"/>
        </w:rPr>
        <w:t>S</w:t>
      </w:r>
      <w:r>
        <w:t>, there is, generally speaking, no need for B/Ds to compile their own records retention and disposal schedules</w:t>
      </w:r>
      <w:r>
        <w:rPr>
          <w:rFonts w:hint="eastAsia"/>
          <w:lang w:eastAsia="zh-HK"/>
        </w:rPr>
        <w:t xml:space="preserve"> for </w:t>
      </w:r>
      <w:r>
        <w:rPr>
          <w:lang w:eastAsia="zh-HK"/>
        </w:rPr>
        <w:t>administrative</w:t>
      </w:r>
      <w:r>
        <w:rPr>
          <w:rFonts w:hint="eastAsia"/>
          <w:lang w:eastAsia="zh-HK"/>
        </w:rPr>
        <w:t xml:space="preserve"> records</w:t>
      </w:r>
      <w:r>
        <w:t>.</w:t>
      </w:r>
      <w:r>
        <w:rPr>
          <w:rStyle w:val="FootnoteReference"/>
          <w:rFonts w:cs="Arial"/>
        </w:rPr>
        <w:footnoteReference w:id="62"/>
      </w:r>
    </w:p>
    <w:p w:rsidR="00331EDA" w:rsidRDefault="00331EDA">
      <w:pPr>
        <w:tabs>
          <w:tab w:val="clear" w:pos="1418"/>
          <w:tab w:val="left" w:pos="1440"/>
        </w:tabs>
        <w:ind w:left="270"/>
        <w:rPr>
          <w:rFonts w:cs="Arial"/>
        </w:rPr>
      </w:pPr>
    </w:p>
    <w:p w:rsidR="00331EDA" w:rsidRDefault="00331EDA">
      <w:r>
        <w:t>2.19</w:t>
      </w:r>
      <w:r>
        <w:tab/>
      </w:r>
      <w:r>
        <w:rPr>
          <w:rFonts w:hint="eastAsia"/>
        </w:rPr>
        <w:tab/>
      </w:r>
      <w:r>
        <w:t xml:space="preserve">The </w:t>
      </w:r>
      <w:r>
        <w:rPr>
          <w:rFonts w:hint="eastAsia"/>
          <w:lang w:eastAsia="zh-HK"/>
        </w:rPr>
        <w:t>RMP1</w:t>
      </w:r>
      <w:r>
        <w:t xml:space="preserve"> sets out the procedures to implement retention and disposal requirements of the GARDS in two stages, namely (1) identify and determine the proper retention and disposal requirements for administrative records; and (2) dispose of time-expired administrative records.</w:t>
      </w:r>
      <w:r>
        <w:rPr>
          <w:rStyle w:val="FootnoteReference"/>
          <w:rFonts w:cs="Arial"/>
        </w:rPr>
        <w:footnoteReference w:id="63"/>
      </w:r>
      <w:r>
        <w:t xml:space="preserve">  A common set of disposal schedules, relevant guidance and instructions can be found in RMP4, which is reviewed and updated by the GRS from time to time. </w:t>
      </w:r>
    </w:p>
    <w:p w:rsidR="00331EDA" w:rsidRDefault="00331EDA">
      <w:pPr>
        <w:tabs>
          <w:tab w:val="clear" w:pos="1418"/>
          <w:tab w:val="left" w:pos="1440"/>
        </w:tabs>
        <w:ind w:left="270"/>
        <w:rPr>
          <w:rFonts w:cs="Arial"/>
        </w:rPr>
      </w:pPr>
    </w:p>
    <w:p w:rsidR="00331EDA" w:rsidRDefault="00331EDA">
      <w:r>
        <w:t>2.20</w:t>
      </w:r>
      <w:r>
        <w:tab/>
      </w:r>
      <w:r>
        <w:rPr>
          <w:rFonts w:hint="eastAsia"/>
        </w:rPr>
        <w:tab/>
      </w:r>
      <w:r>
        <w:t xml:space="preserve">Since programme records are unique to each B/D, classification scheme(s) should be developed by each B/D for its own records making reference to the procedures set out in RMP3. </w:t>
      </w:r>
    </w:p>
    <w:p w:rsidR="00331EDA" w:rsidRDefault="00331EDA">
      <w:pPr>
        <w:tabs>
          <w:tab w:val="clear" w:pos="1418"/>
          <w:tab w:val="left" w:pos="1440"/>
        </w:tabs>
        <w:ind w:left="270"/>
        <w:rPr>
          <w:rFonts w:cs="Arial"/>
        </w:rPr>
      </w:pPr>
    </w:p>
    <w:p w:rsidR="00331EDA" w:rsidRDefault="00331EDA" w:rsidP="00331EDA">
      <w:r>
        <w:t>2.21</w:t>
      </w:r>
      <w:r>
        <w:tab/>
      </w:r>
      <w:r>
        <w:rPr>
          <w:rFonts w:hint="eastAsia"/>
        </w:rPr>
        <w:tab/>
      </w:r>
      <w:r>
        <w:t xml:space="preserve">Where administrative and programme records have been mingled together, B/Ds should adopt the principles set out in the </w:t>
      </w:r>
      <w:r>
        <w:rPr>
          <w:rFonts w:hint="eastAsia"/>
          <w:lang w:eastAsia="zh-HK"/>
        </w:rPr>
        <w:t xml:space="preserve">RMP1 </w:t>
      </w:r>
      <w:r>
        <w:t>as appropriate to determine the proper retention periods and disposal actions of the concerned records.</w:t>
      </w:r>
      <w:r>
        <w:rPr>
          <w:rStyle w:val="FootnoteReference"/>
          <w:rFonts w:cs="Arial"/>
        </w:rPr>
        <w:footnoteReference w:id="64"/>
      </w:r>
    </w:p>
    <w:p w:rsidR="00E95210" w:rsidRDefault="00E95210" w:rsidP="00331EDA"/>
    <w:p w:rsidR="00331EDA" w:rsidRDefault="00331EDA" w:rsidP="007572E9">
      <w:pPr>
        <w:pStyle w:val="Heading3"/>
        <w:tabs>
          <w:tab w:val="clear" w:pos="1418"/>
          <w:tab w:val="left" w:pos="720"/>
        </w:tabs>
      </w:pPr>
      <w:r>
        <w:t>(f)</w:t>
      </w:r>
      <w:r>
        <w:tab/>
        <w:t>Records scheduling and disposal</w:t>
      </w:r>
      <w:r>
        <w:rPr>
          <w:rStyle w:val="FootnoteReference"/>
          <w:rFonts w:cs="Arial"/>
          <w:b w:val="0"/>
          <w:i w:val="0"/>
        </w:rPr>
        <w:footnoteReference w:id="65"/>
      </w:r>
    </w:p>
    <w:p w:rsidR="00331EDA" w:rsidRPr="00483F1F" w:rsidRDefault="00331EDA" w:rsidP="00331EDA">
      <w:pPr>
        <w:keepNext/>
        <w:tabs>
          <w:tab w:val="clear" w:pos="1418"/>
          <w:tab w:val="left" w:pos="1440"/>
        </w:tabs>
        <w:ind w:left="270"/>
        <w:rPr>
          <w:rFonts w:cs="Arial"/>
        </w:rPr>
      </w:pPr>
    </w:p>
    <w:p w:rsidR="00331EDA" w:rsidRDefault="00331EDA">
      <w:r>
        <w:t>2.22</w:t>
      </w:r>
      <w:r>
        <w:tab/>
      </w:r>
      <w:r>
        <w:rPr>
          <w:rFonts w:hint="eastAsia"/>
        </w:rPr>
        <w:tab/>
      </w:r>
      <w:r>
        <w:t xml:space="preserve">To </w:t>
      </w:r>
      <w:r>
        <w:rPr>
          <w:rFonts w:hint="eastAsia"/>
          <w:lang w:eastAsia="zh-HK"/>
        </w:rPr>
        <w:t>facilitate easy</w:t>
      </w:r>
      <w:r>
        <w:t xml:space="preserve"> retrieval of records and </w:t>
      </w:r>
      <w:r>
        <w:rPr>
          <w:rFonts w:hint="eastAsia"/>
        </w:rPr>
        <w:t>to</w:t>
      </w:r>
      <w:r>
        <w:rPr>
          <w:rFonts w:hint="eastAsia"/>
          <w:lang w:eastAsia="zh-HK"/>
        </w:rPr>
        <w:t xml:space="preserve"> minimise costs for</w:t>
      </w:r>
      <w:r>
        <w:t xml:space="preserve"> </w:t>
      </w:r>
      <w:r>
        <w:rPr>
          <w:rFonts w:hint="eastAsia"/>
          <w:lang w:eastAsia="zh-HK"/>
        </w:rPr>
        <w:t xml:space="preserve">maintenance and </w:t>
      </w:r>
      <w:r>
        <w:t>storing records, B/Ds are required to properly plan and implement records disposal.</w:t>
      </w:r>
      <w:r>
        <w:rPr>
          <w:rStyle w:val="FootnoteReference"/>
          <w:rFonts w:cs="Arial"/>
        </w:rPr>
        <w:footnoteReference w:id="66"/>
      </w:r>
      <w:r>
        <w:t xml:space="preserve">  Records disposal refers to the variety of ways and actions taken on records no longer in active use, ie transfer of records to GRS for appraisal of their archival value, permanent retention as archival records, immediate destruction, or migrating the content of records to a different storage medium such as microform or electronic format</w:t>
      </w:r>
      <w:r>
        <w:rPr>
          <w:rFonts w:hint="eastAsia"/>
          <w:lang w:eastAsia="zh-HK"/>
        </w:rPr>
        <w:t xml:space="preserve"> for prolonged retention</w:t>
      </w:r>
      <w:r>
        <w:t>.</w:t>
      </w:r>
      <w:r>
        <w:rPr>
          <w:rStyle w:val="FootnoteReference"/>
          <w:rFonts w:cs="Arial"/>
        </w:rPr>
        <w:footnoteReference w:id="67"/>
      </w:r>
      <w:r>
        <w:t xml:space="preserve">  </w:t>
      </w:r>
    </w:p>
    <w:p w:rsidR="00331EDA" w:rsidRDefault="00331EDA">
      <w:pPr>
        <w:pStyle w:val="ListParagraph"/>
        <w:tabs>
          <w:tab w:val="clear" w:pos="1418"/>
          <w:tab w:val="left" w:pos="1440"/>
        </w:tabs>
        <w:ind w:left="0"/>
        <w:rPr>
          <w:rFonts w:cs="Arial"/>
        </w:rPr>
      </w:pPr>
    </w:p>
    <w:p w:rsidR="00331EDA" w:rsidRDefault="00331EDA">
      <w:r>
        <w:t>2.23</w:t>
      </w:r>
      <w:r>
        <w:tab/>
      </w:r>
      <w:r>
        <w:rPr>
          <w:rFonts w:hint="eastAsia"/>
        </w:rPr>
        <w:tab/>
      </w:r>
      <w:r>
        <w:t>The GRS has the overall responsibility for authorising the disposal of government records through approving records disposal requests and records disposal schedules, and issuing disposal authority or agreement.</w:t>
      </w:r>
      <w:r>
        <w:rPr>
          <w:rStyle w:val="FootnoteReference"/>
          <w:rFonts w:cs="Arial"/>
        </w:rPr>
        <w:footnoteReference w:id="68"/>
      </w:r>
      <w:r>
        <w:t xml:space="preserve">  A records disposal schedule is a systematic listing or description of B/D's records which indicates the arrangements to be made for their custody, retention period and disposal action.</w:t>
      </w:r>
      <w:r>
        <w:rPr>
          <w:rStyle w:val="FootnoteReference"/>
          <w:rFonts w:cs="Arial"/>
        </w:rPr>
        <w:footnoteReference w:id="69"/>
      </w:r>
      <w:r>
        <w:t xml:space="preserve">  B/Ds should draw up their records disposal schedules in accordance with the GRS' guidelines. </w:t>
      </w:r>
    </w:p>
    <w:p w:rsidR="00331EDA" w:rsidRDefault="00331EDA">
      <w:pPr>
        <w:pStyle w:val="ListParagraph"/>
        <w:tabs>
          <w:tab w:val="clear" w:pos="1418"/>
          <w:tab w:val="left" w:pos="1440"/>
        </w:tabs>
        <w:ind w:left="0"/>
        <w:rPr>
          <w:rFonts w:cs="Arial"/>
          <w:lang w:eastAsia="zh-HK"/>
        </w:rPr>
      </w:pPr>
    </w:p>
    <w:p w:rsidR="00331EDA" w:rsidRDefault="00331EDA">
      <w:r>
        <w:t>2.24</w:t>
      </w:r>
      <w:r>
        <w:tab/>
      </w:r>
      <w:r>
        <w:rPr>
          <w:rFonts w:hint="eastAsia"/>
        </w:rPr>
        <w:tab/>
      </w:r>
      <w:r>
        <w:t>B/Ds should dispose of time-expired records (ie inactive records which have been retained for the period specified in the GARDS for administrative records or the approved disposal schedules for programme records and are ready for disposal) at least once every two years.</w:t>
      </w:r>
      <w:r>
        <w:rPr>
          <w:rStyle w:val="FootnoteReference"/>
          <w:rFonts w:cs="Arial"/>
        </w:rPr>
        <w:footnoteReference w:id="70"/>
      </w:r>
      <w:r>
        <w:t xml:space="preserve">  In the interests of proper internal control, disposal of records should be considered and endorsed in writing by a senior officer not below the rank of Senior Executive Officer or equivalent in the B/D.</w:t>
      </w:r>
      <w:r>
        <w:rPr>
          <w:rStyle w:val="FootnoteReference"/>
          <w:rFonts w:cs="Arial"/>
        </w:rPr>
        <w:footnoteReference w:id="71"/>
      </w:r>
      <w:r>
        <w:t xml:space="preserve">  </w:t>
      </w:r>
    </w:p>
    <w:p w:rsidR="00331EDA" w:rsidRDefault="00331EDA">
      <w:pPr>
        <w:tabs>
          <w:tab w:val="clear" w:pos="1418"/>
          <w:tab w:val="left" w:pos="1440"/>
        </w:tabs>
        <w:ind w:left="270"/>
        <w:rPr>
          <w:rFonts w:cs="Arial"/>
        </w:rPr>
      </w:pPr>
    </w:p>
    <w:p w:rsidR="00331EDA" w:rsidRDefault="00331EDA">
      <w:r>
        <w:t>2.25</w:t>
      </w:r>
      <w:r>
        <w:tab/>
      </w:r>
      <w:r>
        <w:rPr>
          <w:rFonts w:hint="eastAsia"/>
        </w:rPr>
        <w:tab/>
      </w:r>
      <w:r>
        <w:t>The procedures and requirements for disposing of administrative records are different from those for programme records.  For administrative records, B/Ds should adopt the GARD</w:t>
      </w:r>
      <w:r>
        <w:rPr>
          <w:lang w:eastAsia="zh-HK"/>
        </w:rPr>
        <w:t>S</w:t>
      </w:r>
      <w:r>
        <w:t xml:space="preserve"> promulgated by the GRS, and obtain the GRS' approval for the disposal.  GARD</w:t>
      </w:r>
      <w:r>
        <w:rPr>
          <w:lang w:eastAsia="zh-HK"/>
        </w:rPr>
        <w:t>S</w:t>
      </w:r>
      <w:r>
        <w:t xml:space="preserve"> sets out the retention periods and the disposal actions of records in different subject groups </w:t>
      </w:r>
      <w:r>
        <w:rPr>
          <w:lang w:eastAsia="zh-HK"/>
        </w:rPr>
        <w:t xml:space="preserve">under six </w:t>
      </w:r>
      <w:r>
        <w:t>schedules (such as administration, accommodation and facilities as well as procurement and supplies).</w:t>
      </w:r>
      <w:r>
        <w:rPr>
          <w:rStyle w:val="FootnoteReference"/>
          <w:rFonts w:cs="Arial"/>
        </w:rPr>
        <w:footnoteReference w:id="72"/>
      </w:r>
      <w:r>
        <w:t xml:space="preserve">  </w:t>
      </w:r>
    </w:p>
    <w:p w:rsidR="00331EDA" w:rsidRDefault="00331EDA">
      <w:pPr>
        <w:tabs>
          <w:tab w:val="clear" w:pos="1418"/>
          <w:tab w:val="left" w:pos="1440"/>
        </w:tabs>
        <w:ind w:left="270"/>
        <w:rPr>
          <w:rFonts w:cs="Arial"/>
        </w:rPr>
      </w:pPr>
    </w:p>
    <w:p w:rsidR="00331EDA" w:rsidRDefault="00331EDA">
      <w:r>
        <w:t>2.26</w:t>
      </w:r>
      <w:r>
        <w:tab/>
      </w:r>
      <w:r>
        <w:rPr>
          <w:rFonts w:hint="eastAsia"/>
        </w:rPr>
        <w:tab/>
      </w:r>
      <w:r>
        <w:t xml:space="preserve">For programme records, B/Ds should, in consultation with the GRS, develop their own records disposal schedules in accordance with the </w:t>
      </w:r>
      <w:r>
        <w:lastRenderedPageBreak/>
        <w:t>GRS' guidelines.</w:t>
      </w:r>
      <w:r>
        <w:rPr>
          <w:rStyle w:val="FootnoteReference"/>
          <w:rFonts w:cs="Arial"/>
        </w:rPr>
        <w:footnoteReference w:id="73"/>
      </w:r>
      <w:r>
        <w:t xml:space="preserve">  The DRM of each B/D </w:t>
      </w:r>
      <w:r>
        <w:rPr>
          <w:rFonts w:hint="eastAsia"/>
          <w:lang w:eastAsia="zh-HK"/>
        </w:rPr>
        <w:t>may</w:t>
      </w:r>
      <w:r>
        <w:t xml:space="preserve"> appoint Assistant DRM(s) </w:t>
      </w:r>
      <w:r>
        <w:rPr>
          <w:rFonts w:hint="eastAsia"/>
          <w:lang w:eastAsia="zh-HK"/>
        </w:rPr>
        <w:t xml:space="preserve">and other responsible staff </w:t>
      </w:r>
      <w:r>
        <w:t xml:space="preserve">to </w:t>
      </w:r>
      <w:r>
        <w:rPr>
          <w:rFonts w:hint="eastAsia"/>
          <w:lang w:eastAsia="zh-HK"/>
        </w:rPr>
        <w:t xml:space="preserve">coordinate the </w:t>
      </w:r>
      <w:r>
        <w:t>draw</w:t>
      </w:r>
      <w:r>
        <w:rPr>
          <w:rFonts w:hint="eastAsia"/>
          <w:lang w:eastAsia="zh-HK"/>
        </w:rPr>
        <w:t>ing</w:t>
      </w:r>
      <w:r>
        <w:t xml:space="preserve"> up </w:t>
      </w:r>
      <w:r>
        <w:rPr>
          <w:rFonts w:hint="eastAsia"/>
          <w:lang w:eastAsia="zh-HK"/>
        </w:rPr>
        <w:t xml:space="preserve">of </w:t>
      </w:r>
      <w:r>
        <w:t>the Programme Records Disposal Schedule to ensure the systematic and consistent disposal of their programme records.</w:t>
      </w:r>
      <w:r>
        <w:rPr>
          <w:rStyle w:val="FootnoteReference"/>
          <w:rFonts w:cs="Arial"/>
        </w:rPr>
        <w:footnoteReference w:id="74"/>
      </w:r>
      <w:r>
        <w:t xml:space="preserve">  Draft disposal schedules should be endorsed by the B/Ds and then forwarded to the GRS for its Director's agreement.</w:t>
      </w:r>
      <w:r>
        <w:rPr>
          <w:rStyle w:val="FootnoteReference"/>
          <w:rFonts w:cs="Arial"/>
        </w:rPr>
        <w:footnoteReference w:id="75"/>
      </w:r>
      <w:r>
        <w:t xml:space="preserve">  The GRS will consider the draft schedule and discuss with B/Ds with a view to finalising it.  </w:t>
      </w:r>
    </w:p>
    <w:p w:rsidR="00331EDA" w:rsidRDefault="00331EDA">
      <w:pPr>
        <w:tabs>
          <w:tab w:val="clear" w:pos="1418"/>
          <w:tab w:val="left" w:pos="1440"/>
        </w:tabs>
        <w:ind w:left="270"/>
        <w:rPr>
          <w:rFonts w:cs="Arial"/>
        </w:rPr>
      </w:pPr>
    </w:p>
    <w:p w:rsidR="00331EDA" w:rsidRDefault="00331EDA">
      <w:r>
        <w:t>2.27</w:t>
      </w:r>
      <w:r>
        <w:tab/>
      </w:r>
      <w:r>
        <w:rPr>
          <w:rFonts w:hint="eastAsia"/>
        </w:rPr>
        <w:tab/>
      </w:r>
      <w:r>
        <w:t>B/Ds must obtain the GRS Director's prior agreement before they destroy or dispose of any government records in accordance with the disposal schedules.</w:t>
      </w:r>
      <w:r>
        <w:rPr>
          <w:rStyle w:val="FootnoteReference"/>
          <w:rFonts w:cs="Arial"/>
        </w:rPr>
        <w:footnoteReference w:id="76"/>
      </w:r>
      <w:r>
        <w:t xml:space="preserve">  Files having archival value to be transferred to GRS should also be checked for their completeness.</w:t>
      </w:r>
      <w:r>
        <w:rPr>
          <w:rStyle w:val="FootnoteReference"/>
          <w:rFonts w:cs="Arial"/>
        </w:rPr>
        <w:footnoteReference w:id="77"/>
      </w:r>
      <w:r>
        <w:t xml:space="preserve">  B/Ds should document these checks for accountability.  A list of the records destroyed should also be maintained.  </w:t>
      </w:r>
    </w:p>
    <w:p w:rsidR="00331EDA" w:rsidRDefault="00331EDA">
      <w:pPr>
        <w:pStyle w:val="ListParagraph"/>
        <w:tabs>
          <w:tab w:val="clear" w:pos="1418"/>
          <w:tab w:val="left" w:pos="1440"/>
        </w:tabs>
        <w:rPr>
          <w:rFonts w:cs="Arial"/>
        </w:rPr>
      </w:pPr>
    </w:p>
    <w:p w:rsidR="00331EDA" w:rsidRDefault="00331EDA">
      <w:r>
        <w:t>2.28</w:t>
      </w:r>
      <w:r>
        <w:tab/>
      </w:r>
      <w:r>
        <w:rPr>
          <w:rFonts w:hint="eastAsia"/>
        </w:rPr>
        <w:tab/>
      </w:r>
      <w:r>
        <w:t>All records retention and disposal schedules have to be reviewed by B/Ds at least once every five years to determine whether any amendment is required.</w:t>
      </w:r>
      <w:r>
        <w:rPr>
          <w:rStyle w:val="FootnoteReference"/>
          <w:rFonts w:cs="Arial"/>
        </w:rPr>
        <w:footnoteReference w:id="78"/>
      </w:r>
    </w:p>
    <w:p w:rsidR="00331EDA" w:rsidRDefault="00331EDA">
      <w:pPr>
        <w:tabs>
          <w:tab w:val="clear" w:pos="1418"/>
          <w:tab w:val="left" w:pos="1440"/>
        </w:tabs>
        <w:ind w:left="270"/>
        <w:rPr>
          <w:rFonts w:cs="Arial"/>
        </w:rPr>
      </w:pPr>
    </w:p>
    <w:p w:rsidR="00331EDA" w:rsidRDefault="00331EDA">
      <w:pPr>
        <w:tabs>
          <w:tab w:val="clear" w:pos="1418"/>
          <w:tab w:val="left" w:pos="1440"/>
        </w:tabs>
        <w:ind w:left="270"/>
        <w:rPr>
          <w:rFonts w:cs="Arial"/>
        </w:rPr>
      </w:pPr>
    </w:p>
    <w:p w:rsidR="00331EDA" w:rsidRDefault="00331EDA" w:rsidP="007572E9">
      <w:pPr>
        <w:pStyle w:val="Heading3"/>
        <w:tabs>
          <w:tab w:val="clear" w:pos="1418"/>
          <w:tab w:val="left" w:pos="720"/>
        </w:tabs>
      </w:pPr>
      <w:r>
        <w:t>(g)</w:t>
      </w:r>
      <w:r>
        <w:tab/>
        <w:t>Use, custody and storage of records in B/Ds</w:t>
      </w:r>
    </w:p>
    <w:p w:rsidR="00331EDA" w:rsidRDefault="00331EDA">
      <w:pPr>
        <w:tabs>
          <w:tab w:val="clear" w:pos="1418"/>
          <w:tab w:val="left" w:pos="1440"/>
        </w:tabs>
        <w:ind w:left="270"/>
        <w:rPr>
          <w:rFonts w:cs="Arial"/>
        </w:rPr>
      </w:pPr>
    </w:p>
    <w:p w:rsidR="00331EDA" w:rsidRDefault="00331EDA">
      <w:r>
        <w:t>2.29</w:t>
      </w:r>
      <w:r>
        <w:tab/>
      </w:r>
      <w:r>
        <w:rPr>
          <w:rFonts w:hint="eastAsia"/>
        </w:rPr>
        <w:tab/>
      </w:r>
      <w:r>
        <w:t>B/Ds should put in place appropriate arrangements to ensure the safe custody of records.</w:t>
      </w:r>
      <w:r>
        <w:rPr>
          <w:rStyle w:val="FootnoteReference"/>
          <w:rFonts w:cs="Arial"/>
        </w:rPr>
        <w:footnoteReference w:id="79"/>
      </w:r>
      <w:r>
        <w:t xml:space="preserve">  Records should be stored in appropriate environment and facilities to be protected from unauthorised access, use, disclosure, removal, alienation,</w:t>
      </w:r>
      <w:r>
        <w:rPr>
          <w:rStyle w:val="FootnoteReference"/>
          <w:rFonts w:cs="Arial"/>
        </w:rPr>
        <w:footnoteReference w:id="80"/>
      </w:r>
      <w:r>
        <w:t xml:space="preserve"> deterioration, loss, destruction, dirt, insects, rodents, smoke, chemical exhausts etc.</w:t>
      </w:r>
      <w:r>
        <w:rPr>
          <w:rStyle w:val="FootnoteReference"/>
          <w:rFonts w:cs="Arial"/>
        </w:rPr>
        <w:footnoteReference w:id="81"/>
      </w:r>
      <w:r>
        <w:t xml:space="preserve">    </w:t>
      </w:r>
    </w:p>
    <w:p w:rsidR="00331EDA" w:rsidRDefault="00331EDA">
      <w:pPr>
        <w:pStyle w:val="ListParagraph"/>
        <w:tabs>
          <w:tab w:val="clear" w:pos="1418"/>
          <w:tab w:val="left" w:pos="1440"/>
        </w:tabs>
        <w:ind w:left="0"/>
        <w:rPr>
          <w:rFonts w:cs="Arial"/>
        </w:rPr>
      </w:pPr>
    </w:p>
    <w:p w:rsidR="00331EDA" w:rsidRDefault="00331EDA" w:rsidP="007572E9">
      <w:pPr>
        <w:widowControl/>
      </w:pPr>
      <w:r>
        <w:t>2.30</w:t>
      </w:r>
      <w:r>
        <w:tab/>
      </w:r>
      <w:r>
        <w:rPr>
          <w:rFonts w:hint="eastAsia"/>
        </w:rPr>
        <w:tab/>
      </w:r>
      <w:r>
        <w:t xml:space="preserve">B/Ds should follow the classification which falls into four categories according to their level of sensitivity at a particular time, ie "Top Secret", "Secret", "Confidential" and "Restricted".  Security classification restriction should be imposed for a stated period of time.  DRMs in B/Ds </w:t>
      </w:r>
      <w:r>
        <w:lastRenderedPageBreak/>
        <w:t>should review the classification of documents and records in his custody at least every five years.</w:t>
      </w:r>
      <w:r>
        <w:rPr>
          <w:rStyle w:val="FootnoteReference"/>
          <w:rFonts w:cs="Arial"/>
        </w:rPr>
        <w:footnoteReference w:id="82"/>
      </w:r>
      <w:r>
        <w:t xml:space="preserve">  </w:t>
      </w:r>
    </w:p>
    <w:p w:rsidR="00331EDA" w:rsidRDefault="00331EDA">
      <w:pPr>
        <w:tabs>
          <w:tab w:val="clear" w:pos="1418"/>
          <w:tab w:val="left" w:pos="1440"/>
        </w:tabs>
        <w:ind w:left="270"/>
        <w:rPr>
          <w:rFonts w:cs="Arial"/>
        </w:rPr>
      </w:pPr>
    </w:p>
    <w:p w:rsidR="00331EDA" w:rsidRDefault="00331EDA">
      <w:r>
        <w:t>2.31</w:t>
      </w:r>
      <w:r>
        <w:tab/>
      </w:r>
      <w:r>
        <w:rPr>
          <w:rFonts w:hint="eastAsia"/>
        </w:rPr>
        <w:tab/>
      </w:r>
      <w:r>
        <w:t xml:space="preserve">In case of loss, unauthorised removal, defacing, alteration or destruction of records, B/Ds are required to report the matter to the </w:t>
      </w:r>
      <w:r>
        <w:rPr>
          <w:rFonts w:hint="eastAsia"/>
          <w:lang w:eastAsia="zh-HK"/>
        </w:rPr>
        <w:t xml:space="preserve">respective DRMs and </w:t>
      </w:r>
      <w:r>
        <w:t>GRS Director immediately.</w:t>
      </w:r>
      <w:r>
        <w:rPr>
          <w:rStyle w:val="FootnoteReference"/>
          <w:rFonts w:cs="Arial"/>
        </w:rPr>
        <w:footnoteReference w:id="83"/>
      </w:r>
      <w:r>
        <w:t xml:space="preserve">  The DRM of the B/D concerned should investigate, </w:t>
      </w:r>
      <w:r>
        <w:rPr>
          <w:rFonts w:hint="eastAsia"/>
          <w:lang w:eastAsia="zh-HK"/>
        </w:rPr>
        <w:t xml:space="preserve">reconstruct the records where necessary, take steps to prevent recurrence </w:t>
      </w:r>
      <w:r>
        <w:t>and consider taking disciplinary action or other administrative action against the staff concerned.  The DRM should report his findings and actions taken to the GRS within three months.  The GRS will consider the B/D's findings and actions and provide advice as appropriate.</w:t>
      </w:r>
      <w:r>
        <w:rPr>
          <w:rStyle w:val="FootnoteReference"/>
          <w:rFonts w:cs="Arial"/>
        </w:rPr>
        <w:footnoteReference w:id="84"/>
      </w:r>
    </w:p>
    <w:p w:rsidR="00331EDA" w:rsidRDefault="00331EDA">
      <w:pPr>
        <w:pStyle w:val="ListParagraph"/>
        <w:tabs>
          <w:tab w:val="clear" w:pos="1418"/>
          <w:tab w:val="left" w:pos="1440"/>
        </w:tabs>
        <w:ind w:left="0"/>
        <w:rPr>
          <w:rFonts w:cs="Arial"/>
          <w:i/>
        </w:rPr>
      </w:pPr>
    </w:p>
    <w:p w:rsidR="00331EDA" w:rsidRDefault="00331EDA">
      <w:pPr>
        <w:pStyle w:val="ListParagraph"/>
        <w:tabs>
          <w:tab w:val="clear" w:pos="1418"/>
          <w:tab w:val="left" w:pos="1440"/>
        </w:tabs>
        <w:ind w:left="0"/>
        <w:rPr>
          <w:rFonts w:cs="Arial"/>
          <w:i/>
        </w:rPr>
      </w:pPr>
    </w:p>
    <w:p w:rsidR="00331EDA" w:rsidRDefault="00331EDA" w:rsidP="007572E9">
      <w:pPr>
        <w:pStyle w:val="Heading3"/>
        <w:tabs>
          <w:tab w:val="clear" w:pos="1418"/>
          <w:tab w:val="left" w:pos="720"/>
        </w:tabs>
        <w:rPr>
          <w:u w:val="single"/>
        </w:rPr>
      </w:pPr>
      <w:r>
        <w:t>(h)</w:t>
      </w:r>
      <w:r>
        <w:tab/>
        <w:t>Vital records protection within B/Ds</w:t>
      </w:r>
    </w:p>
    <w:p w:rsidR="00331EDA" w:rsidRDefault="00331EDA">
      <w:pPr>
        <w:tabs>
          <w:tab w:val="clear" w:pos="1418"/>
          <w:tab w:val="left" w:pos="1440"/>
        </w:tabs>
        <w:ind w:left="270"/>
        <w:rPr>
          <w:rFonts w:cs="Arial"/>
        </w:rPr>
      </w:pPr>
    </w:p>
    <w:p w:rsidR="00331EDA" w:rsidRDefault="00331EDA">
      <w:r>
        <w:t>2.32</w:t>
      </w:r>
      <w:r>
        <w:tab/>
      </w:r>
      <w:r>
        <w:rPr>
          <w:rFonts w:hint="eastAsia"/>
        </w:rPr>
        <w:tab/>
      </w:r>
      <w:r>
        <w:t>Vital records are records containing information essential to the continued and effective operation of a B/D during and after an emergency or disaster.</w:t>
      </w:r>
      <w:r>
        <w:rPr>
          <w:rStyle w:val="FootnoteReference"/>
          <w:rFonts w:cs="Arial"/>
        </w:rPr>
        <w:footnoteReference w:id="85"/>
      </w:r>
      <w:r>
        <w:t xml:space="preserve">  B/Ds should identify and protect their vital records by way of duplication or off-site storage to ensure uninterrupted operation of major business functions.</w:t>
      </w:r>
      <w:r>
        <w:rPr>
          <w:rStyle w:val="FootnoteReference"/>
          <w:rFonts w:cs="Arial"/>
        </w:rPr>
        <w:footnoteReference w:id="86"/>
      </w:r>
      <w:r>
        <w:t xml:space="preserve">  B/Ds should also establish a vital records protection programme in respect of such records in accordance with the guidelines provided.</w:t>
      </w:r>
      <w:r>
        <w:rPr>
          <w:rStyle w:val="FootnoteReference"/>
          <w:rFonts w:cs="Arial"/>
        </w:rPr>
        <w:footnoteReference w:id="87"/>
      </w:r>
      <w:r>
        <w:t xml:space="preserve">  Only authorised personnel should be allowed to deal with access to and transmittal of vital records.</w:t>
      </w:r>
      <w:r>
        <w:rPr>
          <w:rStyle w:val="FootnoteReference"/>
          <w:rFonts w:cs="Arial"/>
        </w:rPr>
        <w:footnoteReference w:id="88"/>
      </w:r>
      <w:r>
        <w:t xml:space="preserve">  </w:t>
      </w:r>
    </w:p>
    <w:p w:rsidR="00331EDA" w:rsidRDefault="00331EDA">
      <w:pPr>
        <w:tabs>
          <w:tab w:val="clear" w:pos="1418"/>
          <w:tab w:val="left" w:pos="1440"/>
        </w:tabs>
        <w:ind w:left="270"/>
        <w:rPr>
          <w:rFonts w:cs="Arial"/>
        </w:rPr>
      </w:pPr>
    </w:p>
    <w:p w:rsidR="00331EDA" w:rsidRDefault="00331EDA">
      <w:pPr>
        <w:tabs>
          <w:tab w:val="clear" w:pos="1418"/>
          <w:tab w:val="left" w:pos="1440"/>
        </w:tabs>
        <w:ind w:left="270"/>
        <w:rPr>
          <w:rFonts w:cs="Arial"/>
        </w:rPr>
      </w:pPr>
    </w:p>
    <w:p w:rsidR="00331EDA" w:rsidRDefault="00331EDA" w:rsidP="00331EDA">
      <w:pPr>
        <w:pStyle w:val="Heading3"/>
        <w:keepNext w:val="0"/>
        <w:ind w:left="720" w:hanging="720"/>
      </w:pPr>
      <w:r>
        <w:t>(i)</w:t>
      </w:r>
      <w:r>
        <w:tab/>
        <w:t>Appraisal of records and transfer of records having archival value to the GRS</w:t>
      </w:r>
    </w:p>
    <w:p w:rsidR="00331EDA" w:rsidRDefault="00331EDA" w:rsidP="00331EDA">
      <w:pPr>
        <w:tabs>
          <w:tab w:val="clear" w:pos="1418"/>
          <w:tab w:val="left" w:pos="1440"/>
        </w:tabs>
        <w:ind w:left="270"/>
        <w:rPr>
          <w:rFonts w:cs="Arial"/>
        </w:rPr>
      </w:pPr>
    </w:p>
    <w:p w:rsidR="00331EDA" w:rsidRDefault="00331EDA">
      <w:pPr>
        <w:rPr>
          <w:lang w:eastAsia="zh-HK"/>
        </w:rPr>
      </w:pPr>
      <w:r>
        <w:t>2.33</w:t>
      </w:r>
      <w:r>
        <w:tab/>
      </w:r>
      <w:r>
        <w:rPr>
          <w:rFonts w:hint="eastAsia"/>
        </w:rPr>
        <w:tab/>
      </w:r>
      <w:r>
        <w:t xml:space="preserve">For programme records, the Public Records Office will appraise their </w:t>
      </w:r>
      <w:r>
        <w:rPr>
          <w:rFonts w:hint="eastAsia"/>
          <w:lang w:eastAsia="zh-HK"/>
        </w:rPr>
        <w:t xml:space="preserve">archival </w:t>
      </w:r>
      <w:r>
        <w:t>value when reviewing the disposal schedules drawn up by B/Ds.</w:t>
      </w:r>
      <w:r>
        <w:rPr>
          <w:rStyle w:val="FootnoteReference"/>
          <w:rFonts w:cs="Arial"/>
        </w:rPr>
        <w:footnoteReference w:id="89"/>
      </w:r>
      <w:r>
        <w:t xml:space="preserve">  Those assessed to have potential archival value would be appraised again by the Public Records Office to determine their final disposition when they become time-expired.</w:t>
      </w:r>
      <w:r>
        <w:rPr>
          <w:lang w:eastAsia="zh-HK"/>
        </w:rPr>
        <w:t xml:space="preserve"> </w:t>
      </w:r>
    </w:p>
    <w:p w:rsidR="00331EDA" w:rsidRDefault="00331EDA">
      <w:pPr>
        <w:tabs>
          <w:tab w:val="clear" w:pos="1418"/>
          <w:tab w:val="left" w:pos="1440"/>
        </w:tabs>
        <w:rPr>
          <w:rFonts w:cs="Arial"/>
          <w:lang w:eastAsia="zh-HK"/>
        </w:rPr>
      </w:pPr>
    </w:p>
    <w:p w:rsidR="00331EDA" w:rsidRDefault="00331EDA" w:rsidP="00997C83">
      <w:pPr>
        <w:widowControl/>
      </w:pPr>
      <w:r>
        <w:rPr>
          <w:lang w:eastAsia="zh-HK"/>
        </w:rPr>
        <w:t>2.34</w:t>
      </w:r>
      <w:r>
        <w:rPr>
          <w:lang w:eastAsia="zh-HK"/>
        </w:rPr>
        <w:tab/>
      </w:r>
      <w:r>
        <w:rPr>
          <w:rFonts w:hint="eastAsia"/>
          <w:lang w:eastAsia="zh-HK"/>
        </w:rPr>
        <w:tab/>
      </w:r>
      <w:r>
        <w:t xml:space="preserve">Time-expired administrative records having potential archival value as mentioned in GARDS should be referred to the Public Records Office </w:t>
      </w:r>
      <w:r>
        <w:lastRenderedPageBreak/>
        <w:t>for appraisal.</w:t>
      </w:r>
      <w:r>
        <w:rPr>
          <w:rStyle w:val="FootnoteReference"/>
          <w:rFonts w:cs="Arial"/>
        </w:rPr>
        <w:footnoteReference w:id="90"/>
      </w:r>
      <w:r>
        <w:t xml:space="preserve">  </w:t>
      </w:r>
      <w:r>
        <w:rPr>
          <w:lang w:eastAsia="zh-HK"/>
        </w:rPr>
        <w:t>Above all, a</w:t>
      </w:r>
      <w:r>
        <w:t>ll government records reaching 30 years old should be appraised by the Public Records Office to determine whether or not they possess archival value for permanent preservation.</w:t>
      </w:r>
      <w:r>
        <w:rPr>
          <w:rStyle w:val="FootnoteReference"/>
          <w:rFonts w:cs="Arial"/>
        </w:rPr>
        <w:footnoteReference w:id="91"/>
      </w:r>
    </w:p>
    <w:p w:rsidR="00331EDA" w:rsidRDefault="00331EDA">
      <w:pPr>
        <w:pStyle w:val="ListParagraph"/>
        <w:tabs>
          <w:tab w:val="clear" w:pos="1418"/>
          <w:tab w:val="left" w:pos="1440"/>
        </w:tabs>
        <w:ind w:left="0"/>
        <w:rPr>
          <w:rFonts w:cs="Arial"/>
        </w:rPr>
      </w:pPr>
    </w:p>
    <w:p w:rsidR="00331EDA" w:rsidRDefault="00331EDA">
      <w:r>
        <w:t>2.35</w:t>
      </w:r>
      <w:r>
        <w:tab/>
      </w:r>
      <w:r>
        <w:rPr>
          <w:rFonts w:hint="eastAsia"/>
        </w:rPr>
        <w:tab/>
      </w:r>
      <w:r>
        <w:t>GRS has adopted a set of appraisal guidelines on selection of archival records.  Records likely to be selected as archival records may include the following:-</w:t>
      </w:r>
    </w:p>
    <w:p w:rsidR="00331EDA" w:rsidRDefault="00331EDA">
      <w:pPr>
        <w:pStyle w:val="ListParagraph"/>
        <w:tabs>
          <w:tab w:val="clear" w:pos="1418"/>
          <w:tab w:val="left" w:pos="1440"/>
        </w:tabs>
        <w:rPr>
          <w:rFonts w:cs="Arial"/>
        </w:rPr>
      </w:pPr>
    </w:p>
    <w:p w:rsidR="00331EDA" w:rsidRDefault="00331EDA" w:rsidP="00D86E22">
      <w:pPr>
        <w:pStyle w:val="ListParagraph"/>
        <w:widowControl/>
        <w:numPr>
          <w:ilvl w:val="0"/>
          <w:numId w:val="23"/>
        </w:numPr>
        <w:tabs>
          <w:tab w:val="clear" w:pos="1418"/>
          <w:tab w:val="left" w:pos="1440"/>
        </w:tabs>
        <w:ind w:left="1440"/>
        <w:contextualSpacing w:val="0"/>
        <w:rPr>
          <w:rFonts w:cs="Arial"/>
        </w:rPr>
      </w:pPr>
      <w:r>
        <w:rPr>
          <w:rFonts w:cs="Arial"/>
        </w:rPr>
        <w:t>records that document or reflect the organisation, functions and activities of the government;</w:t>
      </w:r>
    </w:p>
    <w:p w:rsidR="00331EDA" w:rsidRDefault="00331EDA">
      <w:pPr>
        <w:pStyle w:val="ListParagraph"/>
        <w:tabs>
          <w:tab w:val="clear" w:pos="1418"/>
          <w:tab w:val="left" w:pos="1440"/>
        </w:tabs>
        <w:ind w:left="1440" w:hanging="720"/>
        <w:rPr>
          <w:rFonts w:cs="Arial"/>
        </w:rPr>
      </w:pPr>
    </w:p>
    <w:p w:rsidR="00331EDA" w:rsidRDefault="00331EDA" w:rsidP="00D86E22">
      <w:pPr>
        <w:pStyle w:val="ListParagraph"/>
        <w:widowControl/>
        <w:numPr>
          <w:ilvl w:val="0"/>
          <w:numId w:val="23"/>
        </w:numPr>
        <w:tabs>
          <w:tab w:val="clear" w:pos="1418"/>
          <w:tab w:val="left" w:pos="1440"/>
        </w:tabs>
        <w:ind w:left="1440"/>
        <w:contextualSpacing w:val="0"/>
        <w:rPr>
          <w:rFonts w:cs="Arial"/>
        </w:rPr>
      </w:pPr>
      <w:r>
        <w:rPr>
          <w:rFonts w:cs="Arial"/>
        </w:rPr>
        <w:t>records that document the formation process, implementation and outcome of significant policies, decisions, legislation and actions of the government;</w:t>
      </w:r>
    </w:p>
    <w:p w:rsidR="00331EDA" w:rsidRDefault="00331EDA">
      <w:pPr>
        <w:pStyle w:val="ListParagraph"/>
        <w:tabs>
          <w:tab w:val="clear" w:pos="1418"/>
          <w:tab w:val="left" w:pos="1440"/>
        </w:tabs>
        <w:ind w:left="1440" w:hanging="720"/>
        <w:rPr>
          <w:rFonts w:cs="Arial"/>
        </w:rPr>
      </w:pPr>
    </w:p>
    <w:p w:rsidR="00331EDA" w:rsidRDefault="00331EDA" w:rsidP="00D86E22">
      <w:pPr>
        <w:pStyle w:val="ListParagraph"/>
        <w:widowControl/>
        <w:numPr>
          <w:ilvl w:val="0"/>
          <w:numId w:val="23"/>
        </w:numPr>
        <w:tabs>
          <w:tab w:val="clear" w:pos="1418"/>
          <w:tab w:val="left" w:pos="1440"/>
        </w:tabs>
        <w:ind w:left="1440"/>
        <w:contextualSpacing w:val="0"/>
        <w:rPr>
          <w:rFonts w:cs="Arial"/>
        </w:rPr>
      </w:pPr>
      <w:r>
        <w:rPr>
          <w:rFonts w:cs="Arial"/>
        </w:rPr>
        <w:t>records that document the impact of the decisions, policies and programmes of the government upon the physical environment, community, organisations and individuals;</w:t>
      </w:r>
    </w:p>
    <w:p w:rsidR="00331EDA" w:rsidRDefault="00331EDA">
      <w:pPr>
        <w:pStyle w:val="ListParagraph"/>
        <w:tabs>
          <w:tab w:val="clear" w:pos="1418"/>
          <w:tab w:val="left" w:pos="1440"/>
        </w:tabs>
        <w:ind w:left="0"/>
        <w:rPr>
          <w:rFonts w:cs="Arial"/>
        </w:rPr>
      </w:pPr>
    </w:p>
    <w:p w:rsidR="00331EDA" w:rsidRDefault="00331EDA" w:rsidP="00D86E22">
      <w:pPr>
        <w:pStyle w:val="ListParagraph"/>
        <w:widowControl/>
        <w:numPr>
          <w:ilvl w:val="0"/>
          <w:numId w:val="23"/>
        </w:numPr>
        <w:tabs>
          <w:tab w:val="clear" w:pos="1418"/>
          <w:tab w:val="left" w:pos="1440"/>
        </w:tabs>
        <w:ind w:left="1440"/>
        <w:contextualSpacing w:val="0"/>
        <w:rPr>
          <w:rFonts w:cs="Arial"/>
        </w:rPr>
      </w:pPr>
      <w:r>
        <w:rPr>
          <w:rFonts w:cs="Arial"/>
        </w:rPr>
        <w:t>records that document the interaction between the public and the government as well as between the physical environment and the government;</w:t>
      </w:r>
    </w:p>
    <w:p w:rsidR="00331EDA" w:rsidRDefault="00331EDA">
      <w:pPr>
        <w:tabs>
          <w:tab w:val="clear" w:pos="1418"/>
          <w:tab w:val="left" w:pos="1440"/>
        </w:tabs>
        <w:ind w:left="1440" w:hanging="720"/>
        <w:rPr>
          <w:rFonts w:cs="Arial"/>
        </w:rPr>
      </w:pPr>
    </w:p>
    <w:p w:rsidR="00331EDA" w:rsidRDefault="00331EDA" w:rsidP="00D86E22">
      <w:pPr>
        <w:pStyle w:val="ListParagraph"/>
        <w:widowControl/>
        <w:numPr>
          <w:ilvl w:val="0"/>
          <w:numId w:val="23"/>
        </w:numPr>
        <w:tabs>
          <w:tab w:val="clear" w:pos="1418"/>
          <w:tab w:val="left" w:pos="1440"/>
        </w:tabs>
        <w:ind w:left="1440"/>
        <w:contextualSpacing w:val="0"/>
        <w:rPr>
          <w:rFonts w:cs="Arial"/>
        </w:rPr>
      </w:pPr>
      <w:r>
        <w:rPr>
          <w:rFonts w:cs="Arial"/>
        </w:rPr>
        <w:t>records that document the legal rights and obligations of individuals, groups, organisations and the government; and</w:t>
      </w:r>
    </w:p>
    <w:p w:rsidR="00331EDA" w:rsidRDefault="00331EDA">
      <w:pPr>
        <w:tabs>
          <w:tab w:val="clear" w:pos="1418"/>
          <w:tab w:val="left" w:pos="1440"/>
        </w:tabs>
        <w:ind w:left="1440" w:hanging="720"/>
        <w:rPr>
          <w:rFonts w:cs="Arial"/>
        </w:rPr>
      </w:pPr>
    </w:p>
    <w:p w:rsidR="00331EDA" w:rsidRDefault="00331EDA" w:rsidP="00D86E22">
      <w:pPr>
        <w:pStyle w:val="ListParagraph"/>
        <w:widowControl/>
        <w:numPr>
          <w:ilvl w:val="0"/>
          <w:numId w:val="23"/>
        </w:numPr>
        <w:tabs>
          <w:tab w:val="clear" w:pos="1418"/>
          <w:tab w:val="left" w:pos="1440"/>
        </w:tabs>
        <w:ind w:left="1440"/>
        <w:contextualSpacing w:val="0"/>
        <w:rPr>
          <w:rFonts w:cs="Arial"/>
        </w:rPr>
      </w:pPr>
      <w:r>
        <w:rPr>
          <w:rFonts w:cs="Arial"/>
        </w:rPr>
        <w:t>records that contain significant or unique information or aged documents that can enrich the understanding about the history, physical environment, society, culture, economy and people of Hong Kong.</w:t>
      </w:r>
      <w:r>
        <w:rPr>
          <w:rStyle w:val="FootnoteReference"/>
          <w:rFonts w:cs="Arial"/>
        </w:rPr>
        <w:footnoteReference w:id="92"/>
      </w:r>
    </w:p>
    <w:p w:rsidR="00331EDA" w:rsidRDefault="00331EDA">
      <w:pPr>
        <w:tabs>
          <w:tab w:val="clear" w:pos="1418"/>
          <w:tab w:val="left" w:pos="1440"/>
        </w:tabs>
        <w:ind w:left="270"/>
        <w:rPr>
          <w:rFonts w:cs="Arial"/>
        </w:rPr>
      </w:pPr>
    </w:p>
    <w:p w:rsidR="00331EDA" w:rsidRDefault="00331EDA">
      <w:r>
        <w:t>2.36</w:t>
      </w:r>
      <w:r>
        <w:tab/>
      </w:r>
      <w:r>
        <w:rPr>
          <w:rFonts w:hint="eastAsia"/>
        </w:rPr>
        <w:tab/>
      </w:r>
      <w:r>
        <w:t>Records appraised as having archival value should be transferred to the Public Records Office for permanent retention according to the disposal schedules.</w:t>
      </w:r>
      <w:r>
        <w:rPr>
          <w:rStyle w:val="FootnoteReference"/>
          <w:rFonts w:cs="Arial"/>
        </w:rPr>
        <w:footnoteReference w:id="93"/>
      </w:r>
      <w:r>
        <w:t xml:space="preserve">  When transferring archival records to the Public Records Office, B/Ds should provide a transfer list, and advise the access status of classified records.</w:t>
      </w:r>
      <w:r>
        <w:rPr>
          <w:rStyle w:val="FootnoteReference"/>
          <w:rFonts w:cs="Arial"/>
        </w:rPr>
        <w:footnoteReference w:id="94"/>
      </w:r>
    </w:p>
    <w:p w:rsidR="00331EDA" w:rsidRDefault="00331EDA">
      <w:pPr>
        <w:pStyle w:val="ListParagraph"/>
        <w:tabs>
          <w:tab w:val="clear" w:pos="1418"/>
          <w:tab w:val="left" w:pos="1440"/>
        </w:tabs>
        <w:ind w:left="0"/>
        <w:rPr>
          <w:rFonts w:cs="Arial"/>
        </w:rPr>
      </w:pPr>
    </w:p>
    <w:p w:rsidR="00331EDA" w:rsidRDefault="00331EDA">
      <w:r>
        <w:t>2.37</w:t>
      </w:r>
      <w:r>
        <w:tab/>
      </w:r>
      <w:r>
        <w:rPr>
          <w:rFonts w:hint="eastAsia"/>
        </w:rPr>
        <w:tab/>
      </w:r>
      <w:r>
        <w:t xml:space="preserve">In a letter to B/Ds dated 21 March 2014, the Director of Administration stated that deferrals of transfer of time-expired records having archival or potential archival value to the GRS were highly undesirable and should be approved only when they were absolutely necessary.  For deferrals </w:t>
      </w:r>
      <w:r>
        <w:lastRenderedPageBreak/>
        <w:t>for more than two years, written agreement of a directorate officer in the concerned B/D at the level of deputy secretary/deputy head of department and prior consultation with the GRS are required.</w:t>
      </w:r>
      <w:r>
        <w:rPr>
          <w:rStyle w:val="FootnoteReference"/>
          <w:rFonts w:cs="Arial"/>
        </w:rPr>
        <w:footnoteReference w:id="95"/>
      </w:r>
      <w:r>
        <w:t xml:space="preserve">  Upon request by </w:t>
      </w:r>
      <w:r>
        <w:rPr>
          <w:lang w:eastAsia="zh-HK"/>
        </w:rPr>
        <w:t xml:space="preserve">the </w:t>
      </w:r>
      <w:r>
        <w:t>GRS, B/Ds should make ready files for appraisal within a reasonable period of time, say three months.</w:t>
      </w:r>
      <w:r>
        <w:rPr>
          <w:rStyle w:val="FootnoteReference"/>
          <w:rFonts w:cs="Arial"/>
        </w:rPr>
        <w:footnoteReference w:id="96"/>
      </w:r>
    </w:p>
    <w:p w:rsidR="00331EDA" w:rsidRDefault="00331EDA">
      <w:pPr>
        <w:tabs>
          <w:tab w:val="clear" w:pos="1418"/>
          <w:tab w:val="left" w:pos="1440"/>
        </w:tabs>
        <w:ind w:left="270"/>
        <w:rPr>
          <w:rFonts w:cs="Arial"/>
        </w:rPr>
      </w:pPr>
    </w:p>
    <w:p w:rsidR="00331EDA" w:rsidRDefault="00331EDA">
      <w:r>
        <w:t>2.38</w:t>
      </w:r>
      <w:r>
        <w:tab/>
      </w:r>
      <w:r>
        <w:rPr>
          <w:rFonts w:hint="eastAsia"/>
        </w:rPr>
        <w:tab/>
      </w:r>
      <w:r>
        <w:t>For records appraised as having no archival value according to the disposal schedules, B/Ds should arrange physical destruction of the records and maintain a list of records destroyed</w:t>
      </w:r>
      <w:r>
        <w:rPr>
          <w:rFonts w:hint="eastAsia"/>
          <w:lang w:eastAsia="zh-HK"/>
        </w:rPr>
        <w:t xml:space="preserve"> </w:t>
      </w:r>
      <w:r w:rsidRPr="007B0E70">
        <w:rPr>
          <w:lang w:eastAsia="zh-HK"/>
        </w:rPr>
        <w:t>after seeking approval from GRS Director</w:t>
      </w:r>
      <w:r>
        <w:t>.</w:t>
      </w:r>
      <w:r>
        <w:rPr>
          <w:rStyle w:val="FootnoteReference"/>
          <w:rFonts w:cs="Arial"/>
        </w:rPr>
        <w:footnoteReference w:id="97"/>
      </w:r>
    </w:p>
    <w:p w:rsidR="00331EDA" w:rsidRPr="004752E6" w:rsidRDefault="00331EDA">
      <w:pPr>
        <w:tabs>
          <w:tab w:val="clear" w:pos="1418"/>
          <w:tab w:val="left" w:pos="1440"/>
        </w:tabs>
        <w:rPr>
          <w:rFonts w:cs="Arial"/>
          <w:sz w:val="22"/>
          <w:szCs w:val="22"/>
        </w:rPr>
      </w:pPr>
    </w:p>
    <w:p w:rsidR="00331EDA" w:rsidRPr="004752E6" w:rsidRDefault="00331EDA" w:rsidP="00331EDA">
      <w:pPr>
        <w:tabs>
          <w:tab w:val="clear" w:pos="1418"/>
          <w:tab w:val="left" w:pos="1440"/>
        </w:tabs>
        <w:rPr>
          <w:rFonts w:cs="Arial"/>
          <w:sz w:val="22"/>
          <w:szCs w:val="22"/>
          <w:lang w:val="en-US"/>
        </w:rPr>
      </w:pPr>
    </w:p>
    <w:p w:rsidR="00331EDA" w:rsidRDefault="00331EDA" w:rsidP="007572E9">
      <w:pPr>
        <w:pStyle w:val="Heading3"/>
        <w:tabs>
          <w:tab w:val="clear" w:pos="1418"/>
          <w:tab w:val="left" w:pos="720"/>
        </w:tabs>
      </w:pPr>
      <w:r>
        <w:t>(j)</w:t>
      </w:r>
      <w:r>
        <w:tab/>
        <w:t>Protection and preservation of archives in GRS</w:t>
      </w:r>
    </w:p>
    <w:p w:rsidR="00331EDA" w:rsidRPr="00F17FA0" w:rsidRDefault="00331EDA" w:rsidP="00331EDA">
      <w:pPr>
        <w:tabs>
          <w:tab w:val="clear" w:pos="1418"/>
          <w:tab w:val="left" w:pos="1440"/>
        </w:tabs>
        <w:rPr>
          <w:rFonts w:cs="Arial"/>
        </w:rPr>
      </w:pPr>
    </w:p>
    <w:p w:rsidR="00331EDA" w:rsidRDefault="00331EDA">
      <w:r>
        <w:t>2.39</w:t>
      </w:r>
      <w:r>
        <w:tab/>
      </w:r>
      <w:r>
        <w:rPr>
          <w:rFonts w:hint="eastAsia"/>
        </w:rPr>
        <w:tab/>
      </w:r>
      <w:r>
        <w:t>Records appraised as having archival value should generally be kept in a secure and controlled environment and be permanently preserved by the Public Records Office.</w:t>
      </w:r>
      <w:r>
        <w:rPr>
          <w:rStyle w:val="FootnoteReference"/>
          <w:rFonts w:cs="Arial"/>
        </w:rPr>
        <w:footnoteReference w:id="98"/>
      </w:r>
      <w:r>
        <w:t xml:space="preserve">  In gist, preservation means the processes and operations involved in the stabilisation and protection of records.</w:t>
      </w:r>
      <w:r>
        <w:rPr>
          <w:rStyle w:val="FootnoteReference"/>
          <w:rFonts w:cs="Arial"/>
        </w:rPr>
        <w:footnoteReference w:id="99"/>
      </w:r>
      <w:r>
        <w:t xml:space="preserve"> </w:t>
      </w:r>
    </w:p>
    <w:p w:rsidR="00331EDA" w:rsidRDefault="00331EDA">
      <w:pPr>
        <w:pStyle w:val="ListParagraph"/>
        <w:tabs>
          <w:tab w:val="clear" w:pos="1418"/>
          <w:tab w:val="left" w:pos="1440"/>
        </w:tabs>
        <w:ind w:left="0"/>
        <w:rPr>
          <w:rFonts w:cs="Arial"/>
        </w:rPr>
      </w:pPr>
    </w:p>
    <w:p w:rsidR="00331EDA" w:rsidRDefault="00331EDA">
      <w:r>
        <w:t>2.40</w:t>
      </w:r>
      <w:r>
        <w:tab/>
      </w:r>
      <w:r>
        <w:rPr>
          <w:rFonts w:hint="eastAsia"/>
        </w:rPr>
        <w:tab/>
      </w:r>
      <w:r>
        <w:t xml:space="preserve">It is the GRS' responsibility to </w:t>
      </w:r>
      <w:r>
        <w:rPr>
          <w:lang w:eastAsia="zh-HK"/>
        </w:rPr>
        <w:t>select, administer</w:t>
      </w:r>
      <w:r>
        <w:t xml:space="preserve"> and preserve government archives and valuable publications.  The Public Records Office of the GRS is the central archives of the government, and also operates the Central Preservation Library for Government Publications which selects and centrally preserves government publication</w:t>
      </w:r>
      <w:r>
        <w:rPr>
          <w:rFonts w:hint="eastAsia"/>
          <w:lang w:eastAsia="zh-HK"/>
        </w:rPr>
        <w:t>s</w:t>
      </w:r>
      <w:r>
        <w:t xml:space="preserve"> and printed materials of permanent value. </w:t>
      </w:r>
      <w:r>
        <w:rPr>
          <w:rFonts w:hint="eastAsia"/>
        </w:rPr>
        <w:t xml:space="preserve"> </w:t>
      </w:r>
      <w:r>
        <w:t xml:space="preserve">B/Ds are requested to forward one copy of their new publication or printed material to this library for selection, and are required </w:t>
      </w:r>
      <w:r>
        <w:rPr>
          <w:lang w:eastAsia="zh-HK"/>
        </w:rPr>
        <w:t xml:space="preserve">to </w:t>
      </w:r>
      <w:r>
        <w:t>consult it when they want to dispose of any of their library materials.</w:t>
      </w:r>
    </w:p>
    <w:p w:rsidR="00331EDA" w:rsidRDefault="00331EDA">
      <w:pPr>
        <w:pStyle w:val="ListParagraph"/>
        <w:tabs>
          <w:tab w:val="clear" w:pos="1418"/>
          <w:tab w:val="left" w:pos="1440"/>
        </w:tabs>
        <w:ind w:left="0"/>
        <w:rPr>
          <w:rFonts w:cs="Arial"/>
        </w:rPr>
      </w:pPr>
    </w:p>
    <w:p w:rsidR="00331EDA" w:rsidRDefault="00331EDA">
      <w:pPr>
        <w:rPr>
          <w:lang w:eastAsia="zh-HK"/>
        </w:rPr>
      </w:pPr>
      <w:r>
        <w:t>2.41</w:t>
      </w:r>
      <w:r>
        <w:tab/>
      </w:r>
      <w:r>
        <w:rPr>
          <w:rFonts w:hint="eastAsia"/>
        </w:rPr>
        <w:tab/>
      </w:r>
      <w:r>
        <w:t>The Public Records Office may accept donations, including from government-owned/funded statutory bodies, if they are appraised to have archival value for preservation as part of Hong Kong's documentary heritage.</w:t>
      </w:r>
      <w:r>
        <w:rPr>
          <w:rStyle w:val="FootnoteReference"/>
          <w:rFonts w:cs="Arial"/>
        </w:rPr>
        <w:footnoteReference w:id="100"/>
      </w:r>
      <w:r>
        <w:t xml:space="preserve">  </w:t>
      </w:r>
    </w:p>
    <w:p w:rsidR="00331EDA" w:rsidRPr="004752E6" w:rsidRDefault="00331EDA">
      <w:pPr>
        <w:rPr>
          <w:sz w:val="22"/>
          <w:szCs w:val="22"/>
          <w:lang w:eastAsia="zh-HK"/>
        </w:rPr>
      </w:pPr>
    </w:p>
    <w:p w:rsidR="00331EDA" w:rsidRPr="004752E6" w:rsidRDefault="00331EDA">
      <w:pPr>
        <w:rPr>
          <w:sz w:val="22"/>
          <w:szCs w:val="22"/>
          <w:lang w:eastAsia="zh-HK"/>
        </w:rPr>
      </w:pPr>
    </w:p>
    <w:p w:rsidR="00331EDA" w:rsidRDefault="00331EDA" w:rsidP="007572E9">
      <w:pPr>
        <w:tabs>
          <w:tab w:val="clear" w:pos="1418"/>
          <w:tab w:val="left" w:pos="720"/>
        </w:tabs>
        <w:rPr>
          <w:b/>
          <w:i/>
          <w:lang w:eastAsia="zh-HK"/>
        </w:rPr>
      </w:pPr>
      <w:r>
        <w:rPr>
          <w:rFonts w:hint="eastAsia"/>
          <w:b/>
          <w:i/>
        </w:rPr>
        <w:t>(k)</w:t>
      </w:r>
      <w:r>
        <w:rPr>
          <w:rFonts w:hint="eastAsia"/>
          <w:b/>
          <w:i/>
        </w:rPr>
        <w:tab/>
      </w:r>
      <w:r>
        <w:rPr>
          <w:b/>
          <w:i/>
        </w:rPr>
        <w:t>Archives accessioning, description and arrangement</w:t>
      </w:r>
    </w:p>
    <w:p w:rsidR="00331EDA" w:rsidRDefault="00331EDA">
      <w:pPr>
        <w:rPr>
          <w:b/>
          <w:i/>
          <w:lang w:eastAsia="zh-HK"/>
        </w:rPr>
      </w:pPr>
    </w:p>
    <w:p w:rsidR="00331EDA" w:rsidRDefault="00331EDA" w:rsidP="00997C83">
      <w:pPr>
        <w:widowControl/>
        <w:rPr>
          <w:lang w:eastAsia="zh-HK"/>
        </w:rPr>
      </w:pPr>
      <w:r>
        <w:rPr>
          <w:rFonts w:hint="eastAsia"/>
        </w:rPr>
        <w:t>2.42</w:t>
      </w:r>
      <w:r>
        <w:rPr>
          <w:rFonts w:hint="eastAsia"/>
          <w:lang w:eastAsia="zh-HK"/>
        </w:rPr>
        <w:tab/>
      </w:r>
      <w:r>
        <w:rPr>
          <w:rFonts w:hint="eastAsia"/>
          <w:lang w:eastAsia="zh-HK"/>
        </w:rPr>
        <w:tab/>
      </w:r>
      <w:r>
        <w:t xml:space="preserve">GRS will perform accessioning upon the transfer of archival records to GRS.  Accessioning consists of a sequence of different activities, including preliminary sorting of the records, registering the essential information about the records and creator in the register, and providing suitable storage for the records.  GRS will sort, list, stamp and box the </w:t>
      </w:r>
      <w:r>
        <w:lastRenderedPageBreak/>
        <w:t>records, and input basic information pertaining to the records into the archives information system, namely, Integrated Information Access System.  Subsequently, records will be described to facilitate users in identifying the required records from the voluminous archival holdings of GRS.  Descriptive information will be documented in accordance with the General International Standard Archival Description (ISAD(G)).</w:t>
      </w:r>
    </w:p>
    <w:p w:rsidR="00331EDA" w:rsidRPr="004752E6" w:rsidRDefault="00331EDA">
      <w:pPr>
        <w:rPr>
          <w:sz w:val="22"/>
          <w:szCs w:val="22"/>
          <w:lang w:val="en-US" w:eastAsia="zh-HK"/>
        </w:rPr>
      </w:pPr>
    </w:p>
    <w:p w:rsidR="00331EDA" w:rsidRPr="004752E6" w:rsidRDefault="00331EDA" w:rsidP="00331EDA">
      <w:pPr>
        <w:tabs>
          <w:tab w:val="clear" w:pos="1418"/>
          <w:tab w:val="left" w:pos="1440"/>
        </w:tabs>
        <w:rPr>
          <w:rFonts w:cs="Arial"/>
          <w:sz w:val="22"/>
          <w:szCs w:val="22"/>
          <w:lang w:val="en-US" w:eastAsia="zh-HK"/>
        </w:rPr>
      </w:pPr>
    </w:p>
    <w:p w:rsidR="00331EDA" w:rsidRDefault="00331EDA">
      <w:pPr>
        <w:tabs>
          <w:tab w:val="left" w:pos="709"/>
        </w:tabs>
        <w:rPr>
          <w:b/>
          <w:i/>
          <w:lang w:eastAsia="zh-HK"/>
        </w:rPr>
      </w:pPr>
      <w:r>
        <w:rPr>
          <w:b/>
          <w:i/>
        </w:rPr>
        <w:t>(</w:t>
      </w:r>
      <w:r>
        <w:rPr>
          <w:rFonts w:hint="eastAsia"/>
          <w:b/>
          <w:i/>
        </w:rPr>
        <w:t>l</w:t>
      </w:r>
      <w:r>
        <w:rPr>
          <w:b/>
          <w:i/>
        </w:rPr>
        <w:t>)</w:t>
      </w:r>
      <w:r>
        <w:tab/>
      </w:r>
      <w:r>
        <w:rPr>
          <w:b/>
          <w:i/>
        </w:rPr>
        <w:t>Public access to archival records kept by GRS</w:t>
      </w:r>
    </w:p>
    <w:p w:rsidR="00331EDA" w:rsidRDefault="00331EDA">
      <w:pPr>
        <w:tabs>
          <w:tab w:val="left" w:pos="709"/>
        </w:tabs>
        <w:rPr>
          <w:b/>
          <w:i/>
          <w:lang w:eastAsia="zh-HK"/>
        </w:rPr>
      </w:pPr>
    </w:p>
    <w:p w:rsidR="00331EDA" w:rsidRDefault="00331EDA" w:rsidP="00331EDA">
      <w:pPr>
        <w:tabs>
          <w:tab w:val="left" w:pos="709"/>
        </w:tabs>
      </w:pPr>
      <w:r>
        <w:rPr>
          <w:rFonts w:hint="eastAsia"/>
        </w:rPr>
        <w:t>2.4</w:t>
      </w:r>
      <w:r>
        <w:rPr>
          <w:lang w:eastAsia="zh-HK"/>
        </w:rPr>
        <w:t>3</w:t>
      </w:r>
      <w:r>
        <w:rPr>
          <w:rFonts w:hint="eastAsia"/>
        </w:rPr>
        <w:tab/>
      </w:r>
      <w:r>
        <w:rPr>
          <w:rFonts w:hint="eastAsia"/>
        </w:rPr>
        <w:tab/>
      </w:r>
      <w:r>
        <w:rPr>
          <w:rFonts w:hint="eastAsia"/>
        </w:rPr>
        <w:tab/>
      </w:r>
      <w:r>
        <w:t>Access to archival records is managed through the Public Records (Access) Rules 1996 ("</w:t>
      </w:r>
      <w:r>
        <w:rPr>
          <w:b/>
        </w:rPr>
        <w:t>PRAR</w:t>
      </w:r>
      <w:r>
        <w:t>").</w:t>
      </w:r>
      <w:r>
        <w:rPr>
          <w:rStyle w:val="FootnoteReference"/>
        </w:rPr>
        <w:footnoteReference w:id="101"/>
      </w:r>
      <w:r>
        <w:t xml:space="preserve">  Users can search the descriptive information or selected images of archival records via the Integrated Information Access System.  Charged copying services and self-service photography services are available if users wish to keep a copy of the archival records.  GRS also organises visits, seminars, workshops, thematic film shows, exhibitions and other educational activities, and prepares different kinds of online resources to promote the appreciation of the documentary heritage of Hong Kong.</w:t>
      </w:r>
    </w:p>
    <w:p w:rsidR="00331EDA" w:rsidRPr="00372DEA" w:rsidRDefault="00331EDA" w:rsidP="00331EDA">
      <w:pPr>
        <w:tabs>
          <w:tab w:val="left" w:pos="709"/>
        </w:tabs>
        <w:rPr>
          <w:lang w:val="en-US"/>
        </w:rPr>
      </w:pPr>
    </w:p>
    <w:p w:rsidR="00331EDA" w:rsidRDefault="00331EDA">
      <w:pPr>
        <w:rPr>
          <w:lang w:eastAsia="zh-HK"/>
        </w:rPr>
      </w:pPr>
      <w:r>
        <w:rPr>
          <w:rFonts w:hint="eastAsia"/>
          <w:lang w:eastAsia="zh-HK"/>
        </w:rPr>
        <w:t>2.44</w:t>
      </w:r>
      <w:r>
        <w:rPr>
          <w:rFonts w:hint="eastAsia"/>
          <w:lang w:eastAsia="zh-HK"/>
        </w:rPr>
        <w:tab/>
      </w:r>
      <w:r>
        <w:t xml:space="preserve">To provide better service to the public, GRS has institutionalised the appeal channel on access to records by enabling the public to </w:t>
      </w:r>
      <w:r>
        <w:rPr>
          <w:rFonts w:hint="eastAsia"/>
          <w:lang w:eastAsia="zh-HK"/>
        </w:rPr>
        <w:t xml:space="preserve">appeal to </w:t>
      </w:r>
      <w:r>
        <w:t>the Director of Administration against GRS'</w:t>
      </w:r>
      <w:r>
        <w:rPr>
          <w:rFonts w:hint="eastAsia"/>
          <w:lang w:eastAsia="zh-HK"/>
        </w:rPr>
        <w:t xml:space="preserve"> </w:t>
      </w:r>
      <w:r>
        <w:t xml:space="preserve">decision, and to lodge a complaint with The Ombudsman if they are concerned about any maladministration in the handling of their requests.  </w:t>
      </w:r>
      <w:r w:rsidRPr="003F72D1">
        <w:t xml:space="preserve">Besides, </w:t>
      </w:r>
      <w:r w:rsidRPr="003F72D1">
        <w:rPr>
          <w:lang w:val="en-US"/>
        </w:rPr>
        <w:t>having reviewed the criteria for approving/refusing access to archival records, GRS has also removed the security grading of records as a factor to be considered when vetting applications for inspecting closed records as recommended in The Ombudsman</w:t>
      </w:r>
      <w:r>
        <w:rPr>
          <w:lang w:val="en-US"/>
        </w:rPr>
        <w:t>'</w:t>
      </w:r>
      <w:r w:rsidRPr="003F72D1">
        <w:rPr>
          <w:lang w:val="en-US"/>
        </w:rPr>
        <w:t>s Report.</w:t>
      </w:r>
    </w:p>
    <w:p w:rsidR="00331EDA" w:rsidRPr="004752E6" w:rsidRDefault="00331EDA">
      <w:pPr>
        <w:tabs>
          <w:tab w:val="left" w:pos="709"/>
        </w:tabs>
        <w:rPr>
          <w:sz w:val="22"/>
          <w:szCs w:val="22"/>
          <w:lang w:eastAsia="zh-HK"/>
        </w:rPr>
      </w:pPr>
    </w:p>
    <w:p w:rsidR="00331EDA" w:rsidRPr="004752E6" w:rsidRDefault="00331EDA">
      <w:pPr>
        <w:tabs>
          <w:tab w:val="left" w:pos="709"/>
        </w:tabs>
        <w:rPr>
          <w:sz w:val="22"/>
          <w:szCs w:val="22"/>
          <w:lang w:eastAsia="zh-HK"/>
        </w:rPr>
      </w:pPr>
    </w:p>
    <w:p w:rsidR="00331EDA" w:rsidRDefault="00331EDA" w:rsidP="00331EDA">
      <w:pPr>
        <w:pStyle w:val="Heading2"/>
        <w:keepNext w:val="0"/>
        <w:rPr>
          <w:u w:val="single"/>
        </w:rPr>
      </w:pPr>
      <w:r>
        <w:t>Management of electronic records</w:t>
      </w:r>
    </w:p>
    <w:p w:rsidR="00331EDA" w:rsidRDefault="00331EDA" w:rsidP="00331EDA">
      <w:pPr>
        <w:tabs>
          <w:tab w:val="clear" w:pos="1418"/>
          <w:tab w:val="left" w:pos="1440"/>
        </w:tabs>
        <w:rPr>
          <w:rFonts w:cs="Arial"/>
        </w:rPr>
      </w:pPr>
    </w:p>
    <w:p w:rsidR="00331EDA" w:rsidRDefault="00331EDA">
      <w:r>
        <w:t>2.4</w:t>
      </w:r>
      <w:r>
        <w:rPr>
          <w:rFonts w:hint="eastAsia"/>
        </w:rPr>
        <w:t>5</w:t>
      </w:r>
      <w:r>
        <w:tab/>
      </w:r>
      <w:r>
        <w:rPr>
          <w:rFonts w:hint="eastAsia"/>
        </w:rPr>
        <w:tab/>
      </w:r>
      <w:r>
        <w:t>The GRS has since 2001 been working in conjunction with the Office of the Government Chief Information Officer ("</w:t>
      </w:r>
      <w:r>
        <w:rPr>
          <w:b/>
        </w:rPr>
        <w:t>OGCIO"</w:t>
      </w:r>
      <w:r>
        <w:t>)</w:t>
      </w:r>
      <w:r>
        <w:rPr>
          <w:lang w:eastAsia="zh-HK"/>
        </w:rPr>
        <w:t xml:space="preserve"> </w:t>
      </w:r>
      <w:r>
        <w:t>and the Efficiency Office to formulate policy, strategies, and standard for the effective management of electronic records.  The objective is to develop new records management practices and tools to assist B/Ds to manage both electronic and non-electronic records in an integrated, efficient and consistent manner.  Guidelines on managing email records were promulgated in 2001 to help B/Ds to identify, create, file and manage email records.</w:t>
      </w:r>
      <w:r>
        <w:rPr>
          <w:rStyle w:val="FootnoteReference"/>
          <w:rFonts w:cs="Arial"/>
        </w:rPr>
        <w:footnoteReference w:id="102"/>
      </w:r>
      <w:r>
        <w:t xml:space="preserve">  </w:t>
      </w:r>
    </w:p>
    <w:p w:rsidR="00331EDA" w:rsidRDefault="00331EDA">
      <w:pPr>
        <w:pStyle w:val="ListParagraph"/>
        <w:tabs>
          <w:tab w:val="clear" w:pos="1418"/>
          <w:tab w:val="left" w:pos="1440"/>
        </w:tabs>
        <w:ind w:left="0"/>
        <w:rPr>
          <w:rFonts w:cs="Arial"/>
        </w:rPr>
      </w:pPr>
    </w:p>
    <w:p w:rsidR="00331EDA" w:rsidRDefault="00331EDA">
      <w:r>
        <w:t>2.4</w:t>
      </w:r>
      <w:r>
        <w:rPr>
          <w:rFonts w:hint="eastAsia"/>
        </w:rPr>
        <w:t>6</w:t>
      </w:r>
      <w:r>
        <w:tab/>
      </w:r>
      <w:r>
        <w:rPr>
          <w:rFonts w:hint="eastAsia"/>
        </w:rPr>
        <w:tab/>
      </w:r>
      <w:r>
        <w:t>In February 2009, an Electronic Information Management Steering Group ("</w:t>
      </w:r>
      <w:r>
        <w:rPr>
          <w:b/>
        </w:rPr>
        <w:t>EIMSG</w:t>
      </w:r>
      <w:r w:rsidRPr="00E459F6">
        <w:t>"</w:t>
      </w:r>
      <w:r>
        <w:t xml:space="preserve">) was established to steer the government-wide </w:t>
      </w:r>
      <w:r>
        <w:lastRenderedPageBreak/>
        <w:t>strategy and implementation of electronic information management.  Between February and October 2010, a consultancy study was conducted to make recommendations on further development and implementation of electronic information management, including an Electronic Recordkeeping System ("</w:t>
      </w:r>
      <w:r w:rsidRPr="00372DEA">
        <w:rPr>
          <w:b/>
        </w:rPr>
        <w:t>ERKS</w:t>
      </w:r>
      <w:r>
        <w:t>"), across the government.  On 3 May 2011, on the basis of the study and as endorsed by the EIMSG, the Government Chief Information Officer issued a circular on "</w:t>
      </w:r>
      <w:r w:rsidRPr="00372DEA">
        <w:rPr>
          <w:i/>
        </w:rPr>
        <w:t>Electronic Information Management Strategy and Framework</w:t>
      </w:r>
      <w:r>
        <w:t>" ("</w:t>
      </w:r>
      <w:r>
        <w:rPr>
          <w:b/>
        </w:rPr>
        <w:t>EIMSF</w:t>
      </w:r>
      <w:r w:rsidRPr="00EA73F0">
        <w:t>"</w:t>
      </w:r>
      <w:r>
        <w:t>) to promulgate a strategy and a framework for implementing electronic information management in B/Ds.  The GRS also issued a set of functional requirements for compliance by B/Ds in developing or adopting an ERKS ("</w:t>
      </w:r>
      <w:r>
        <w:rPr>
          <w:b/>
        </w:rPr>
        <w:t>FRERKS</w:t>
      </w:r>
      <w:r w:rsidRPr="00EA73F0">
        <w:t>"</w:t>
      </w:r>
      <w:r>
        <w:t>).</w:t>
      </w:r>
      <w:r>
        <w:rPr>
          <w:rStyle w:val="FootnoteReference"/>
          <w:rFonts w:cs="Arial"/>
        </w:rPr>
        <w:footnoteReference w:id="103"/>
      </w:r>
      <w:r>
        <w:t xml:space="preserve">  According to the EIMSF: </w:t>
      </w:r>
    </w:p>
    <w:p w:rsidR="00331EDA" w:rsidRDefault="00331EDA">
      <w:pPr>
        <w:pStyle w:val="ListParagraph"/>
        <w:tabs>
          <w:tab w:val="clear" w:pos="1418"/>
          <w:tab w:val="left" w:pos="1440"/>
        </w:tabs>
        <w:rPr>
          <w:rFonts w:cs="Arial"/>
        </w:rPr>
      </w:pPr>
    </w:p>
    <w:p w:rsidR="00331EDA" w:rsidRPr="00B63208" w:rsidRDefault="00331EDA" w:rsidP="00331EDA">
      <w:pPr>
        <w:ind w:left="1440" w:hanging="720"/>
        <w:rPr>
          <w:rFonts w:cs="Arial"/>
        </w:rPr>
      </w:pPr>
      <w:r>
        <w:rPr>
          <w:rFonts w:cs="Arial" w:hint="eastAsia"/>
        </w:rPr>
        <w:t>(i)</w:t>
      </w:r>
      <w:r>
        <w:rPr>
          <w:rFonts w:cs="Arial"/>
        </w:rPr>
        <w:tab/>
      </w:r>
      <w:r w:rsidRPr="00B63208">
        <w:rPr>
          <w:rFonts w:cs="Arial"/>
        </w:rPr>
        <w:t>B/Ds should take forward electronic records management as an integral part of the electronic information management initiative and adopt an ERKS to drive electronic records management in the government;</w:t>
      </w:r>
      <w:r>
        <w:rPr>
          <w:rStyle w:val="FootnoteReference"/>
          <w:rFonts w:cs="Arial"/>
        </w:rPr>
        <w:footnoteReference w:id="104"/>
      </w:r>
      <w:r w:rsidRPr="00B63208">
        <w:rPr>
          <w:rFonts w:cs="Arial"/>
        </w:rPr>
        <w:t xml:space="preserve"> and </w:t>
      </w:r>
    </w:p>
    <w:p w:rsidR="00331EDA" w:rsidRPr="00463E32" w:rsidRDefault="00331EDA">
      <w:pPr>
        <w:pStyle w:val="ListParagraph"/>
        <w:ind w:left="1440" w:hanging="720"/>
        <w:rPr>
          <w:rFonts w:cs="Arial"/>
        </w:rPr>
      </w:pPr>
    </w:p>
    <w:p w:rsidR="00331EDA" w:rsidRPr="00B63208" w:rsidRDefault="00331EDA" w:rsidP="00331EDA">
      <w:pPr>
        <w:ind w:left="1440" w:hanging="720"/>
        <w:rPr>
          <w:rFonts w:cs="Arial"/>
        </w:rPr>
      </w:pPr>
      <w:r>
        <w:rPr>
          <w:rFonts w:cs="Arial" w:hint="eastAsia"/>
        </w:rPr>
        <w:t>(ii)</w:t>
      </w:r>
      <w:r>
        <w:rPr>
          <w:rFonts w:cs="Arial"/>
        </w:rPr>
        <w:tab/>
      </w:r>
      <w:r w:rsidRPr="00B63208">
        <w:rPr>
          <w:rFonts w:cs="Arial"/>
        </w:rPr>
        <w:t>the FRERKS form part of the mandatory requirements that B/Ds should observe in implementing electronic information management.</w:t>
      </w:r>
      <w:r>
        <w:rPr>
          <w:rStyle w:val="FootnoteReference"/>
          <w:rFonts w:cs="Arial"/>
        </w:rPr>
        <w:footnoteReference w:id="105"/>
      </w:r>
    </w:p>
    <w:p w:rsidR="00331EDA" w:rsidRDefault="00331EDA">
      <w:pPr>
        <w:tabs>
          <w:tab w:val="clear" w:pos="1418"/>
          <w:tab w:val="left" w:pos="1440"/>
        </w:tabs>
        <w:rPr>
          <w:rFonts w:cs="Arial"/>
        </w:rPr>
      </w:pPr>
    </w:p>
    <w:p w:rsidR="00331EDA" w:rsidRDefault="00331EDA">
      <w:r>
        <w:t>2.4</w:t>
      </w:r>
      <w:r>
        <w:rPr>
          <w:rFonts w:hint="eastAsia"/>
        </w:rPr>
        <w:t>7</w:t>
      </w:r>
      <w:r>
        <w:tab/>
      </w:r>
      <w:r>
        <w:rPr>
          <w:rFonts w:hint="eastAsia"/>
        </w:rPr>
        <w:tab/>
      </w:r>
      <w:r>
        <w:t xml:space="preserve">On 29 May 2012, the GRS issued the </w:t>
      </w:r>
      <w:r w:rsidRPr="00372DEA">
        <w:rPr>
          <w:i/>
        </w:rPr>
        <w:t>Recordkeeping Metadata Standard for the Government of the Hong Kong Special Administrative Region</w:t>
      </w:r>
      <w:r>
        <w:t xml:space="preserve"> ("</w:t>
      </w:r>
      <w:r w:rsidRPr="00372DEA">
        <w:rPr>
          <w:b/>
        </w:rPr>
        <w:t>RKMS</w:t>
      </w:r>
      <w:r>
        <w:t>"), which specifies a core set of recordkeeping metadata to be created, captured, used, managed and maintained in an ERKS to support efficient and effective management of records throughout their life cycle.  The GRS subsequently issued a number of guidelines to assist and guide DRMs and IT staff of Information Technology Management Units of B/Ds in implementing and complying with the requirements of the said Recordkeeping Metadata Standard.</w:t>
      </w:r>
      <w:r>
        <w:rPr>
          <w:rStyle w:val="FootnoteReference"/>
          <w:rFonts w:cs="Arial"/>
        </w:rPr>
        <w:footnoteReference w:id="106"/>
      </w:r>
    </w:p>
    <w:p w:rsidR="00331EDA" w:rsidRDefault="00331EDA">
      <w:pPr>
        <w:tabs>
          <w:tab w:val="clear" w:pos="1418"/>
          <w:tab w:val="left" w:pos="1440"/>
        </w:tabs>
        <w:rPr>
          <w:rFonts w:cs="Arial"/>
        </w:rPr>
      </w:pPr>
    </w:p>
    <w:p w:rsidR="00331EDA" w:rsidRDefault="00331EDA" w:rsidP="007572E9">
      <w:pPr>
        <w:pStyle w:val="Heading3"/>
        <w:tabs>
          <w:tab w:val="clear" w:pos="1418"/>
          <w:tab w:val="left" w:pos="720"/>
        </w:tabs>
      </w:pPr>
      <w:r>
        <w:lastRenderedPageBreak/>
        <w:t>(a)</w:t>
      </w:r>
      <w:r>
        <w:tab/>
        <w:t>Preservation of electronic records</w:t>
      </w:r>
    </w:p>
    <w:p w:rsidR="00331EDA" w:rsidRDefault="00331EDA">
      <w:pPr>
        <w:tabs>
          <w:tab w:val="clear" w:pos="1418"/>
          <w:tab w:val="left" w:pos="1440"/>
        </w:tabs>
        <w:rPr>
          <w:rFonts w:cs="Arial"/>
        </w:rPr>
      </w:pPr>
    </w:p>
    <w:p w:rsidR="00331EDA" w:rsidRDefault="00331EDA">
      <w:r>
        <w:t>2.4</w:t>
      </w:r>
      <w:r>
        <w:rPr>
          <w:rFonts w:hint="eastAsia"/>
        </w:rPr>
        <w:t>8</w:t>
      </w:r>
      <w:r>
        <w:rPr>
          <w:rFonts w:hint="eastAsia"/>
        </w:rPr>
        <w:tab/>
      </w:r>
      <w:r>
        <w:tab/>
      </w:r>
      <w:r>
        <w:rPr>
          <w:i/>
        </w:rPr>
        <w:t xml:space="preserve">A Handbook on Preservation of Electronic Records </w:t>
      </w:r>
      <w:r>
        <w:t>("</w:t>
      </w:r>
      <w:r w:rsidRPr="00372DEA">
        <w:rPr>
          <w:b/>
        </w:rPr>
        <w:t>HPER</w:t>
      </w:r>
      <w:r>
        <w:t>") promulgated by the GRS on 31 July 2013 with contributions from the</w:t>
      </w:r>
      <w:r>
        <w:rPr>
          <w:lang w:eastAsia="zh-HK"/>
        </w:rPr>
        <w:t xml:space="preserve"> OGCIO</w:t>
      </w:r>
      <w:r>
        <w:t xml:space="preserve"> provides guidance for B/Ds to establish and implement a departmental preservation programme, and to adopt proper measures and practices to preserve their electronic records for meeting legal and regulatory requirements, business and operational needs and evidence purpose.</w:t>
      </w:r>
      <w:r>
        <w:rPr>
          <w:rStyle w:val="FootnoteReference"/>
          <w:rFonts w:cs="Arial"/>
        </w:rPr>
        <w:footnoteReference w:id="107"/>
      </w:r>
    </w:p>
    <w:p w:rsidR="00331EDA" w:rsidRDefault="00331EDA">
      <w:pPr>
        <w:tabs>
          <w:tab w:val="clear" w:pos="1418"/>
          <w:tab w:val="left" w:pos="1440"/>
        </w:tabs>
        <w:ind w:left="270"/>
        <w:rPr>
          <w:rFonts w:cs="Arial"/>
        </w:rPr>
      </w:pPr>
    </w:p>
    <w:p w:rsidR="00331EDA" w:rsidRDefault="00331EDA">
      <w:r>
        <w:t>2.</w:t>
      </w:r>
      <w:r>
        <w:rPr>
          <w:rFonts w:hint="eastAsia"/>
        </w:rPr>
        <w:t>49</w:t>
      </w:r>
      <w:r>
        <w:rPr>
          <w:rFonts w:hint="eastAsia"/>
        </w:rPr>
        <w:tab/>
      </w:r>
      <w:r>
        <w:tab/>
        <w:t>The HPER advises B/Ds to plan for and implement preservation of electronic records to meet challenges of rapid technological changes, media decay and physical damage to hardware and storage media.</w:t>
      </w:r>
      <w:r>
        <w:rPr>
          <w:rStyle w:val="FootnoteReference"/>
          <w:rFonts w:cs="Arial"/>
        </w:rPr>
        <w:footnoteReference w:id="108"/>
      </w:r>
      <w:r>
        <w:t xml:space="preserve">  It highlights the B/Ds' responsibility and the GRS and OGCIOs' assisting roles in this regard.</w:t>
      </w:r>
      <w:r>
        <w:rPr>
          <w:rStyle w:val="FootnoteReference"/>
          <w:rFonts w:cs="Arial"/>
        </w:rPr>
        <w:footnoteReference w:id="109"/>
      </w:r>
      <w:r>
        <w:t xml:space="preserve">  The HPER also recommends the approach to be adopted by B/Ds in planning, execution and monitoring of their department preservation programme.</w:t>
      </w:r>
      <w:r>
        <w:rPr>
          <w:rStyle w:val="FootnoteReference"/>
          <w:rFonts w:cs="Arial"/>
        </w:rPr>
        <w:footnoteReference w:id="110"/>
      </w:r>
      <w:r>
        <w:t xml:space="preserve">  Ten general good practices and measures for preservation of electronic records are also included for B/Ds' reference.</w:t>
      </w:r>
      <w:r>
        <w:rPr>
          <w:rStyle w:val="FootnoteReference"/>
          <w:rFonts w:cs="Arial"/>
        </w:rPr>
        <w:footnoteReference w:id="111"/>
      </w:r>
      <w:r>
        <w:t xml:space="preserve">  </w:t>
      </w:r>
    </w:p>
    <w:p w:rsidR="00331EDA" w:rsidRDefault="00331EDA">
      <w:pPr>
        <w:tabs>
          <w:tab w:val="clear" w:pos="1418"/>
          <w:tab w:val="left" w:pos="1440"/>
        </w:tabs>
        <w:rPr>
          <w:rFonts w:cs="Arial"/>
          <w:i/>
        </w:rPr>
      </w:pPr>
    </w:p>
    <w:p w:rsidR="00331EDA" w:rsidRDefault="00331EDA">
      <w:pPr>
        <w:tabs>
          <w:tab w:val="clear" w:pos="1418"/>
          <w:tab w:val="left" w:pos="1440"/>
        </w:tabs>
        <w:rPr>
          <w:rFonts w:cs="Arial"/>
          <w:i/>
        </w:rPr>
      </w:pPr>
    </w:p>
    <w:p w:rsidR="00331EDA" w:rsidRDefault="00331EDA" w:rsidP="007572E9">
      <w:pPr>
        <w:pStyle w:val="Heading3"/>
        <w:tabs>
          <w:tab w:val="clear" w:pos="1418"/>
          <w:tab w:val="left" w:pos="720"/>
        </w:tabs>
      </w:pPr>
      <w:r>
        <w:t>(b)</w:t>
      </w:r>
      <w:r>
        <w:tab/>
        <w:t>Management of email records</w:t>
      </w:r>
    </w:p>
    <w:p w:rsidR="00331EDA" w:rsidRDefault="00331EDA">
      <w:pPr>
        <w:tabs>
          <w:tab w:val="clear" w:pos="1418"/>
          <w:tab w:val="left" w:pos="1440"/>
        </w:tabs>
        <w:rPr>
          <w:rFonts w:cs="Arial"/>
        </w:rPr>
      </w:pPr>
    </w:p>
    <w:p w:rsidR="00331EDA" w:rsidRDefault="00331EDA" w:rsidP="00331EDA">
      <w:pPr>
        <w:keepNext/>
      </w:pPr>
      <w:r>
        <w:t>2.5</w:t>
      </w:r>
      <w:r>
        <w:rPr>
          <w:rFonts w:hint="eastAsia"/>
        </w:rPr>
        <w:t>0</w:t>
      </w:r>
      <w:r>
        <w:tab/>
      </w:r>
      <w:r>
        <w:rPr>
          <w:rFonts w:hint="eastAsia"/>
        </w:rPr>
        <w:tab/>
      </w:r>
      <w:r>
        <w:t>B/Ds are required to keep emails created or received in the course of their official business as records to evidence such business.  In case of doubt as to whether an email should be kept as record, an officer should seek guidance from his supervisor.  In the meantime and unless otherwise agreed by GRS, email correspondence should be "printed-and-filed" for record purposes.</w:t>
      </w:r>
      <w:r>
        <w:rPr>
          <w:rStyle w:val="FootnoteReference"/>
          <w:rFonts w:cs="Arial"/>
        </w:rPr>
        <w:footnoteReference w:id="112"/>
      </w:r>
    </w:p>
    <w:p w:rsidR="00331EDA" w:rsidRDefault="00331EDA">
      <w:pPr>
        <w:pStyle w:val="ListParagraph"/>
        <w:tabs>
          <w:tab w:val="clear" w:pos="1418"/>
          <w:tab w:val="left" w:pos="1440"/>
        </w:tabs>
        <w:ind w:left="0"/>
        <w:rPr>
          <w:rFonts w:cs="Arial"/>
        </w:rPr>
      </w:pPr>
    </w:p>
    <w:p w:rsidR="00331EDA" w:rsidRDefault="00331EDA">
      <w:pPr>
        <w:rPr>
          <w:lang w:eastAsia="zh-HK"/>
        </w:rPr>
      </w:pPr>
      <w:r>
        <w:t>2.5</w:t>
      </w:r>
      <w:r>
        <w:rPr>
          <w:rFonts w:hint="eastAsia"/>
        </w:rPr>
        <w:t>1</w:t>
      </w:r>
      <w:r>
        <w:tab/>
      </w:r>
      <w:r>
        <w:rPr>
          <w:rFonts w:hint="eastAsia"/>
        </w:rPr>
        <w:tab/>
      </w:r>
      <w:r>
        <w:t xml:space="preserve">The </w:t>
      </w:r>
      <w:r w:rsidRPr="00372DEA">
        <w:rPr>
          <w:i/>
        </w:rPr>
        <w:t>Guideline on the Management of Electronic Mail</w:t>
      </w:r>
      <w:r>
        <w:rPr>
          <w:rFonts w:hint="eastAsia"/>
          <w:lang w:eastAsia="zh-HK"/>
        </w:rPr>
        <w:t xml:space="preserve"> </w:t>
      </w:r>
      <w:r>
        <w:t>was issued by the GRS on 10 October 2001 to give B/Ds guidance on identifying, creating, filing and managing email records.</w:t>
      </w:r>
      <w:r>
        <w:rPr>
          <w:rFonts w:hint="eastAsia"/>
          <w:lang w:eastAsia="zh-HK"/>
        </w:rPr>
        <w:t xml:space="preserve">  </w:t>
      </w:r>
      <w:r>
        <w:rPr>
          <w:lang w:eastAsia="zh-HK"/>
        </w:rPr>
        <w:t>In view of the increasing use of third-party messaging services</w:t>
      </w:r>
      <w:r>
        <w:rPr>
          <w:rStyle w:val="FootnoteReference"/>
          <w:lang w:eastAsia="zh-HK"/>
        </w:rPr>
        <w:footnoteReference w:id="113"/>
      </w:r>
      <w:r>
        <w:rPr>
          <w:lang w:eastAsia="zh-HK"/>
        </w:rPr>
        <w:t xml:space="preserve">  by B/Ds for conducting official business, GRS updated this publication in December 2017 and renamed it as "</w:t>
      </w:r>
      <w:r w:rsidRPr="00372DEA">
        <w:rPr>
          <w:i/>
          <w:lang w:eastAsia="zh-HK"/>
        </w:rPr>
        <w:t>Guideline on the Management of Electronic Messages</w:t>
      </w:r>
      <w:r>
        <w:rPr>
          <w:lang w:eastAsia="zh-HK"/>
        </w:rPr>
        <w:t>" ("</w:t>
      </w:r>
      <w:r>
        <w:rPr>
          <w:b/>
          <w:lang w:eastAsia="zh-HK"/>
        </w:rPr>
        <w:t>GMEM</w:t>
      </w:r>
      <w:r>
        <w:rPr>
          <w:lang w:eastAsia="zh-HK"/>
        </w:rPr>
        <w:t xml:space="preserve">") to reiterate the Government's policy and requirement for compliance by B/Ds </w:t>
      </w:r>
      <w:r>
        <w:rPr>
          <w:rFonts w:hint="eastAsia"/>
          <w:lang w:eastAsia="zh-HK"/>
        </w:rPr>
        <w:t xml:space="preserve">and </w:t>
      </w:r>
      <w:r>
        <w:rPr>
          <w:lang w:eastAsia="zh-HK"/>
        </w:rPr>
        <w:t>to ensure the proper management of electronic message records including e-mails, messages in SMS and other instant messaging applications.</w:t>
      </w:r>
    </w:p>
    <w:p w:rsidR="00331EDA" w:rsidRDefault="00331EDA">
      <w:pPr>
        <w:tabs>
          <w:tab w:val="clear" w:pos="1418"/>
          <w:tab w:val="left" w:pos="1440"/>
        </w:tabs>
        <w:rPr>
          <w:rFonts w:cs="Arial"/>
        </w:rPr>
      </w:pPr>
    </w:p>
    <w:p w:rsidR="00331EDA" w:rsidRPr="00F17FA0" w:rsidRDefault="00331EDA" w:rsidP="00331EDA">
      <w:pPr>
        <w:tabs>
          <w:tab w:val="clear" w:pos="1418"/>
          <w:tab w:val="left" w:pos="1440"/>
        </w:tabs>
        <w:rPr>
          <w:rFonts w:cs="Arial"/>
          <w:lang w:val="en-US"/>
        </w:rPr>
      </w:pPr>
    </w:p>
    <w:p w:rsidR="00331EDA" w:rsidRDefault="00331EDA" w:rsidP="00331EDA">
      <w:pPr>
        <w:pStyle w:val="Heading2"/>
      </w:pPr>
      <w:r>
        <w:lastRenderedPageBreak/>
        <w:t>Compliance and enforcement</w:t>
      </w:r>
    </w:p>
    <w:p w:rsidR="00331EDA" w:rsidRDefault="00331EDA">
      <w:pPr>
        <w:keepNext/>
        <w:tabs>
          <w:tab w:val="clear" w:pos="1418"/>
          <w:tab w:val="left" w:pos="1440"/>
        </w:tabs>
        <w:rPr>
          <w:rFonts w:cs="Arial"/>
        </w:rPr>
      </w:pPr>
    </w:p>
    <w:p w:rsidR="00331EDA" w:rsidRDefault="00331EDA" w:rsidP="00167D8B">
      <w:pPr>
        <w:pStyle w:val="Heading3"/>
        <w:tabs>
          <w:tab w:val="clear" w:pos="1418"/>
          <w:tab w:val="left" w:pos="720"/>
        </w:tabs>
      </w:pPr>
      <w:r>
        <w:rPr>
          <w:rFonts w:hint="eastAsia"/>
        </w:rPr>
        <w:t>(a)</w:t>
      </w:r>
      <w:r>
        <w:tab/>
        <w:t>Compliance with standards and guidelines</w:t>
      </w:r>
    </w:p>
    <w:p w:rsidR="00331EDA" w:rsidRDefault="00331EDA">
      <w:pPr>
        <w:pStyle w:val="ListParagraph"/>
        <w:keepNext/>
        <w:tabs>
          <w:tab w:val="clear" w:pos="1418"/>
          <w:tab w:val="left" w:pos="1440"/>
        </w:tabs>
        <w:ind w:left="360"/>
        <w:rPr>
          <w:rFonts w:cs="Arial"/>
        </w:rPr>
      </w:pPr>
    </w:p>
    <w:p w:rsidR="00331EDA" w:rsidRDefault="00331EDA">
      <w:r>
        <w:t>2.5</w:t>
      </w:r>
      <w:r>
        <w:rPr>
          <w:rFonts w:hint="eastAsia"/>
        </w:rPr>
        <w:t>2</w:t>
      </w:r>
      <w:r>
        <w:tab/>
      </w:r>
      <w:r>
        <w:rPr>
          <w:rFonts w:hint="eastAsia"/>
        </w:rPr>
        <w:tab/>
      </w:r>
      <w:r>
        <w:t>The RMM requires all B/Ds to follow the RMM as far as possible to ensure quality, consistency, accountability, efficiency and cost-effectiveness in the management of government records.</w:t>
      </w:r>
      <w:r>
        <w:rPr>
          <w:rStyle w:val="FootnoteReference"/>
          <w:rFonts w:cs="Arial"/>
        </w:rPr>
        <w:footnoteReference w:id="114"/>
      </w:r>
    </w:p>
    <w:p w:rsidR="00331EDA" w:rsidRDefault="00331EDA">
      <w:pPr>
        <w:pStyle w:val="ListParagraph"/>
        <w:tabs>
          <w:tab w:val="clear" w:pos="1418"/>
          <w:tab w:val="left" w:pos="1440"/>
        </w:tabs>
        <w:ind w:left="0"/>
        <w:rPr>
          <w:rFonts w:cs="Arial"/>
        </w:rPr>
      </w:pPr>
    </w:p>
    <w:p w:rsidR="00331EDA" w:rsidRDefault="00331EDA">
      <w:r>
        <w:t>2.5</w:t>
      </w:r>
      <w:r>
        <w:rPr>
          <w:rFonts w:hint="eastAsia"/>
        </w:rPr>
        <w:t>3</w:t>
      </w:r>
      <w:r>
        <w:tab/>
      </w:r>
      <w:r>
        <w:rPr>
          <w:rFonts w:hint="eastAsia"/>
        </w:rPr>
        <w:tab/>
      </w:r>
      <w:r>
        <w:t>Under the current administrative regime, the GRS is responsible for developing records standards, guidelines and procedures, and carrying out surveys, and studies of departmental records management programmes to facilitate and ensure B/Ds' compliance.</w:t>
      </w:r>
      <w:r>
        <w:rPr>
          <w:rStyle w:val="FootnoteReference"/>
          <w:rFonts w:cs="Arial"/>
        </w:rPr>
        <w:footnoteReference w:id="115"/>
      </w:r>
      <w:r>
        <w:t xml:space="preserve">  Specifically, RMP7 provides a checklist to help B/Ds evaluate the status of their records management programme and identify major records problems.</w:t>
      </w:r>
    </w:p>
    <w:p w:rsidR="00331EDA" w:rsidRDefault="00331EDA">
      <w:pPr>
        <w:tabs>
          <w:tab w:val="clear" w:pos="1418"/>
          <w:tab w:val="left" w:pos="1440"/>
        </w:tabs>
        <w:ind w:left="270"/>
        <w:rPr>
          <w:rFonts w:cs="Arial"/>
        </w:rPr>
      </w:pPr>
    </w:p>
    <w:p w:rsidR="00331EDA" w:rsidRDefault="00331EDA">
      <w:r>
        <w:t>2.5</w:t>
      </w:r>
      <w:r>
        <w:rPr>
          <w:rFonts w:hint="eastAsia"/>
        </w:rPr>
        <w:t>4</w:t>
      </w:r>
      <w:r>
        <w:tab/>
      </w:r>
      <w:r>
        <w:rPr>
          <w:rFonts w:hint="eastAsia"/>
        </w:rPr>
        <w:tab/>
      </w:r>
      <w:r>
        <w:t>Where circumstances warrant, the GRS will also review the records management function of B/Ds to ensure their compliance.</w:t>
      </w:r>
      <w:r>
        <w:rPr>
          <w:rStyle w:val="FootnoteReference"/>
          <w:rFonts w:cs="Arial"/>
        </w:rPr>
        <w:footnoteReference w:id="116"/>
      </w:r>
      <w:r>
        <w:t xml:space="preserve">  Such records review will be based on perceived needs of the GRS or specific requests by B/Ds.</w:t>
      </w:r>
      <w:r>
        <w:rPr>
          <w:rStyle w:val="FootnoteReference"/>
          <w:rFonts w:cs="Arial"/>
        </w:rPr>
        <w:footnoteReference w:id="117"/>
      </w:r>
      <w:r>
        <w:t xml:space="preserve">  The GRS will give the B/Ds concerned at least three months' prior </w:t>
      </w:r>
      <w:r>
        <w:rPr>
          <w:rFonts w:hint="eastAsia"/>
          <w:lang w:eastAsia="zh-HK"/>
        </w:rPr>
        <w:t xml:space="preserve">written </w:t>
      </w:r>
      <w:r>
        <w:t>notice of its intention to conduct a review.</w:t>
      </w:r>
      <w:r>
        <w:rPr>
          <w:rStyle w:val="FootnoteReference"/>
          <w:rFonts w:cs="Arial"/>
        </w:rPr>
        <w:footnoteReference w:id="118"/>
      </w:r>
    </w:p>
    <w:p w:rsidR="00331EDA" w:rsidRDefault="00331EDA">
      <w:pPr>
        <w:tabs>
          <w:tab w:val="clear" w:pos="1418"/>
          <w:tab w:val="left" w:pos="1440"/>
        </w:tabs>
        <w:rPr>
          <w:rFonts w:cs="Arial"/>
        </w:rPr>
      </w:pPr>
    </w:p>
    <w:p w:rsidR="00331EDA" w:rsidRDefault="00331EDA">
      <w:r>
        <w:t>2.5</w:t>
      </w:r>
      <w:r>
        <w:rPr>
          <w:rFonts w:hint="eastAsia"/>
        </w:rPr>
        <w:t>5</w:t>
      </w:r>
      <w:r>
        <w:tab/>
      </w:r>
      <w:r>
        <w:rPr>
          <w:rFonts w:hint="eastAsia"/>
        </w:rPr>
        <w:tab/>
      </w:r>
      <w:r>
        <w:t>A two-pronged approach is adopted in these reviews, namely:-</w:t>
      </w:r>
    </w:p>
    <w:p w:rsidR="00331EDA" w:rsidRDefault="00331EDA">
      <w:pPr>
        <w:tabs>
          <w:tab w:val="clear" w:pos="1418"/>
          <w:tab w:val="left" w:pos="1440"/>
        </w:tabs>
        <w:rPr>
          <w:rFonts w:cs="Arial"/>
        </w:rPr>
      </w:pPr>
    </w:p>
    <w:p w:rsidR="00331EDA" w:rsidRDefault="00331EDA">
      <w:pPr>
        <w:tabs>
          <w:tab w:val="clear" w:pos="1418"/>
          <w:tab w:val="left" w:pos="1440"/>
        </w:tabs>
        <w:ind w:left="720"/>
        <w:rPr>
          <w:rFonts w:cs="Arial"/>
        </w:rPr>
      </w:pPr>
      <w:r>
        <w:rPr>
          <w:rFonts w:cs="Arial"/>
        </w:rPr>
        <w:t>(i)</w:t>
      </w:r>
      <w:r>
        <w:rPr>
          <w:rFonts w:cs="Arial"/>
        </w:rPr>
        <w:tab/>
        <w:t>self-assessment by B/Ds; and</w:t>
      </w:r>
    </w:p>
    <w:p w:rsidR="00331EDA" w:rsidRDefault="00331EDA">
      <w:pPr>
        <w:tabs>
          <w:tab w:val="clear" w:pos="1418"/>
          <w:tab w:val="left" w:pos="1440"/>
        </w:tabs>
        <w:ind w:left="720"/>
        <w:rPr>
          <w:rFonts w:cs="Arial"/>
        </w:rPr>
      </w:pPr>
    </w:p>
    <w:p w:rsidR="00331EDA" w:rsidRDefault="00331EDA">
      <w:pPr>
        <w:tabs>
          <w:tab w:val="clear" w:pos="1418"/>
          <w:tab w:val="left" w:pos="1440"/>
        </w:tabs>
        <w:ind w:left="720"/>
        <w:rPr>
          <w:rFonts w:cs="Arial"/>
        </w:rPr>
      </w:pPr>
      <w:r>
        <w:rPr>
          <w:rFonts w:cs="Arial"/>
        </w:rPr>
        <w:t>(ii)</w:t>
      </w:r>
      <w:r>
        <w:rPr>
          <w:rFonts w:cs="Arial"/>
        </w:rPr>
        <w:tab/>
        <w:t>departmental records management review by the GRS.</w:t>
      </w:r>
      <w:r>
        <w:rPr>
          <w:rStyle w:val="FootnoteReference"/>
          <w:rFonts w:cs="Arial"/>
        </w:rPr>
        <w:footnoteReference w:id="119"/>
      </w:r>
      <w:r>
        <w:rPr>
          <w:rFonts w:cs="Arial"/>
        </w:rPr>
        <w:t xml:space="preserve"> </w:t>
      </w:r>
    </w:p>
    <w:p w:rsidR="00331EDA" w:rsidRDefault="00331EDA">
      <w:pPr>
        <w:tabs>
          <w:tab w:val="clear" w:pos="1418"/>
          <w:tab w:val="left" w:pos="1440"/>
        </w:tabs>
        <w:rPr>
          <w:rFonts w:cs="Arial"/>
        </w:rPr>
      </w:pPr>
    </w:p>
    <w:p w:rsidR="00331EDA" w:rsidRDefault="00331EDA">
      <w:r>
        <w:t>2.5</w:t>
      </w:r>
      <w:r>
        <w:rPr>
          <w:rFonts w:hint="eastAsia"/>
        </w:rPr>
        <w:t>6</w:t>
      </w:r>
      <w:r>
        <w:tab/>
      </w:r>
      <w:r>
        <w:rPr>
          <w:rFonts w:hint="eastAsia"/>
        </w:rPr>
        <w:tab/>
      </w:r>
      <w:r>
        <w:t>At the end of the review, the GRS will submit its findings and recommendations to the B/Ds concerned, which will be required to draw up an implementation plan.  These documents will be further submitted to the Chief Secretary for Administration for any further steer, as needed.</w:t>
      </w:r>
      <w:r>
        <w:rPr>
          <w:rStyle w:val="FootnoteReference"/>
          <w:rFonts w:cs="Arial"/>
        </w:rPr>
        <w:footnoteReference w:id="120"/>
      </w:r>
    </w:p>
    <w:p w:rsidR="00331EDA" w:rsidRDefault="00331EDA">
      <w:pPr>
        <w:pStyle w:val="ListParagraph"/>
        <w:tabs>
          <w:tab w:val="clear" w:pos="1418"/>
          <w:tab w:val="left" w:pos="1440"/>
        </w:tabs>
        <w:ind w:left="0"/>
        <w:rPr>
          <w:rFonts w:cs="Arial"/>
        </w:rPr>
      </w:pPr>
    </w:p>
    <w:p w:rsidR="00331EDA" w:rsidRDefault="00331EDA">
      <w:pPr>
        <w:pStyle w:val="ListParagraph"/>
        <w:tabs>
          <w:tab w:val="clear" w:pos="1418"/>
          <w:tab w:val="left" w:pos="1440"/>
        </w:tabs>
        <w:ind w:left="0"/>
        <w:rPr>
          <w:rFonts w:cs="Arial"/>
        </w:rPr>
      </w:pPr>
    </w:p>
    <w:p w:rsidR="00331EDA" w:rsidRDefault="00331EDA" w:rsidP="00167D8B">
      <w:pPr>
        <w:pStyle w:val="Heading3"/>
        <w:widowControl/>
        <w:tabs>
          <w:tab w:val="clear" w:pos="1418"/>
          <w:tab w:val="left" w:pos="720"/>
        </w:tabs>
      </w:pPr>
      <w:r>
        <w:rPr>
          <w:rFonts w:hint="eastAsia"/>
        </w:rPr>
        <w:lastRenderedPageBreak/>
        <w:t>(b)</w:t>
      </w:r>
      <w:r>
        <w:tab/>
        <w:t>Enforcement and sanctions</w:t>
      </w:r>
    </w:p>
    <w:p w:rsidR="00331EDA" w:rsidRDefault="00331EDA" w:rsidP="00942631">
      <w:pPr>
        <w:pStyle w:val="ListParagraph"/>
        <w:keepNext/>
        <w:widowControl/>
        <w:tabs>
          <w:tab w:val="clear" w:pos="1418"/>
          <w:tab w:val="left" w:pos="1440"/>
        </w:tabs>
        <w:ind w:left="709"/>
        <w:rPr>
          <w:rFonts w:cs="Arial"/>
          <w:i/>
        </w:rPr>
      </w:pPr>
    </w:p>
    <w:p w:rsidR="00331EDA" w:rsidRDefault="00331EDA" w:rsidP="00942631">
      <w:pPr>
        <w:keepNext/>
        <w:widowControl/>
        <w:rPr>
          <w:lang w:eastAsia="zh-HK"/>
        </w:rPr>
      </w:pPr>
      <w:r>
        <w:t>2.5</w:t>
      </w:r>
      <w:r>
        <w:rPr>
          <w:rFonts w:hint="eastAsia"/>
        </w:rPr>
        <w:t>7</w:t>
      </w:r>
      <w:r>
        <w:tab/>
      </w:r>
      <w:r>
        <w:rPr>
          <w:rFonts w:hint="eastAsia"/>
        </w:rPr>
        <w:tab/>
      </w:r>
      <w:r>
        <w:t>Where government servants disobey, neglect or fail to observe the terms of G</w:t>
      </w:r>
      <w:r>
        <w:rPr>
          <w:rFonts w:hint="eastAsia"/>
          <w:lang w:eastAsia="zh-HK"/>
        </w:rPr>
        <w:t xml:space="preserve">overnment </w:t>
      </w:r>
      <w:r>
        <w:t>R</w:t>
      </w:r>
      <w:r>
        <w:rPr>
          <w:rFonts w:hint="eastAsia"/>
          <w:lang w:eastAsia="zh-HK"/>
        </w:rPr>
        <w:t>egulation</w:t>
      </w:r>
      <w:r>
        <w:t xml:space="preserve">s, Circulars or Circular Memoranda on Conduct and Discipline appertaining to their duties, disciplinary proceedings may be taken against them and </w:t>
      </w:r>
      <w:r>
        <w:rPr>
          <w:lang w:eastAsia="zh-HK"/>
        </w:rPr>
        <w:t>they</w:t>
      </w:r>
      <w:r>
        <w:t xml:space="preserve"> may be held pecuniarily responsible for any financial loss to government</w:t>
      </w:r>
      <w:r>
        <w:rPr>
          <w:rFonts w:hint="eastAsia"/>
          <w:lang w:eastAsia="zh-HK"/>
        </w:rPr>
        <w:t xml:space="preserve"> resulting from </w:t>
      </w:r>
      <w:r>
        <w:rPr>
          <w:lang w:eastAsia="zh-HK"/>
        </w:rPr>
        <w:t>their</w:t>
      </w:r>
      <w:r>
        <w:rPr>
          <w:rFonts w:hint="eastAsia"/>
          <w:lang w:eastAsia="zh-HK"/>
        </w:rPr>
        <w:t xml:space="preserve"> disobedience, neglect or failure</w:t>
      </w:r>
      <w:r>
        <w:t>.</w:t>
      </w:r>
      <w:r>
        <w:rPr>
          <w:rStyle w:val="FootnoteReference"/>
          <w:rFonts w:cs="Arial"/>
        </w:rPr>
        <w:footnoteReference w:id="121"/>
      </w:r>
      <w:r>
        <w:rPr>
          <w:rFonts w:hint="eastAsia"/>
          <w:lang w:eastAsia="zh-HK"/>
        </w:rPr>
        <w:t xml:space="preserve"> </w:t>
      </w:r>
    </w:p>
    <w:p w:rsidR="00331EDA" w:rsidRDefault="00331EDA">
      <w:pPr>
        <w:pStyle w:val="ListParagraph"/>
        <w:tabs>
          <w:tab w:val="clear" w:pos="1418"/>
          <w:tab w:val="left" w:pos="1440"/>
        </w:tabs>
        <w:ind w:left="0"/>
        <w:rPr>
          <w:rFonts w:cs="Arial"/>
        </w:rPr>
      </w:pPr>
    </w:p>
    <w:p w:rsidR="00331EDA" w:rsidRDefault="00331EDA">
      <w:r>
        <w:t>2.5</w:t>
      </w:r>
      <w:r>
        <w:rPr>
          <w:rFonts w:hint="eastAsia"/>
        </w:rPr>
        <w:t>8</w:t>
      </w:r>
      <w:r>
        <w:tab/>
      </w:r>
      <w:r>
        <w:rPr>
          <w:rFonts w:hint="eastAsia"/>
        </w:rPr>
        <w:tab/>
      </w:r>
      <w:r>
        <w:t>In case of loss or unauthorised destruction of records, the DRM of the B/D concerned has to conduct an investigation and consider whether any disciplinary action or other administrative action is necessary, and report the findings and follow-up actions to GRS.</w:t>
      </w:r>
      <w:r>
        <w:rPr>
          <w:rStyle w:val="FootnoteReference"/>
          <w:rFonts w:cs="Arial"/>
        </w:rPr>
        <w:footnoteReference w:id="122"/>
      </w:r>
      <w:r>
        <w:t xml:space="preserve"> </w:t>
      </w:r>
    </w:p>
    <w:p w:rsidR="00331EDA" w:rsidRDefault="00331EDA">
      <w:pPr>
        <w:pStyle w:val="ListParagraph"/>
        <w:tabs>
          <w:tab w:val="clear" w:pos="1418"/>
          <w:tab w:val="left" w:pos="1440"/>
        </w:tabs>
        <w:rPr>
          <w:rFonts w:cs="Arial"/>
        </w:rPr>
      </w:pPr>
    </w:p>
    <w:p w:rsidR="00331EDA" w:rsidRDefault="00331EDA">
      <w:pPr>
        <w:rPr>
          <w:lang w:eastAsia="zh-HK"/>
        </w:rPr>
      </w:pPr>
      <w:r>
        <w:t>2.</w:t>
      </w:r>
      <w:r>
        <w:rPr>
          <w:rFonts w:hint="eastAsia"/>
        </w:rPr>
        <w:t>59</w:t>
      </w:r>
      <w:r>
        <w:tab/>
      </w:r>
      <w:r>
        <w:rPr>
          <w:rFonts w:hint="eastAsia"/>
        </w:rPr>
        <w:tab/>
      </w:r>
      <w:r>
        <w:t xml:space="preserve">As mentioned in </w:t>
      </w:r>
      <w:r w:rsidRPr="00F2505D">
        <w:t>chapter 1,</w:t>
      </w:r>
      <w:r>
        <w:t xml:space="preserve"> GC09 sets out mandatory records management requirements that are binding upon all government servants, and non-compliance may result in disciplinary action.  Depending on the circumstances and seriousness of the non-compliance, punishment includes verbal or written warnings, reprimand, severe reprimand, demotion, compulsory retirement and dismissal.</w:t>
      </w:r>
      <w:r>
        <w:rPr>
          <w:rStyle w:val="FootnoteReference"/>
          <w:rFonts w:cs="Arial"/>
        </w:rPr>
        <w:footnoteReference w:id="123"/>
      </w:r>
    </w:p>
    <w:p w:rsidR="00331EDA" w:rsidRDefault="00331EDA">
      <w:pPr>
        <w:rPr>
          <w:lang w:eastAsia="zh-HK"/>
        </w:rPr>
      </w:pPr>
    </w:p>
    <w:p w:rsidR="00331EDA" w:rsidRDefault="00331EDA">
      <w:pPr>
        <w:rPr>
          <w:lang w:eastAsia="zh-HK"/>
        </w:rPr>
      </w:pPr>
    </w:p>
    <w:p w:rsidR="00331EDA" w:rsidRPr="00372DEA" w:rsidRDefault="00331EDA" w:rsidP="00331EDA">
      <w:pPr>
        <w:pStyle w:val="Heading2"/>
      </w:pPr>
      <w:r w:rsidRPr="00372DEA">
        <w:t>Training</w:t>
      </w:r>
    </w:p>
    <w:p w:rsidR="00331EDA" w:rsidRDefault="00331EDA">
      <w:pPr>
        <w:rPr>
          <w:i/>
          <w:color w:val="FF0000"/>
          <w:lang w:eastAsia="zh-HK"/>
        </w:rPr>
      </w:pPr>
    </w:p>
    <w:p w:rsidR="00331EDA" w:rsidRPr="00372DEA" w:rsidRDefault="00331EDA">
      <w:r w:rsidRPr="00372DEA">
        <w:rPr>
          <w:lang w:eastAsia="zh-HK"/>
        </w:rPr>
        <w:t>2.</w:t>
      </w:r>
      <w:r>
        <w:rPr>
          <w:lang w:eastAsia="zh-HK"/>
        </w:rPr>
        <w:t>6</w:t>
      </w:r>
      <w:r>
        <w:rPr>
          <w:rFonts w:hint="eastAsia"/>
          <w:lang w:eastAsia="zh-HK"/>
        </w:rPr>
        <w:t>0</w:t>
      </w:r>
      <w:r w:rsidRPr="00372DEA">
        <w:tab/>
      </w:r>
      <w:r w:rsidRPr="00372DEA">
        <w:tab/>
        <w:t>One of the main responsibilities of the GRS is provision of records related training.</w:t>
      </w:r>
      <w:r w:rsidRPr="00372DEA">
        <w:rPr>
          <w:rStyle w:val="FootnoteReference"/>
          <w:rFonts w:cs="Arial"/>
          <w:lang w:eastAsia="zh-HK"/>
        </w:rPr>
        <w:footnoteReference w:id="124"/>
      </w:r>
      <w:r w:rsidRPr="00372DEA">
        <w:rPr>
          <w:lang w:eastAsia="zh-HK"/>
        </w:rPr>
        <w:t xml:space="preserve">  </w:t>
      </w:r>
      <w:r w:rsidRPr="00372DEA">
        <w:t>In this regard, the GRS provides training to records management personnel and general records users in B/Ds, in the form of classes, topical or in-house seminars, briefings, workshops, etc.</w:t>
      </w:r>
      <w:r w:rsidRPr="00372DEA">
        <w:rPr>
          <w:lang w:eastAsia="zh-HK"/>
        </w:rPr>
        <w:t xml:space="preserve">  Through training, GRS seeks to promote best practice amongst all government employees and to impart knowledge and skills to DRMs, their assistants and registry supervisors or staff by offering tailored courses.   Further, the GRS has taken the initiative to review its strategy in providing training services.  To this end, the GRS has been working on developing web-based training and self-learning materials to assist government officers, and seeking their feedback so as to improve the training services.</w:t>
      </w:r>
    </w:p>
    <w:p w:rsidR="00331EDA" w:rsidRPr="00372DEA" w:rsidRDefault="00331EDA">
      <w:pPr>
        <w:pStyle w:val="ListParagraph"/>
        <w:tabs>
          <w:tab w:val="clear" w:pos="1418"/>
          <w:tab w:val="left" w:pos="1440"/>
        </w:tabs>
        <w:ind w:left="0"/>
        <w:rPr>
          <w:rFonts w:cs="Arial"/>
        </w:rPr>
      </w:pPr>
    </w:p>
    <w:p w:rsidR="007572E9" w:rsidRDefault="00331EDA" w:rsidP="007572E9">
      <w:pPr>
        <w:sectPr w:rsidR="007572E9" w:rsidSect="0099054B">
          <w:footerReference w:type="default" r:id="rId17"/>
          <w:footnotePr>
            <w:numStart w:val="49"/>
            <w:numRestart w:val="eachSect"/>
          </w:footnotePr>
          <w:pgSz w:w="11906" w:h="16838" w:code="9"/>
          <w:pgMar w:top="1440" w:right="1800" w:bottom="1440" w:left="1800" w:header="720" w:footer="720" w:gutter="0"/>
          <w:cols w:space="425"/>
          <w:docGrid w:type="linesAndChars" w:linePitch="360"/>
        </w:sectPr>
      </w:pPr>
      <w:r w:rsidRPr="00372DEA">
        <w:rPr>
          <w:lang w:eastAsia="zh-HK"/>
        </w:rPr>
        <w:t>2.</w:t>
      </w:r>
      <w:r>
        <w:rPr>
          <w:lang w:eastAsia="zh-HK"/>
        </w:rPr>
        <w:t>6</w:t>
      </w:r>
      <w:r>
        <w:rPr>
          <w:rFonts w:hint="eastAsia"/>
          <w:lang w:eastAsia="zh-HK"/>
        </w:rPr>
        <w:t>1</w:t>
      </w:r>
      <w:r w:rsidRPr="00372DEA">
        <w:tab/>
      </w:r>
      <w:r w:rsidRPr="00372DEA">
        <w:tab/>
      </w:r>
      <w:r w:rsidRPr="00372DEA">
        <w:rPr>
          <w:lang w:eastAsia="zh-HK"/>
        </w:rPr>
        <w:t xml:space="preserve">Within a B/D, the </w:t>
      </w:r>
      <w:r w:rsidRPr="00372DEA">
        <w:t>DRM is responsible for providing records management staff with appropriate training and guidance to supplement that provided by the GRS, having regard to the specific operational needs of the B/D concerned.</w:t>
      </w:r>
      <w:r w:rsidRPr="00372DEA">
        <w:rPr>
          <w:rStyle w:val="FootnoteReference"/>
          <w:rFonts w:cs="Arial"/>
        </w:rPr>
        <w:footnoteReference w:id="125"/>
      </w:r>
    </w:p>
    <w:p w:rsidR="00C0005C" w:rsidRPr="00477CAA" w:rsidRDefault="00C0005C" w:rsidP="00307F82">
      <w:pPr>
        <w:pStyle w:val="Heading1"/>
      </w:pPr>
      <w:r w:rsidRPr="00477CAA">
        <w:lastRenderedPageBreak/>
        <w:t xml:space="preserve">Chapter </w:t>
      </w:r>
      <w:r w:rsidRPr="00477CAA">
        <w:rPr>
          <w:rFonts w:hint="eastAsia"/>
        </w:rPr>
        <w:t>3</w:t>
      </w:r>
    </w:p>
    <w:p w:rsidR="00C0005C" w:rsidRPr="00477CAA" w:rsidRDefault="00C0005C" w:rsidP="00307F82">
      <w:pPr>
        <w:rPr>
          <w:rFonts w:cs="Arial"/>
          <w:b/>
          <w:sz w:val="36"/>
          <w:szCs w:val="36"/>
        </w:rPr>
      </w:pPr>
    </w:p>
    <w:p w:rsidR="00C0005C" w:rsidRPr="00477CAA" w:rsidRDefault="00C0005C" w:rsidP="00307F82">
      <w:pPr>
        <w:pStyle w:val="Heading1"/>
      </w:pPr>
      <w:r w:rsidRPr="00477CAA">
        <w:rPr>
          <w:rFonts w:hint="eastAsia"/>
        </w:rPr>
        <w:t>O</w:t>
      </w:r>
      <w:r w:rsidRPr="00477CAA">
        <w:t>verview of records and</w:t>
      </w:r>
    </w:p>
    <w:p w:rsidR="00C0005C" w:rsidRPr="00477CAA" w:rsidRDefault="00C0005C" w:rsidP="00307F82">
      <w:pPr>
        <w:pStyle w:val="Heading1"/>
      </w:pPr>
      <w:r w:rsidRPr="00477CAA">
        <w:t>archives management legislation</w:t>
      </w:r>
    </w:p>
    <w:p w:rsidR="00C0005C" w:rsidRPr="00477CAA" w:rsidRDefault="00C0005C" w:rsidP="00307F82">
      <w:pPr>
        <w:pStyle w:val="Heading1"/>
      </w:pPr>
      <w:r w:rsidRPr="00477CAA">
        <w:t>in other jurisdictions</w:t>
      </w:r>
    </w:p>
    <w:p w:rsidR="00C0005C" w:rsidRPr="00F45387" w:rsidRDefault="00C0005C" w:rsidP="00307F82">
      <w:pPr>
        <w:rPr>
          <w:rFonts w:cs="Arial"/>
          <w:b/>
        </w:rPr>
      </w:pPr>
      <w:r w:rsidRPr="00F45387">
        <w:rPr>
          <w:rFonts w:cs="Arial" w:hint="eastAsia"/>
          <w:b/>
        </w:rPr>
        <w:t>___________________________________________</w:t>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2"/>
      </w:pPr>
      <w:r w:rsidRPr="00477CAA">
        <w:t xml:space="preserve">Introduction </w:t>
      </w:r>
    </w:p>
    <w:p w:rsidR="00C0005C" w:rsidRPr="00477CAA" w:rsidRDefault="00C0005C" w:rsidP="00307F82">
      <w:pPr>
        <w:rPr>
          <w:rFonts w:cs="Arial"/>
        </w:rPr>
      </w:pPr>
    </w:p>
    <w:p w:rsidR="00C0005C" w:rsidRPr="00477CAA" w:rsidRDefault="00C0005C" w:rsidP="00307F82">
      <w:r w:rsidRPr="00477CAA">
        <w:rPr>
          <w:rFonts w:hint="eastAsia"/>
        </w:rPr>
        <w:t>3.1</w:t>
      </w:r>
      <w:r w:rsidRPr="00477CAA">
        <w:tab/>
      </w:r>
      <w:r w:rsidRPr="00477CAA">
        <w:tab/>
        <w:t>Published in 1985, the RAMP Study</w:t>
      </w:r>
      <w:r w:rsidRPr="00477CAA">
        <w:rPr>
          <w:rStyle w:val="FootnoteReference"/>
          <w:rFonts w:cs="Arial"/>
        </w:rPr>
        <w:footnoteReference w:id="126"/>
      </w:r>
      <w:r w:rsidRPr="00477CAA">
        <w:t xml:space="preserve"> to date remains one of the most comprehensive studies conducted into archival and records management legislation, covering some 120 countries across the globe. </w:t>
      </w:r>
      <w:r w:rsidRPr="00477CAA">
        <w:rPr>
          <w:rFonts w:hint="eastAsia"/>
        </w:rPr>
        <w:t xml:space="preserve"> </w:t>
      </w:r>
      <w:r w:rsidRPr="00477CAA">
        <w:t xml:space="preserve">As noted in the RAMP Study, different jurisdictions have different approaches to archival and records management. </w:t>
      </w:r>
      <w:r w:rsidRPr="00477CAA" w:rsidDel="004470A6">
        <w:t xml:space="preserve"> </w:t>
      </w:r>
      <w:r w:rsidRPr="00477CAA">
        <w:t>Given the lack of a universal approach, a wide range of jurisdictions have been covered in the Sub-committee</w:t>
      </w:r>
      <w:r>
        <w:t>'</w:t>
      </w:r>
      <w:r w:rsidRPr="00477CAA">
        <w:t>s review.</w:t>
      </w:r>
      <w:r w:rsidRPr="00477CAA">
        <w:rPr>
          <w:rStyle w:val="FootnoteReference"/>
          <w:rFonts w:cs="Arial"/>
        </w:rPr>
        <w:footnoteReference w:id="127"/>
      </w:r>
      <w:r w:rsidRPr="00477CAA">
        <w:t xml:space="preserve">  In this Paper, we focus our attention on five jurisdictions, namely, Australia, England, Ireland, New Zealand and Singapore, and make references to others where relevant and necessary. </w:t>
      </w:r>
      <w:r w:rsidRPr="00477CAA">
        <w:rPr>
          <w:rFonts w:hint="eastAsia"/>
        </w:rPr>
        <w:t xml:space="preserve"> </w:t>
      </w:r>
      <w:r w:rsidRPr="00477CAA">
        <w:t>These five jurisdictions are all common law jurisdictions, bearing closer resemblance to Hong Kong</w:t>
      </w:r>
      <w:r>
        <w:t>'</w:t>
      </w:r>
      <w:r w:rsidRPr="00477CAA">
        <w:t xml:space="preserve">s legal system.  This chapter summarises the archives laws in these five jurisdictions against their respective backgrounds, with the following relevant aspects to be explored further later in this Paper:- </w:t>
      </w:r>
    </w:p>
    <w:p w:rsidR="00C0005C" w:rsidRPr="00477CAA" w:rsidRDefault="00C0005C"/>
    <w:p w:rsidR="00C0005C" w:rsidRPr="00E77009" w:rsidRDefault="00C0005C" w:rsidP="00D86E22">
      <w:pPr>
        <w:pStyle w:val="ListParagraph"/>
        <w:widowControl/>
        <w:numPr>
          <w:ilvl w:val="0"/>
          <w:numId w:val="24"/>
        </w:numPr>
        <w:ind w:left="1440"/>
        <w:contextualSpacing w:val="0"/>
        <w:rPr>
          <w:rFonts w:cs="Arial"/>
        </w:rPr>
      </w:pPr>
      <w:r w:rsidRPr="00E77009">
        <w:rPr>
          <w:rFonts w:cs="Arial"/>
        </w:rPr>
        <w:t>governance of GRS (chapter 4);</w:t>
      </w:r>
    </w:p>
    <w:p w:rsidR="00C0005C" w:rsidRPr="00E77009" w:rsidRDefault="00C0005C" w:rsidP="00307F82">
      <w:pPr>
        <w:pStyle w:val="ListParagraph"/>
        <w:ind w:left="1440" w:hanging="720"/>
        <w:rPr>
          <w:rFonts w:cs="Arial"/>
        </w:rPr>
      </w:pPr>
    </w:p>
    <w:p w:rsidR="00C0005C" w:rsidRPr="00E77009" w:rsidRDefault="00C0005C" w:rsidP="00307F82">
      <w:pPr>
        <w:ind w:left="1440" w:hanging="720"/>
        <w:rPr>
          <w:rFonts w:cs="Arial"/>
        </w:rPr>
      </w:pPr>
      <w:r>
        <w:rPr>
          <w:rFonts w:cs="Arial"/>
        </w:rPr>
        <w:t>(ii)</w:t>
      </w:r>
      <w:r>
        <w:rPr>
          <w:rFonts w:cs="Arial"/>
        </w:rPr>
        <w:tab/>
      </w:r>
      <w:r w:rsidRPr="00E77009">
        <w:rPr>
          <w:rFonts w:cs="Arial"/>
        </w:rPr>
        <w:t>administration and operations of the GRS (chapter 5);</w:t>
      </w:r>
    </w:p>
    <w:p w:rsidR="00C0005C" w:rsidRPr="00E77009" w:rsidRDefault="00C0005C" w:rsidP="00307F82">
      <w:pPr>
        <w:pStyle w:val="ListParagraph"/>
        <w:ind w:left="1440" w:hanging="720"/>
        <w:rPr>
          <w:rFonts w:cs="Arial"/>
        </w:rPr>
      </w:pPr>
    </w:p>
    <w:p w:rsidR="00C0005C" w:rsidRPr="00E77009" w:rsidRDefault="00C0005C" w:rsidP="00307F82">
      <w:pPr>
        <w:ind w:left="1440" w:hanging="720"/>
        <w:rPr>
          <w:rFonts w:cs="Arial"/>
          <w:lang w:val="en-US"/>
        </w:rPr>
      </w:pPr>
      <w:r>
        <w:rPr>
          <w:rFonts w:cs="Arial"/>
          <w:lang w:val="en-US"/>
        </w:rPr>
        <w:t>(iii)</w:t>
      </w:r>
      <w:r>
        <w:rPr>
          <w:rFonts w:cs="Arial"/>
          <w:lang w:val="en-US"/>
        </w:rPr>
        <w:tab/>
      </w:r>
      <w:r w:rsidRPr="00E77009">
        <w:rPr>
          <w:rFonts w:cs="Arial"/>
          <w:lang w:val="en-US"/>
        </w:rPr>
        <w:t>impact of records-related legislation on administrative guidelines on records management (chapter 6);</w:t>
      </w:r>
    </w:p>
    <w:p w:rsidR="00C0005C" w:rsidRPr="00E77009" w:rsidRDefault="00C0005C" w:rsidP="00307F82">
      <w:pPr>
        <w:pStyle w:val="ListParagraph"/>
        <w:ind w:left="1440" w:hanging="720"/>
        <w:rPr>
          <w:rFonts w:cs="Arial"/>
        </w:rPr>
      </w:pPr>
    </w:p>
    <w:p w:rsidR="00C0005C" w:rsidRPr="00E77009" w:rsidRDefault="00C0005C" w:rsidP="00307F82">
      <w:pPr>
        <w:ind w:left="1440" w:hanging="720"/>
        <w:rPr>
          <w:rFonts w:cs="Arial"/>
        </w:rPr>
      </w:pPr>
      <w:r>
        <w:rPr>
          <w:rFonts w:cs="Arial"/>
        </w:rPr>
        <w:t>(iv)</w:t>
      </w:r>
      <w:r>
        <w:rPr>
          <w:rFonts w:cs="Arial"/>
        </w:rPr>
        <w:tab/>
      </w:r>
      <w:r w:rsidRPr="00E77009">
        <w:rPr>
          <w:rFonts w:cs="Arial"/>
        </w:rPr>
        <w:t>transfer of records to archival authority (chapter 7);</w:t>
      </w:r>
    </w:p>
    <w:p w:rsidR="00C0005C" w:rsidRPr="00E77009" w:rsidRDefault="00C0005C" w:rsidP="00307F82">
      <w:pPr>
        <w:pStyle w:val="ListParagraph"/>
        <w:ind w:left="1440" w:hanging="720"/>
        <w:rPr>
          <w:rFonts w:cs="Arial"/>
        </w:rPr>
      </w:pPr>
    </w:p>
    <w:p w:rsidR="00C0005C" w:rsidRPr="00E77009" w:rsidRDefault="00C0005C" w:rsidP="00307F82">
      <w:pPr>
        <w:ind w:left="1440" w:hanging="720"/>
        <w:rPr>
          <w:rFonts w:cs="Arial"/>
        </w:rPr>
      </w:pPr>
      <w:r>
        <w:rPr>
          <w:rFonts w:cs="Arial"/>
        </w:rPr>
        <w:t>(v)</w:t>
      </w:r>
      <w:r>
        <w:rPr>
          <w:rFonts w:cs="Arial"/>
        </w:rPr>
        <w:tab/>
      </w:r>
      <w:r w:rsidRPr="00E77009">
        <w:rPr>
          <w:rFonts w:cs="Arial"/>
        </w:rPr>
        <w:t xml:space="preserve">compliance framework of </w:t>
      </w:r>
      <w:r>
        <w:rPr>
          <w:rFonts w:cs="Arial"/>
        </w:rPr>
        <w:t xml:space="preserve">public </w:t>
      </w:r>
      <w:r w:rsidRPr="00E77009">
        <w:rPr>
          <w:rFonts w:cs="Arial"/>
        </w:rPr>
        <w:t>records management regime (chapter 8); and</w:t>
      </w:r>
    </w:p>
    <w:p w:rsidR="00C0005C" w:rsidRPr="00E77009" w:rsidRDefault="00C0005C" w:rsidP="00307F82">
      <w:pPr>
        <w:pStyle w:val="ListParagraph"/>
        <w:ind w:left="1440" w:hanging="720"/>
        <w:rPr>
          <w:rFonts w:cs="Arial"/>
        </w:rPr>
      </w:pPr>
    </w:p>
    <w:p w:rsidR="00C0005C" w:rsidRPr="00E77009" w:rsidRDefault="00C0005C" w:rsidP="00307F82">
      <w:pPr>
        <w:ind w:left="1440" w:hanging="720"/>
        <w:rPr>
          <w:rFonts w:cs="Arial"/>
        </w:rPr>
      </w:pPr>
      <w:r w:rsidRPr="00E77009">
        <w:rPr>
          <w:rFonts w:cs="Arial" w:hint="eastAsia"/>
        </w:rPr>
        <w:t>(vi)</w:t>
      </w:r>
      <w:r w:rsidRPr="00E77009">
        <w:rPr>
          <w:rFonts w:cs="Arial"/>
        </w:rPr>
        <w:tab/>
        <w:t>coverage of public records management regime (chapter 10).</w:t>
      </w:r>
    </w:p>
    <w:p w:rsidR="00C0005C" w:rsidRPr="00477CAA" w:rsidRDefault="00C0005C" w:rsidP="00307F82">
      <w:pPr>
        <w:rPr>
          <w:rFonts w:cs="Arial"/>
          <w:lang w:val="en-US"/>
        </w:rPr>
      </w:pPr>
    </w:p>
    <w:p w:rsidR="00C0005C" w:rsidRPr="00477CAA" w:rsidRDefault="00C0005C" w:rsidP="00307F82">
      <w:pPr>
        <w:rPr>
          <w:rFonts w:cs="Arial"/>
          <w:lang w:val="en-US"/>
        </w:rPr>
      </w:pPr>
    </w:p>
    <w:p w:rsidR="00C0005C" w:rsidRPr="00477CAA" w:rsidRDefault="00C0005C" w:rsidP="00307F82">
      <w:pPr>
        <w:pStyle w:val="Heading2"/>
      </w:pPr>
      <w:r w:rsidRPr="00477CAA">
        <w:lastRenderedPageBreak/>
        <w:t xml:space="preserve">Australia </w:t>
      </w:r>
    </w:p>
    <w:p w:rsidR="00C0005C" w:rsidRPr="00477CAA" w:rsidRDefault="00C0005C" w:rsidP="00307F82">
      <w:pPr>
        <w:keepNext/>
        <w:rPr>
          <w:rFonts w:cs="Arial"/>
          <w:i/>
        </w:rPr>
      </w:pPr>
    </w:p>
    <w:p w:rsidR="00C0005C" w:rsidRPr="00477CAA" w:rsidRDefault="00C0005C" w:rsidP="00307F82">
      <w:pPr>
        <w:pStyle w:val="Heading3"/>
      </w:pPr>
      <w:r w:rsidRPr="00477CAA">
        <w:t xml:space="preserve">Background </w:t>
      </w:r>
    </w:p>
    <w:p w:rsidR="00C0005C" w:rsidRPr="00477CAA" w:rsidRDefault="00C0005C" w:rsidP="00307F82">
      <w:pPr>
        <w:pStyle w:val="ListParagraph"/>
        <w:keepNext/>
        <w:ind w:left="0"/>
        <w:rPr>
          <w:rFonts w:cs="Arial"/>
        </w:rPr>
      </w:pPr>
    </w:p>
    <w:p w:rsidR="00C0005C" w:rsidRPr="00477CAA" w:rsidRDefault="00C0005C" w:rsidP="00307F82">
      <w:r w:rsidRPr="00477CAA">
        <w:rPr>
          <w:rFonts w:hint="eastAsia"/>
        </w:rPr>
        <w:t>3.</w:t>
      </w:r>
      <w:r w:rsidRPr="00477CAA">
        <w:t>2</w:t>
      </w:r>
      <w:r w:rsidRPr="00477CAA">
        <w:tab/>
      </w:r>
      <w:r w:rsidRPr="00477CAA">
        <w:tab/>
        <w:t xml:space="preserve">Australia did not generate records on a very large scale in its early years. </w:t>
      </w:r>
      <w:r w:rsidRPr="00477CAA">
        <w:rPr>
          <w:rFonts w:hint="eastAsia"/>
        </w:rPr>
        <w:t xml:space="preserve"> </w:t>
      </w:r>
      <w:r w:rsidRPr="00477CAA">
        <w:t>Awareness of the preservation of records, especially those of historical value, grew in the years following the First World War, although it was the Second World War that provided the final stimulus for the establishment of a Commonwealth archival function.</w:t>
      </w:r>
      <w:r w:rsidRPr="00477CAA">
        <w:rPr>
          <w:rStyle w:val="FootnoteReference"/>
          <w:rFonts w:cs="Arial"/>
        </w:rPr>
        <w:footnoteReference w:id="128"/>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3</w:t>
      </w:r>
      <w:r w:rsidRPr="00477CAA">
        <w:tab/>
      </w:r>
      <w:r w:rsidRPr="00477CAA">
        <w:tab/>
        <w:t>It was against this background that the War Archives Committee was established, and later renamed the Commonwealth Archives Committee in 1946.</w:t>
      </w:r>
      <w:r w:rsidRPr="00477CAA">
        <w:rPr>
          <w:rFonts w:hint="eastAsia"/>
        </w:rPr>
        <w:t xml:space="preserve"> </w:t>
      </w:r>
      <w:r w:rsidRPr="00477CAA">
        <w:t xml:space="preserve"> Its role was to oversee the disposal of all past and future records and to coordinate the archival work of the War Memorial and the Commonwealth National Library.</w:t>
      </w:r>
      <w:r w:rsidRPr="00477CAA">
        <w:rPr>
          <w:rStyle w:val="FootnoteReference"/>
          <w:rFonts w:cs="Arial"/>
        </w:rPr>
        <w:footnoteReference w:id="129"/>
      </w:r>
      <w:r w:rsidRPr="00477CAA">
        <w:t xml:space="preserve"> </w:t>
      </w:r>
      <w:r w:rsidRPr="00477CAA">
        <w:rPr>
          <w:rFonts w:hint="eastAsia"/>
        </w:rPr>
        <w:t xml:space="preserve"> </w:t>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4</w:t>
      </w:r>
      <w:r w:rsidRPr="00477CAA">
        <w:tab/>
      </w:r>
      <w:r w:rsidRPr="00477CAA">
        <w:tab/>
        <w:t>By 1952, the Archives Division took over the archival responsibilities of the War Memorial and became the single archival authority.</w:t>
      </w:r>
      <w:r w:rsidRPr="00477CAA">
        <w:rPr>
          <w:rFonts w:hint="eastAsia"/>
        </w:rPr>
        <w:t xml:space="preserve"> </w:t>
      </w:r>
      <w:r>
        <w:t xml:space="preserve"> </w:t>
      </w:r>
      <w:r w:rsidRPr="00477CAA">
        <w:t>Further development came in 1961, when the Archives Division was separated from the National Library and became the Commonwealth Archives Office within the Prime Minister</w:t>
      </w:r>
      <w:r>
        <w:t>'</w:t>
      </w:r>
      <w:r w:rsidRPr="00477CAA">
        <w:t>s Department.</w:t>
      </w:r>
      <w:r w:rsidRPr="00477CAA">
        <w:rPr>
          <w:rFonts w:hint="eastAsia"/>
        </w:rPr>
        <w:t xml:space="preserve"> </w:t>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5</w:t>
      </w:r>
      <w:r w:rsidRPr="00477CAA">
        <w:tab/>
      </w:r>
      <w:r w:rsidRPr="00477CAA">
        <w:tab/>
        <w:t>A review of the Australian archives system was conducted in 1973 by the former Dominion Archivist of Canada, Dr WK Lamb, who, amongst other things, insisted that the role of archives should be recognised and be reinforced by legislation.</w:t>
      </w:r>
      <w:r w:rsidRPr="00477CAA">
        <w:rPr>
          <w:rFonts w:hint="eastAsia"/>
        </w:rPr>
        <w:t xml:space="preserve"> </w:t>
      </w:r>
      <w:r w:rsidRPr="00477CAA">
        <w:t xml:space="preserve"> He stated that the function of a modern archives system was to </w:t>
      </w:r>
      <w:r>
        <w:t>"</w:t>
      </w:r>
      <w:r w:rsidRPr="00477CAA">
        <w:rPr>
          <w:i/>
        </w:rPr>
        <w:t>watch over the care, handling and disposition of the records of the Government from the time that they are created until they are destroyed or selected for permanent preservation</w:t>
      </w:r>
      <w:r>
        <w:t>"</w:t>
      </w:r>
      <w:r w:rsidRPr="00477CAA">
        <w:t>.</w:t>
      </w:r>
      <w:r w:rsidRPr="00477CAA">
        <w:rPr>
          <w:rStyle w:val="FootnoteReference"/>
        </w:rPr>
        <w:footnoteReference w:id="130"/>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6</w:t>
      </w:r>
      <w:r w:rsidRPr="00477CAA">
        <w:tab/>
        <w:t xml:space="preserve"> </w:t>
      </w:r>
      <w:r w:rsidRPr="00477CAA">
        <w:tab/>
        <w:t>Part of the government response was the renaming of the Commonwealth Archives Office into Australia</w:t>
      </w:r>
      <w:r>
        <w:t>n</w:t>
      </w:r>
      <w:r w:rsidRPr="00477CAA">
        <w:t xml:space="preserve"> Archives in 1974 with the establishment of a new position of Director-General in 1975.</w:t>
      </w:r>
    </w:p>
    <w:p w:rsidR="00C0005C" w:rsidRPr="00477CAA" w:rsidRDefault="00C0005C" w:rsidP="00307F82">
      <w:pPr>
        <w:pStyle w:val="ListParagraph"/>
        <w:ind w:left="0"/>
        <w:rPr>
          <w:rFonts w:cs="Arial"/>
        </w:rPr>
      </w:pPr>
      <w:r w:rsidRPr="00477CAA">
        <w:rPr>
          <w:rFonts w:cs="Arial"/>
        </w:rPr>
        <w:tab/>
      </w:r>
    </w:p>
    <w:p w:rsidR="00C0005C" w:rsidRPr="00477CAA" w:rsidRDefault="00C0005C" w:rsidP="00307F82">
      <w:r w:rsidRPr="00477CAA">
        <w:rPr>
          <w:rFonts w:hint="eastAsia"/>
        </w:rPr>
        <w:t>3.</w:t>
      </w:r>
      <w:r w:rsidRPr="00477CAA">
        <w:t>7</w:t>
      </w:r>
      <w:r w:rsidRPr="00477CAA">
        <w:tab/>
      </w:r>
      <w:r w:rsidRPr="00477CAA">
        <w:tab/>
        <w:t xml:space="preserve">The Archives Act was finally passed in 1983, following the enactment of the </w:t>
      </w:r>
      <w:r w:rsidRPr="00477CAA">
        <w:rPr>
          <w:i/>
        </w:rPr>
        <w:t xml:space="preserve">Freedom of Information Act </w:t>
      </w:r>
      <w:r w:rsidRPr="00477CAA">
        <w:t xml:space="preserve">1982 a year earlier. </w:t>
      </w:r>
      <w:r w:rsidRPr="00477CAA">
        <w:rPr>
          <w:rFonts w:hint="eastAsia"/>
        </w:rPr>
        <w:t xml:space="preserve"> </w:t>
      </w:r>
      <w:r w:rsidRPr="00477CAA">
        <w:t>In 1998, the Australian Archives was renamed to the National Archives of Australia (</w:t>
      </w:r>
      <w:r>
        <w:t>"</w:t>
      </w:r>
      <w:r w:rsidRPr="00477CAA">
        <w:rPr>
          <w:b/>
        </w:rPr>
        <w:t>NAA</w:t>
      </w:r>
      <w:r>
        <w:t>"</w:t>
      </w:r>
      <w:r w:rsidRPr="00477CAA">
        <w:t>).</w:t>
      </w:r>
      <w:r w:rsidRPr="00477CAA">
        <w:rPr>
          <w:rStyle w:val="FootnoteReference"/>
          <w:rFonts w:cs="Arial"/>
        </w:rPr>
        <w:footnoteReference w:id="131"/>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3"/>
      </w:pPr>
      <w:r w:rsidRPr="00477CAA">
        <w:lastRenderedPageBreak/>
        <w:t xml:space="preserve">An </w:t>
      </w:r>
      <w:r w:rsidRPr="00477CAA">
        <w:rPr>
          <w:rFonts w:hint="eastAsia"/>
        </w:rPr>
        <w:t>o</w:t>
      </w:r>
      <w:r w:rsidRPr="00477CAA">
        <w:t>verview of the Archives Act 1983</w:t>
      </w:r>
    </w:p>
    <w:p w:rsidR="00C0005C" w:rsidRPr="00477CAA" w:rsidRDefault="00C0005C" w:rsidP="00307F82">
      <w:pPr>
        <w:rPr>
          <w:rFonts w:cs="Arial"/>
          <w:i/>
        </w:rPr>
      </w:pPr>
    </w:p>
    <w:p w:rsidR="00C0005C" w:rsidRPr="00477CAA" w:rsidRDefault="00C0005C" w:rsidP="00307F82">
      <w:r w:rsidRPr="00477CAA">
        <w:rPr>
          <w:rFonts w:hint="eastAsia"/>
        </w:rPr>
        <w:t>3.</w:t>
      </w:r>
      <w:r w:rsidRPr="00477CAA">
        <w:t>8</w:t>
      </w:r>
      <w:r w:rsidRPr="00477CAA">
        <w:tab/>
      </w:r>
      <w:r w:rsidRPr="00477CAA">
        <w:tab/>
        <w:t>The Archives Act 1983 (</w:t>
      </w:r>
      <w:r>
        <w:t>"</w:t>
      </w:r>
      <w:r w:rsidRPr="00477CAA">
        <w:rPr>
          <w:b/>
        </w:rPr>
        <w:t>1983 Act</w:t>
      </w:r>
      <w:r>
        <w:t>"</w:t>
      </w:r>
      <w:r w:rsidRPr="00477CAA">
        <w:t xml:space="preserve">) which represents the first attempt to put the management of records on a legislative footing has since gone through various amendments. </w:t>
      </w:r>
      <w:r w:rsidRPr="00477CAA">
        <w:rPr>
          <w:rFonts w:hint="eastAsia"/>
        </w:rPr>
        <w:t xml:space="preserve"> </w:t>
      </w:r>
      <w:r w:rsidRPr="00477CAA">
        <w:t>Among these is the addition of an objects clause,</w:t>
      </w:r>
      <w:r w:rsidRPr="00477CAA">
        <w:rPr>
          <w:rStyle w:val="FootnoteReference"/>
          <w:rFonts w:cs="Arial"/>
        </w:rPr>
        <w:footnoteReference w:id="132"/>
      </w:r>
      <w:r w:rsidRPr="00477CAA">
        <w:t xml:space="preserve"> which sets forth clearly the objectives of the Act, namely:-</w:t>
      </w:r>
    </w:p>
    <w:p w:rsidR="00C0005C" w:rsidRPr="00477CAA" w:rsidRDefault="00C0005C" w:rsidP="00307F82">
      <w:pPr>
        <w:pStyle w:val="ListParagraph"/>
        <w:ind w:left="0"/>
        <w:rPr>
          <w:rFonts w:cs="Arial"/>
        </w:rPr>
      </w:pPr>
    </w:p>
    <w:p w:rsidR="00C0005C" w:rsidRPr="00477CAA" w:rsidRDefault="00C0005C" w:rsidP="00307F82">
      <w:pPr>
        <w:ind w:left="720"/>
        <w:rPr>
          <w:rFonts w:cs="Arial"/>
        </w:rPr>
      </w:pPr>
      <w:r w:rsidRPr="00477CAA">
        <w:rPr>
          <w:rFonts w:cs="Arial" w:hint="eastAsia"/>
        </w:rPr>
        <w:t>(i)</w:t>
      </w:r>
      <w:r w:rsidRPr="00477CAA">
        <w:rPr>
          <w:rFonts w:cs="Arial"/>
        </w:rPr>
        <w:tab/>
        <w:t>to provide for a NAA, whose functions include:</w:t>
      </w:r>
    </w:p>
    <w:p w:rsidR="00C0005C" w:rsidRPr="00477CAA" w:rsidRDefault="00C0005C" w:rsidP="00307F82">
      <w:pPr>
        <w:pStyle w:val="ListParagraph"/>
        <w:ind w:left="0"/>
        <w:rPr>
          <w:rFonts w:cs="Arial"/>
        </w:rPr>
      </w:pPr>
    </w:p>
    <w:p w:rsidR="00C0005C" w:rsidRPr="00477CAA" w:rsidRDefault="00C0005C" w:rsidP="00307F82">
      <w:pPr>
        <w:ind w:left="2160" w:hanging="720"/>
        <w:rPr>
          <w:rFonts w:cs="Arial"/>
        </w:rPr>
      </w:pPr>
      <w:r w:rsidRPr="00477CAA">
        <w:rPr>
          <w:rFonts w:cs="Arial" w:hint="eastAsia"/>
        </w:rPr>
        <w:t>(a)</w:t>
      </w:r>
      <w:r w:rsidRPr="00477CAA">
        <w:rPr>
          <w:rFonts w:cs="Arial"/>
        </w:rPr>
        <w:tab/>
        <w:t>identifying the archival resources of the Commonwealth; and</w:t>
      </w:r>
    </w:p>
    <w:p w:rsidR="00C0005C" w:rsidRPr="00477CAA" w:rsidRDefault="00C0005C">
      <w:pPr>
        <w:pStyle w:val="ListParagraph"/>
        <w:ind w:left="2160" w:hanging="720"/>
        <w:rPr>
          <w:rFonts w:cs="Arial"/>
        </w:rPr>
      </w:pPr>
    </w:p>
    <w:p w:rsidR="00C0005C" w:rsidRPr="00477CAA" w:rsidRDefault="00C0005C" w:rsidP="00307F82">
      <w:pPr>
        <w:ind w:left="2160" w:hanging="720"/>
        <w:rPr>
          <w:rFonts w:cs="Arial"/>
        </w:rPr>
      </w:pPr>
      <w:r w:rsidRPr="00477CAA">
        <w:rPr>
          <w:rFonts w:cs="Arial" w:hint="eastAsia"/>
        </w:rPr>
        <w:t>(b)</w:t>
      </w:r>
      <w:r w:rsidRPr="00477CAA">
        <w:rPr>
          <w:rFonts w:cs="Arial"/>
        </w:rPr>
        <w:tab/>
        <w:t>preserving and making publicly available the archival resources of the Commonwealth; and</w:t>
      </w:r>
    </w:p>
    <w:p w:rsidR="00C0005C" w:rsidRPr="00477CAA" w:rsidRDefault="00C0005C">
      <w:pPr>
        <w:pStyle w:val="ListParagraph"/>
        <w:ind w:left="2160" w:hanging="720"/>
        <w:rPr>
          <w:rFonts w:cs="Arial"/>
        </w:rPr>
      </w:pPr>
    </w:p>
    <w:p w:rsidR="00C0005C" w:rsidRPr="00477CAA" w:rsidRDefault="00C0005C" w:rsidP="00307F82">
      <w:pPr>
        <w:ind w:left="2160" w:hanging="720"/>
        <w:rPr>
          <w:rFonts w:cs="Arial"/>
        </w:rPr>
      </w:pPr>
      <w:r w:rsidRPr="00477CAA">
        <w:rPr>
          <w:rFonts w:cs="Arial" w:hint="eastAsia"/>
        </w:rPr>
        <w:t>(c)</w:t>
      </w:r>
      <w:r w:rsidRPr="00477CAA">
        <w:rPr>
          <w:rFonts w:cs="Arial"/>
        </w:rPr>
        <w:tab/>
        <w:t>overseeing Commonwealth record-keeping, by determining standards and providing advice to Commonwealth institutions (as defined); and</w:t>
      </w:r>
    </w:p>
    <w:p w:rsidR="00C0005C" w:rsidRPr="00477CAA" w:rsidRDefault="00C0005C" w:rsidP="00307F82">
      <w:pPr>
        <w:pStyle w:val="ListParagraph"/>
        <w:ind w:left="0"/>
        <w:rPr>
          <w:rFonts w:cs="Arial"/>
        </w:rPr>
      </w:pPr>
    </w:p>
    <w:p w:rsidR="00C0005C" w:rsidRPr="00477CAA" w:rsidRDefault="00C0005C" w:rsidP="00307F82">
      <w:pPr>
        <w:ind w:left="1440" w:hanging="720"/>
        <w:rPr>
          <w:rFonts w:cs="Arial"/>
        </w:rPr>
      </w:pPr>
      <w:r w:rsidRPr="00477CAA">
        <w:rPr>
          <w:rFonts w:cs="Arial" w:hint="eastAsia"/>
        </w:rPr>
        <w:t>(ii)</w:t>
      </w:r>
      <w:r w:rsidRPr="00477CAA">
        <w:rPr>
          <w:rFonts w:cs="Arial"/>
        </w:rPr>
        <w:tab/>
        <w:t xml:space="preserve">to impose record-keeping obligations in respect of Commonwealth records (as defined).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9</w:t>
      </w:r>
      <w:r w:rsidRPr="00477CAA">
        <w:tab/>
      </w:r>
      <w:r w:rsidRPr="00477CAA">
        <w:tab/>
        <w:t>Established alongside the NAA under the 1983 Act is the National Archives of Australia Advisory Council (</w:t>
      </w:r>
      <w:r>
        <w:t>"</w:t>
      </w:r>
      <w:r w:rsidRPr="00477CAA">
        <w:rPr>
          <w:b/>
        </w:rPr>
        <w:t>NAAAC</w:t>
      </w:r>
      <w:r>
        <w:t>"</w:t>
      </w:r>
      <w:r w:rsidRPr="00477CAA">
        <w:t>),</w:t>
      </w:r>
      <w:r w:rsidRPr="00477CAA">
        <w:rPr>
          <w:rStyle w:val="FootnoteReference"/>
          <w:rFonts w:cs="Arial"/>
        </w:rPr>
        <w:footnoteReference w:id="133"/>
      </w:r>
      <w:r w:rsidRPr="00477CAA">
        <w:t xml:space="preserve"> whose role and functions will be discussed later in this Paper.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10</w:t>
      </w:r>
      <w:r w:rsidRPr="00477CAA">
        <w:tab/>
        <w:t xml:space="preserve"> </w:t>
      </w:r>
      <w:r w:rsidRPr="00477CAA">
        <w:tab/>
        <w:t xml:space="preserve">The 1983 Act applies to all </w:t>
      </w:r>
      <w:r>
        <w:t>"</w:t>
      </w:r>
      <w:r w:rsidRPr="00477CAA">
        <w:rPr>
          <w:i/>
        </w:rPr>
        <w:t>Commonwealth records</w:t>
      </w:r>
      <w:r>
        <w:t>"</w:t>
      </w:r>
      <w:r w:rsidRPr="00477CAA">
        <w:t xml:space="preserve">, which are defined to be records that are the property of the Commonwealth or of a Commonwealth institution, or records that are deemed to be Commonwealth records in accordance with regulations issued. </w:t>
      </w:r>
      <w:r w:rsidRPr="00477CAA">
        <w:rPr>
          <w:rFonts w:hint="eastAsia"/>
        </w:rPr>
        <w:t xml:space="preserve"> </w:t>
      </w:r>
      <w:r w:rsidRPr="009774B7">
        <w:t>"</w:t>
      </w:r>
      <w:r w:rsidRPr="00477CAA">
        <w:rPr>
          <w:i/>
        </w:rPr>
        <w:t>Record</w:t>
      </w:r>
      <w:r w:rsidRPr="009774B7">
        <w:t>"</w:t>
      </w:r>
      <w:r w:rsidRPr="00477CAA">
        <w:t>, for the purpose of the 1983 Act, includes a document or an object in any form including any electronic form.</w:t>
      </w:r>
      <w:r w:rsidRPr="00477CAA">
        <w:rPr>
          <w:rStyle w:val="FootnoteReference"/>
          <w:rFonts w:cs="Arial"/>
        </w:rPr>
        <w:footnoteReference w:id="134"/>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11</w:t>
      </w:r>
      <w:r w:rsidRPr="00477CAA">
        <w:tab/>
      </w:r>
      <w:r w:rsidRPr="00477CAA">
        <w:tab/>
        <w:t>The 1983 Act governs all the major stages of records management including appraisal, disposal, transfer, custody, and preservation.  Obligations and powers provided for in some of the provisions highlight the authority and central role envisaged for the NAA and its Director-General under the 1983 Act.</w:t>
      </w:r>
      <w:r w:rsidRPr="00477CAA">
        <w:rPr>
          <w:rFonts w:hint="eastAsia"/>
        </w:rPr>
        <w:t xml:space="preserve"> </w:t>
      </w:r>
      <w:r w:rsidRPr="00477CAA">
        <w:t xml:space="preserve"> For example, the Director-General has the authority to determine that a specified Commonwealth record or other material is part of the archival resources of the Commonwealth.</w:t>
      </w:r>
      <w:r w:rsidRPr="00477CAA">
        <w:rPr>
          <w:rStyle w:val="FootnoteReference"/>
          <w:rFonts w:cs="Arial"/>
        </w:rPr>
        <w:footnoteReference w:id="135"/>
      </w:r>
      <w:r w:rsidRPr="00477CAA">
        <w:t xml:space="preserve"> </w:t>
      </w:r>
      <w:r w:rsidRPr="00477CAA">
        <w:rPr>
          <w:rFonts w:hint="eastAsia"/>
        </w:rPr>
        <w:t xml:space="preserve"> </w:t>
      </w:r>
      <w:r w:rsidRPr="00477CAA">
        <w:t xml:space="preserve">Records so determined are generally required to be transferred to the NAA as soon as practicable after they cease to be </w:t>
      </w:r>
      <w:r>
        <w:t>"</w:t>
      </w:r>
      <w:r w:rsidRPr="00477CAA">
        <w:t>current Commonwealth records</w:t>
      </w:r>
      <w:r>
        <w:t>"</w:t>
      </w:r>
      <w:r w:rsidRPr="00477CAA">
        <w:t xml:space="preserve">, and in any event within 15 </w:t>
      </w:r>
      <w:r w:rsidRPr="00477CAA">
        <w:lastRenderedPageBreak/>
        <w:t>years of their coming into existence.</w:t>
      </w:r>
      <w:r w:rsidRPr="00477CAA">
        <w:rPr>
          <w:rStyle w:val="FootnoteReference"/>
        </w:rPr>
        <w:footnoteReference w:id="136"/>
      </w:r>
      <w:r w:rsidRPr="00477CAA">
        <w:t xml:space="preserve">  The destruction or other disposal of a Commonwealth record is prohibited unless the NAA has given permission or it is done in accordance with a practice or procedure approved by the NAA.</w:t>
      </w:r>
      <w:r w:rsidRPr="00477CAA">
        <w:rPr>
          <w:rStyle w:val="FootnoteReference"/>
          <w:rFonts w:cs="Arial"/>
        </w:rPr>
        <w:footnoteReference w:id="137"/>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12</w:t>
      </w:r>
      <w:r w:rsidRPr="00477CAA">
        <w:tab/>
      </w:r>
      <w:r w:rsidRPr="00477CAA">
        <w:tab/>
        <w:t>The NAA and its Director-General also have an important role to play in terms of care and custody.  Materials of the NAA are to be kept at places as the Director-General considers appropriate,</w:t>
      </w:r>
      <w:r w:rsidRPr="00477CAA">
        <w:rPr>
          <w:rStyle w:val="FootnoteReference"/>
          <w:rFonts w:cs="Arial"/>
        </w:rPr>
        <w:footnoteReference w:id="138"/>
      </w:r>
      <w:r w:rsidRPr="00477CAA">
        <w:t xml:space="preserve"> or alternatively, where he/she considers it appropriate, the NAA may make arrangements with a person for records required to be transferred, or for material of the NAA, to be kept in the custody of the person.</w:t>
      </w:r>
      <w:r w:rsidRPr="00477CAA">
        <w:rPr>
          <w:rStyle w:val="FootnoteReference"/>
          <w:rFonts w:cs="Arial"/>
        </w:rPr>
        <w:footnoteReference w:id="139"/>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13</w:t>
      </w:r>
      <w:r w:rsidRPr="00477CAA">
        <w:tab/>
      </w:r>
      <w:r w:rsidRPr="00477CAA">
        <w:tab/>
        <w:t xml:space="preserve">The NAA must also cause records that are in the </w:t>
      </w:r>
      <w:r>
        <w:t>"</w:t>
      </w:r>
      <w:r w:rsidRPr="00477CAA">
        <w:t>open access period</w:t>
      </w:r>
      <w:r>
        <w:t>"</w:t>
      </w:r>
      <w:r w:rsidRPr="00477CAA">
        <w:rPr>
          <w:rStyle w:val="FootnoteReference"/>
          <w:rFonts w:cs="Arial"/>
        </w:rPr>
        <w:footnoteReference w:id="140"/>
      </w:r>
      <w:r w:rsidRPr="00477CAA">
        <w:t xml:space="preserve"> to be made publicly available unless an exemption applies,</w:t>
      </w:r>
      <w:r w:rsidRPr="00477CAA">
        <w:rPr>
          <w:rStyle w:val="FootnoteReference"/>
          <w:rFonts w:cs="Arial"/>
        </w:rPr>
        <w:footnoteReference w:id="141"/>
      </w:r>
      <w:r w:rsidRPr="00477CAA">
        <w:t xml:space="preserve"> and accelerated or special access is possible even where they are not yet in the open access period.</w:t>
      </w:r>
      <w:r w:rsidRPr="00477CAA">
        <w:rPr>
          <w:rStyle w:val="FootnoteReference"/>
          <w:rFonts w:cs="Arial"/>
        </w:rPr>
        <w:footnoteReference w:id="142"/>
      </w:r>
      <w:r w:rsidRPr="00477CAA">
        <w:t xml:space="preserve"> </w:t>
      </w:r>
      <w:r w:rsidRPr="00477CAA">
        <w:rPr>
          <w:rFonts w:hint="eastAsia"/>
        </w:rPr>
        <w:t xml:space="preserve"> </w:t>
      </w:r>
      <w:r w:rsidRPr="00477CAA">
        <w:t>Furthermore, various channels of appeal are provided for in the 1983 Act against decisions refusing access.</w:t>
      </w:r>
      <w:r w:rsidRPr="00477CAA">
        <w:rPr>
          <w:rStyle w:val="FootnoteReference"/>
          <w:rFonts w:cs="Arial"/>
        </w:rPr>
        <w:footnoteReference w:id="143"/>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3.1</w:t>
      </w:r>
      <w:r w:rsidRPr="00477CAA">
        <w:t>4</w:t>
      </w:r>
      <w:r w:rsidRPr="00477CAA">
        <w:tab/>
      </w:r>
      <w:r w:rsidRPr="00477CAA">
        <w:tab/>
        <w:t xml:space="preserve">The 1983 Act also offers protections to, </w:t>
      </w:r>
      <w:r w:rsidRPr="00477CAA">
        <w:rPr>
          <w:i/>
        </w:rPr>
        <w:t>inter alia</w:t>
      </w:r>
      <w:r w:rsidRPr="00477CAA">
        <w:t>, the Commonwealth or any person concerned in giving access to records as required by the Act from certain actions, such as defamation and breach of confidence.</w:t>
      </w:r>
      <w:r w:rsidRPr="00477CAA">
        <w:rPr>
          <w:rStyle w:val="FootnoteReference"/>
          <w:rFonts w:cs="Arial"/>
        </w:rPr>
        <w:footnoteReference w:id="144"/>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2"/>
        <w:rPr>
          <w:i/>
        </w:rPr>
      </w:pPr>
      <w:r w:rsidRPr="00477CAA">
        <w:t xml:space="preserve">England </w:t>
      </w:r>
    </w:p>
    <w:p w:rsidR="00C0005C" w:rsidRPr="00477CAA" w:rsidRDefault="00C0005C" w:rsidP="00307F82">
      <w:pPr>
        <w:rPr>
          <w:rFonts w:cs="Arial"/>
          <w:i/>
        </w:rPr>
      </w:pPr>
    </w:p>
    <w:p w:rsidR="00C0005C" w:rsidRPr="00477CAA" w:rsidRDefault="00C0005C" w:rsidP="00307F82">
      <w:pPr>
        <w:pStyle w:val="Heading3"/>
      </w:pPr>
      <w:r w:rsidRPr="00477CAA">
        <w:t>Background</w:t>
      </w:r>
    </w:p>
    <w:p w:rsidR="00C0005C" w:rsidRPr="00477CAA" w:rsidRDefault="00C0005C" w:rsidP="00307F82">
      <w:pPr>
        <w:rPr>
          <w:rFonts w:cs="Arial"/>
        </w:rPr>
      </w:pPr>
    </w:p>
    <w:p w:rsidR="00C0005C" w:rsidRDefault="00C0005C" w:rsidP="00307F82">
      <w:r w:rsidRPr="00477CAA">
        <w:rPr>
          <w:rFonts w:hint="eastAsia"/>
        </w:rPr>
        <w:t>3.</w:t>
      </w:r>
      <w:r w:rsidRPr="00477CAA">
        <w:t>15</w:t>
      </w:r>
      <w:r w:rsidRPr="00477CAA">
        <w:tab/>
      </w:r>
      <w:r w:rsidRPr="00477CAA">
        <w:tab/>
        <w:t>The Public Record Office (</w:t>
      </w:r>
      <w:r>
        <w:t>"</w:t>
      </w:r>
      <w:r w:rsidRPr="00477CAA">
        <w:rPr>
          <w:b/>
        </w:rPr>
        <w:t>PRO</w:t>
      </w:r>
      <w:r>
        <w:t>"</w:t>
      </w:r>
      <w:r w:rsidRPr="00477CAA">
        <w:t xml:space="preserve">) was established under the Public Record Office Act in 1838 which had the aim to </w:t>
      </w:r>
      <w:r>
        <w:t>"</w:t>
      </w:r>
      <w:r w:rsidRPr="00477CAA">
        <w:t>keep safely the public records</w:t>
      </w:r>
      <w:r>
        <w:t>"</w:t>
      </w:r>
      <w:r w:rsidRPr="00477CAA">
        <w:t xml:space="preserve">. </w:t>
      </w:r>
      <w:r w:rsidRPr="00477CAA">
        <w:rPr>
          <w:rFonts w:hint="eastAsia"/>
        </w:rPr>
        <w:t xml:space="preserve"> </w:t>
      </w:r>
      <w:r w:rsidRPr="00477CAA">
        <w:t>The Master of the Rolls, a senior judge, had overall responsibility over the PRO in its function of keeping records, which at the time were only legal documents.</w:t>
      </w:r>
      <w:r w:rsidRPr="00477CAA">
        <w:rPr>
          <w:rStyle w:val="FootnoteReference"/>
          <w:rFonts w:cs="Arial"/>
        </w:rPr>
        <w:footnoteReference w:id="145"/>
      </w:r>
      <w:r w:rsidRPr="00477CAA">
        <w:t xml:space="preserve"> </w:t>
      </w:r>
    </w:p>
    <w:p w:rsidR="000C755C" w:rsidRPr="00477CAA" w:rsidRDefault="000C755C" w:rsidP="00307F82"/>
    <w:p w:rsidR="00C0005C" w:rsidRPr="00477CAA" w:rsidRDefault="00C0005C" w:rsidP="00307F82">
      <w:r w:rsidRPr="00477CAA">
        <w:rPr>
          <w:rFonts w:hint="eastAsia"/>
        </w:rPr>
        <w:t>3.1</w:t>
      </w:r>
      <w:r w:rsidRPr="00477CAA">
        <w:t>6</w:t>
      </w:r>
      <w:r w:rsidRPr="00477CAA">
        <w:tab/>
      </w:r>
      <w:r w:rsidRPr="00477CAA">
        <w:tab/>
        <w:t xml:space="preserve">During the 1840s, papers and documents of government departments began to be accepted for preservation, although there was no formal requirement for government departments to transfer their papers and make them available for public access. </w:t>
      </w:r>
      <w:r w:rsidRPr="00477CAA">
        <w:rPr>
          <w:rFonts w:hint="eastAsia"/>
        </w:rPr>
        <w:t xml:space="preserve"> </w:t>
      </w:r>
      <w:r w:rsidRPr="00477CAA">
        <w:t>Until the Public Record Office Acts of 1877 and 1898, there was also no provision for the destruction of material not selected for preservation.</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17</w:t>
      </w:r>
      <w:r w:rsidRPr="00477CAA">
        <w:tab/>
      </w:r>
      <w:r w:rsidRPr="00477CAA">
        <w:tab/>
        <w:t>A study conducted by the Grigg Committee in the early 1950s resulted in the Public Records Act 1958 (</w:t>
      </w:r>
      <w:r>
        <w:t>"</w:t>
      </w:r>
      <w:r w:rsidRPr="00477CAA">
        <w:rPr>
          <w:b/>
        </w:rPr>
        <w:t>1958 Act</w:t>
      </w:r>
      <w:r>
        <w:t>"</w:t>
      </w:r>
      <w:r w:rsidRPr="00477CAA">
        <w:t xml:space="preserve">), which came into force on 1 January 1959 and established for the first time a comprehensive framework for the management of public records. </w:t>
      </w:r>
    </w:p>
    <w:p w:rsidR="00C0005C" w:rsidRPr="00477CAA" w:rsidRDefault="00C0005C" w:rsidP="00307F82">
      <w:pPr>
        <w:pStyle w:val="ListParagraph"/>
        <w:ind w:left="0"/>
        <w:rPr>
          <w:rFonts w:cs="Arial"/>
        </w:rPr>
      </w:pPr>
    </w:p>
    <w:p w:rsidR="00C0005C" w:rsidRPr="00477CAA" w:rsidRDefault="00C0005C" w:rsidP="00307F82">
      <w:pPr>
        <w:rPr>
          <w:color w:val="FF0000"/>
          <w:lang w:eastAsia="zh-HK"/>
        </w:rPr>
      </w:pPr>
      <w:r w:rsidRPr="00477CAA">
        <w:rPr>
          <w:rFonts w:hint="eastAsia"/>
        </w:rPr>
        <w:t>3.1</w:t>
      </w:r>
      <w:r w:rsidRPr="00477CAA">
        <w:t>8</w:t>
      </w:r>
      <w:r w:rsidRPr="00477CAA">
        <w:tab/>
      </w:r>
      <w:r w:rsidRPr="00477CAA">
        <w:tab/>
        <w:t>The 1958 Act imposes a duty on those responsible for public records which are not in the PRO or an appointed place of deposit to make arrangements for the selection of those records which ought to be permanently preserved and for their safekeeping.</w:t>
      </w:r>
      <w:r w:rsidRPr="00477CAA">
        <w:rPr>
          <w:rStyle w:val="FootnoteReference"/>
          <w:rFonts w:cs="Arial"/>
        </w:rPr>
        <w:footnoteReference w:id="146"/>
      </w:r>
      <w:r w:rsidRPr="00477CAA">
        <w:t xml:space="preserve"> </w:t>
      </w:r>
      <w:r w:rsidRPr="00477CAA">
        <w:rPr>
          <w:rFonts w:hint="eastAsia"/>
        </w:rPr>
        <w:t xml:space="preserve"> </w:t>
      </w:r>
      <w:r w:rsidRPr="00477CAA">
        <w:t>Such records, subject to exceptions, were required to be transferred to the PRO or an appointed place of deposit not later than 30 years after their creation.</w:t>
      </w:r>
      <w:r w:rsidRPr="00477CAA">
        <w:rPr>
          <w:rStyle w:val="FootnoteReference"/>
          <w:rFonts w:cs="Arial"/>
        </w:rPr>
        <w:footnoteReference w:id="147"/>
      </w:r>
      <w:r w:rsidRPr="00477CAA">
        <w:t xml:space="preserve">  This requirement survives the Public Records Act 1967, but the </w:t>
      </w:r>
      <w:r>
        <w:t>"</w:t>
      </w:r>
      <w:r w:rsidRPr="00477CAA">
        <w:t>30 years</w:t>
      </w:r>
      <w:r>
        <w:t>"</w:t>
      </w:r>
      <w:r w:rsidRPr="00477CAA">
        <w:t xml:space="preserve"> timeframe was reduced to 20</w:t>
      </w:r>
      <w:r w:rsidRPr="00477CAA">
        <w:rPr>
          <w:lang w:val="en-US"/>
        </w:rPr>
        <w:t> </w:t>
      </w:r>
      <w:r w:rsidRPr="00477CAA">
        <w:t>years in 2010 over a ten-year transition period.</w:t>
      </w:r>
      <w:r w:rsidRPr="00477CAA">
        <w:rPr>
          <w:rStyle w:val="FootnoteReference"/>
        </w:rPr>
        <w:footnoteReference w:id="148"/>
      </w:r>
      <w:r w:rsidRPr="00477CAA">
        <w:rPr>
          <w:lang w:eastAsia="zh-HK"/>
        </w:rPr>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19</w:t>
      </w:r>
      <w:r w:rsidRPr="00477CAA">
        <w:tab/>
      </w:r>
      <w:r w:rsidRPr="00477CAA">
        <w:tab/>
        <w:t>The Freedom of Information Act 2000 (</w:t>
      </w:r>
      <w:r>
        <w:t>"</w:t>
      </w:r>
      <w:r w:rsidRPr="00477CAA">
        <w:rPr>
          <w:b/>
        </w:rPr>
        <w:t>FOIA 2000</w:t>
      </w:r>
      <w:r>
        <w:t>"</w:t>
      </w:r>
      <w:r w:rsidRPr="00477CAA">
        <w:t xml:space="preserve">) was enacted in 2000 and came into force in 2005. </w:t>
      </w:r>
      <w:r w:rsidRPr="00477CAA">
        <w:rPr>
          <w:rFonts w:hint="eastAsia"/>
        </w:rPr>
        <w:t xml:space="preserve"> </w:t>
      </w:r>
      <w:r w:rsidRPr="00477CAA">
        <w:t xml:space="preserve">In replacing the </w:t>
      </w:r>
      <w:r>
        <w:t>"</w:t>
      </w:r>
      <w:r w:rsidRPr="00477CAA">
        <w:t>30-year rule</w:t>
      </w:r>
      <w:r>
        <w:t>"</w:t>
      </w:r>
      <w:r w:rsidRPr="00477CAA">
        <w:t>,</w:t>
      </w:r>
      <w:r w:rsidRPr="00477CAA">
        <w:rPr>
          <w:rStyle w:val="FootnoteReference"/>
        </w:rPr>
        <w:footnoteReference w:id="149"/>
      </w:r>
      <w:r w:rsidRPr="00477CAA">
        <w:t xml:space="preserve"> FOIA 2000 provides for a general regime of access. </w:t>
      </w:r>
      <w:r w:rsidRPr="00477CAA">
        <w:rPr>
          <w:rFonts w:hint="eastAsia"/>
        </w:rPr>
        <w:t xml:space="preserve"> </w:t>
      </w:r>
      <w:r w:rsidRPr="00477CAA">
        <w:t>Briefly stated, under this regime, the public can request to access a public record as soon as it has been created, subject to exemptions.</w:t>
      </w:r>
      <w:r w:rsidRPr="00477CAA">
        <w:rPr>
          <w:rStyle w:val="FootnoteReference"/>
          <w:rFonts w:cs="Arial"/>
        </w:rPr>
        <w:footnoteReference w:id="150"/>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20</w:t>
      </w:r>
      <w:r w:rsidRPr="00477CAA">
        <w:tab/>
      </w:r>
      <w:r w:rsidRPr="00477CAA">
        <w:tab/>
        <w:t>Between 2003 and 2006, the PRO was joined together with three other government bodies, namely, the Royal Commission on Historical Manuscripts, Her Majesty</w:t>
      </w:r>
      <w:r>
        <w:t>'</w:t>
      </w:r>
      <w:r w:rsidRPr="00477CAA">
        <w:t>s Stationery Office, and the Office of Public Sector Information to form what is now known as The National Archives (</w:t>
      </w:r>
      <w:r>
        <w:t>"</w:t>
      </w:r>
      <w:r w:rsidRPr="00477CAA">
        <w:rPr>
          <w:b/>
        </w:rPr>
        <w:t>TNA</w:t>
      </w:r>
      <w:r>
        <w:t>"</w:t>
      </w:r>
      <w:r w:rsidRPr="00477CAA">
        <w:t>).</w:t>
      </w:r>
      <w:r w:rsidRPr="00477CAA">
        <w:rPr>
          <w:rStyle w:val="FootnoteReference"/>
          <w:rFonts w:cs="Arial"/>
        </w:rPr>
        <w:footnoteReference w:id="151"/>
      </w:r>
    </w:p>
    <w:p w:rsidR="00C0005C" w:rsidRPr="004752E6" w:rsidRDefault="00C0005C" w:rsidP="00307F82">
      <w:pPr>
        <w:rPr>
          <w:rFonts w:cs="Arial"/>
          <w:sz w:val="22"/>
          <w:szCs w:val="22"/>
          <w:lang w:val="en-US"/>
        </w:rPr>
      </w:pPr>
    </w:p>
    <w:p w:rsidR="00AA783E" w:rsidRPr="004752E6" w:rsidRDefault="00AA783E" w:rsidP="00307F82">
      <w:pPr>
        <w:rPr>
          <w:rFonts w:cs="Arial"/>
          <w:sz w:val="22"/>
          <w:szCs w:val="22"/>
          <w:lang w:val="en-US"/>
        </w:rPr>
      </w:pPr>
    </w:p>
    <w:p w:rsidR="00C0005C" w:rsidRPr="00477CAA" w:rsidRDefault="00C0005C" w:rsidP="00307F82">
      <w:pPr>
        <w:pStyle w:val="Heading3"/>
      </w:pPr>
      <w:r w:rsidRPr="00477CAA">
        <w:t xml:space="preserve">An </w:t>
      </w:r>
      <w:r w:rsidRPr="00477CAA">
        <w:rPr>
          <w:rFonts w:hint="eastAsia"/>
        </w:rPr>
        <w:t>o</w:t>
      </w:r>
      <w:r w:rsidRPr="00477CAA">
        <w:t>verview of the 1958 Act</w:t>
      </w:r>
    </w:p>
    <w:p w:rsidR="00C0005C" w:rsidRPr="00477CAA" w:rsidRDefault="00C0005C" w:rsidP="00307F82">
      <w:pPr>
        <w:rPr>
          <w:rFonts w:cs="Arial"/>
        </w:rPr>
      </w:pPr>
    </w:p>
    <w:p w:rsidR="00C0005C" w:rsidRPr="00477CAA" w:rsidRDefault="00C0005C">
      <w:r w:rsidRPr="00477CAA">
        <w:rPr>
          <w:rFonts w:hint="eastAsia"/>
        </w:rPr>
        <w:t>3.</w:t>
      </w:r>
      <w:r w:rsidRPr="00477CAA">
        <w:t>21</w:t>
      </w:r>
      <w:r w:rsidRPr="00477CAA">
        <w:rPr>
          <w:rFonts w:hint="eastAsia"/>
        </w:rPr>
        <w:tab/>
      </w:r>
      <w:r w:rsidRPr="00477CAA">
        <w:tab/>
        <w:t xml:space="preserve">Other than the changes on access brought about by the FOIA 2000, the 1958 Act continues to be the primary governing law.  Similar to </w:t>
      </w:r>
      <w:r w:rsidRPr="00477CAA">
        <w:lastRenderedPageBreak/>
        <w:t>Australia, established alongside the TNA is an independent advisory body, now the Advisory Council on National Records and Archives (</w:t>
      </w:r>
      <w:r w:rsidRPr="00E77009">
        <w:rPr>
          <w:lang w:eastAsia="zh-HK"/>
        </w:rPr>
        <w:t>"</w:t>
      </w:r>
      <w:r w:rsidRPr="00477CAA">
        <w:rPr>
          <w:b/>
        </w:rPr>
        <w:t>ACNRA</w:t>
      </w:r>
      <w:r w:rsidRPr="00E77009">
        <w:rPr>
          <w:lang w:eastAsia="zh-HK"/>
        </w:rPr>
        <w:t>"</w:t>
      </w:r>
      <w:r w:rsidRPr="00477CAA">
        <w:t>).</w:t>
      </w:r>
      <w:r w:rsidRPr="00477CAA">
        <w:rPr>
          <w:rStyle w:val="FootnoteReference"/>
        </w:rPr>
        <w:footnoteReference w:id="152"/>
      </w:r>
    </w:p>
    <w:p w:rsidR="00C0005C" w:rsidRPr="00477CAA" w:rsidRDefault="00C0005C" w:rsidP="00307F82">
      <w:pPr>
        <w:rPr>
          <w:rFonts w:cs="Arial"/>
        </w:rPr>
      </w:pPr>
    </w:p>
    <w:p w:rsidR="00C0005C" w:rsidRPr="00477CAA" w:rsidRDefault="00C0005C" w:rsidP="00307F82">
      <w:r w:rsidRPr="00477CAA">
        <w:rPr>
          <w:rFonts w:hint="eastAsia"/>
        </w:rPr>
        <w:t>3.</w:t>
      </w:r>
      <w:r w:rsidRPr="00477CAA">
        <w:t>22</w:t>
      </w:r>
      <w:r w:rsidRPr="00477CAA">
        <w:rPr>
          <w:rFonts w:hint="eastAsia"/>
        </w:rPr>
        <w:tab/>
      </w:r>
      <w:r w:rsidRPr="00477CAA">
        <w:tab/>
        <w:t>The 1958 Act</w:t>
      </w:r>
      <w:r>
        <w:t>'</w:t>
      </w:r>
      <w:r w:rsidRPr="00477CAA">
        <w:t xml:space="preserve">s First Schedule defines </w:t>
      </w:r>
      <w:r>
        <w:t>"</w:t>
      </w:r>
      <w:r w:rsidRPr="00477CAA">
        <w:rPr>
          <w:i/>
        </w:rPr>
        <w:t>public records</w:t>
      </w:r>
      <w:r>
        <w:t>"</w:t>
      </w:r>
      <w:r w:rsidRPr="00477CAA">
        <w:t xml:space="preserve"> comprehensively,</w:t>
      </w:r>
      <w:r w:rsidRPr="00477CAA">
        <w:rPr>
          <w:rStyle w:val="FootnoteReference"/>
          <w:rFonts w:cs="Arial"/>
        </w:rPr>
        <w:footnoteReference w:id="153"/>
      </w:r>
      <w:r w:rsidRPr="00477CAA">
        <w:t xml:space="preserve"> and </w:t>
      </w:r>
      <w:r>
        <w:t>"</w:t>
      </w:r>
      <w:r w:rsidRPr="00477CAA">
        <w:rPr>
          <w:i/>
        </w:rPr>
        <w:t>records</w:t>
      </w:r>
      <w:r>
        <w:t>"</w:t>
      </w:r>
      <w:r w:rsidRPr="00477CAA">
        <w:t xml:space="preserve"> are construed to include not only written records but records conveying information by any other means whatsoever.</w:t>
      </w:r>
      <w:r w:rsidRPr="00477CAA">
        <w:rPr>
          <w:rStyle w:val="FootnoteReference"/>
          <w:rFonts w:cs="Arial"/>
        </w:rPr>
        <w:footnoteReference w:id="154"/>
      </w:r>
      <w:r w:rsidRPr="00477CAA">
        <w:t xml:space="preserve">  Where records created at different dates are for administrative purposes kept together in one file or other assembly, all the records in that file or assembly shall be treated as having been created when the latest of those records was created.</w:t>
      </w:r>
      <w:r w:rsidRPr="00477CAA">
        <w:rPr>
          <w:rStyle w:val="FootnoteReference"/>
          <w:rFonts w:cs="Arial"/>
        </w:rPr>
        <w:footnoteReference w:id="155"/>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23</w:t>
      </w:r>
      <w:r w:rsidRPr="00477CAA">
        <w:rPr>
          <w:rFonts w:hint="eastAsia"/>
        </w:rPr>
        <w:tab/>
      </w:r>
      <w:r w:rsidRPr="00477CAA">
        <w:tab/>
        <w:t xml:space="preserve"> One important obligation under the 1958 Act is the selection and transfer of public records for permanent preservation which is to be coordinated and supervised by the Keeper of Public Records (or now, the </w:t>
      </w:r>
      <w:r>
        <w:t>"</w:t>
      </w:r>
      <w:r w:rsidRPr="00477CAA">
        <w:t>Chief Executive and Keeper</w:t>
      </w:r>
      <w:r>
        <w:t>"</w:t>
      </w:r>
      <w:r w:rsidRPr="00477CAA">
        <w:t xml:space="preserve"> in TNA).</w:t>
      </w:r>
      <w:r w:rsidRPr="00477CAA">
        <w:rPr>
          <w:rStyle w:val="FootnoteReference"/>
          <w:rFonts w:cs="Arial"/>
        </w:rPr>
        <w:footnoteReference w:id="156"/>
      </w:r>
      <w:r w:rsidRPr="00477CAA">
        <w:rPr>
          <w:rFonts w:hint="eastAsia"/>
        </w:rPr>
        <w:t xml:space="preserve"> </w:t>
      </w:r>
      <w:r w:rsidRPr="00477CAA">
        <w:t xml:space="preserve"> Public records which are not required for permanent preservation shall be destroyed or disposed of in any other way.</w:t>
      </w:r>
      <w:r w:rsidRPr="00477CAA">
        <w:rPr>
          <w:rStyle w:val="FootnoteReference"/>
          <w:rFonts w:cs="Arial"/>
        </w:rPr>
        <w:footnoteReference w:id="157"/>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24</w:t>
      </w:r>
      <w:r w:rsidRPr="00477CAA">
        <w:rPr>
          <w:rFonts w:hint="eastAsia"/>
        </w:rPr>
        <w:tab/>
      </w:r>
      <w:r w:rsidRPr="00477CAA">
        <w:tab/>
        <w:t xml:space="preserve">Although the FOIA 2000 has taken over the governance of access generally, the 1958 Act remains important in terms of </w:t>
      </w:r>
      <w:r w:rsidRPr="00477CAA">
        <w:rPr>
          <w:i/>
        </w:rPr>
        <w:t xml:space="preserve">facilitating </w:t>
      </w:r>
      <w:r w:rsidRPr="00477CAA">
        <w:t>access as it imposes a duty on the Keeper to arrange reasonable facilities to the public for inspecting and obtaining copies of those public records in the TNA made available in accordance with the FOIA 2000.</w:t>
      </w:r>
      <w:r w:rsidRPr="00477CAA">
        <w:rPr>
          <w:rStyle w:val="FootnoteReference"/>
          <w:rFonts w:cs="Arial"/>
        </w:rPr>
        <w:footnoteReference w:id="158"/>
      </w:r>
      <w:r w:rsidRPr="00477CAA">
        <w:t xml:space="preserve"> </w:t>
      </w:r>
      <w:r w:rsidRPr="00477CAA">
        <w:rPr>
          <w:rFonts w:hint="eastAsia"/>
        </w:rPr>
        <w:t xml:space="preserve"> </w:t>
      </w:r>
      <w:r w:rsidRPr="00477CAA">
        <w:t>Likewise, a similar duty was imposed on the Secretary of State for public records held in other places of deposit outside the TNA appointed by him.</w:t>
      </w:r>
      <w:r w:rsidRPr="00477CAA">
        <w:rPr>
          <w:rStyle w:val="FootnoteReference"/>
          <w:rFonts w:cs="Arial"/>
        </w:rPr>
        <w:footnoteReference w:id="159"/>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25</w:t>
      </w:r>
      <w:r w:rsidRPr="00477CAA">
        <w:rPr>
          <w:rFonts w:hint="eastAsia"/>
        </w:rPr>
        <w:tab/>
      </w:r>
      <w:r w:rsidRPr="00477CAA">
        <w:tab/>
        <w:t>Miscellaneous provisions in the 1958 Act include provisions on the legal validity of records</w:t>
      </w:r>
      <w:r w:rsidRPr="00477CAA">
        <w:rPr>
          <w:rStyle w:val="FootnoteReference"/>
          <w:rFonts w:cs="Arial"/>
        </w:rPr>
        <w:footnoteReference w:id="160"/>
      </w:r>
      <w:r w:rsidRPr="00477CAA">
        <w:t xml:space="preserve"> and the admissibility of authenticated copies in legal proceedings</w:t>
      </w:r>
      <w:r w:rsidRPr="00477CAA">
        <w:rPr>
          <w:rFonts w:hint="eastAsia"/>
        </w:rPr>
        <w:t>.</w:t>
      </w:r>
      <w:r w:rsidRPr="00477CAA">
        <w:rPr>
          <w:rStyle w:val="FootnoteReference"/>
          <w:rFonts w:cs="Arial"/>
        </w:rPr>
        <w:footnoteReference w:id="161"/>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2"/>
      </w:pPr>
      <w:r w:rsidRPr="00477CAA">
        <w:lastRenderedPageBreak/>
        <w:t>Ireland</w:t>
      </w:r>
    </w:p>
    <w:p w:rsidR="00C0005C" w:rsidRPr="00477CAA" w:rsidRDefault="00C0005C" w:rsidP="00307F82">
      <w:pPr>
        <w:keepNext/>
        <w:rPr>
          <w:rFonts w:cs="Arial"/>
        </w:rPr>
      </w:pPr>
    </w:p>
    <w:p w:rsidR="00C0005C" w:rsidRPr="00477CAA" w:rsidRDefault="00C0005C" w:rsidP="00307F82">
      <w:pPr>
        <w:pStyle w:val="Heading3"/>
      </w:pPr>
      <w:r w:rsidRPr="00477CAA">
        <w:t>Background</w:t>
      </w:r>
      <w:r w:rsidRPr="00477CAA">
        <w:rPr>
          <w:rStyle w:val="FootnoteReference"/>
          <w:rFonts w:cs="Arial"/>
          <w:b w:val="0"/>
          <w:i w:val="0"/>
        </w:rPr>
        <w:footnoteReference w:id="162"/>
      </w:r>
      <w:r w:rsidRPr="00477CAA">
        <w:t xml:space="preserve"> </w:t>
      </w:r>
    </w:p>
    <w:p w:rsidR="00C0005C" w:rsidRPr="00477CAA" w:rsidRDefault="00C0005C" w:rsidP="00307F82">
      <w:pPr>
        <w:keepNext/>
        <w:rPr>
          <w:rFonts w:cs="Arial"/>
        </w:rPr>
      </w:pPr>
    </w:p>
    <w:p w:rsidR="00C0005C" w:rsidRPr="00477CAA" w:rsidRDefault="00C0005C" w:rsidP="00307F82">
      <w:r w:rsidRPr="00477CAA">
        <w:rPr>
          <w:rFonts w:hint="eastAsia"/>
        </w:rPr>
        <w:t>3.</w:t>
      </w:r>
      <w:r w:rsidRPr="00477CAA">
        <w:t>26</w:t>
      </w:r>
      <w:r w:rsidRPr="00477CAA">
        <w:tab/>
      </w:r>
      <w:r w:rsidRPr="00477CAA">
        <w:tab/>
        <w:t>In 1702, the State Paper Office was established as a repository for records relating to the administration of the various Lords Lieutenant (the English monarch</w:t>
      </w:r>
      <w:r>
        <w:t>'</w:t>
      </w:r>
      <w:r w:rsidRPr="00477CAA">
        <w:t>s representative in Ireland) who until then, had taken all of their records with them on leaving office.</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3.2</w:t>
      </w:r>
      <w:r w:rsidRPr="00477CAA">
        <w:t>7</w:t>
      </w:r>
      <w:r w:rsidRPr="00477CAA">
        <w:rPr>
          <w:rFonts w:hint="eastAsia"/>
        </w:rPr>
        <w:tab/>
      </w:r>
      <w:r w:rsidRPr="00477CAA">
        <w:tab/>
        <w:t xml:space="preserve">In 1867, the Public Record Office of Ireland was established under the Public Records (Ireland) Act 1867 to acquire administrative, court, and probate records over 20 years old.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3.2</w:t>
      </w:r>
      <w:r w:rsidRPr="00477CAA">
        <w:t>8</w:t>
      </w:r>
      <w:r w:rsidRPr="00477CAA">
        <w:rPr>
          <w:rFonts w:hint="eastAsia"/>
        </w:rPr>
        <w:tab/>
      </w:r>
      <w:r w:rsidRPr="00477CAA">
        <w:tab/>
        <w:t>In 1988, the National Archives of Ireland (</w:t>
      </w:r>
      <w:r>
        <w:t>"</w:t>
      </w:r>
      <w:r w:rsidRPr="00477CAA">
        <w:rPr>
          <w:b/>
        </w:rPr>
        <w:t>NAI</w:t>
      </w:r>
      <w:r>
        <w:t>"</w:t>
      </w:r>
      <w:r w:rsidRPr="00477CAA">
        <w:t>) was established under the National Archives Act 1986 (</w:t>
      </w:r>
      <w:r>
        <w:t>"</w:t>
      </w:r>
      <w:r w:rsidRPr="00477CAA">
        <w:rPr>
          <w:b/>
        </w:rPr>
        <w:t>1986 Act</w:t>
      </w:r>
      <w:r>
        <w:t>"</w:t>
      </w:r>
      <w:r w:rsidRPr="00477CAA">
        <w:t>) to take over the functions of the aforesaid two bodies, which were then abolished.</w:t>
      </w:r>
      <w:r w:rsidRPr="00477CAA">
        <w:rPr>
          <w:rStyle w:val="FootnoteReference"/>
          <w:rFonts w:cs="Arial"/>
        </w:rPr>
        <w:footnoteReference w:id="163"/>
      </w:r>
      <w:r w:rsidRPr="00477CAA">
        <w:t xml:space="preserve">  </w:t>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3"/>
      </w:pPr>
      <w:r w:rsidRPr="00477CAA">
        <w:t xml:space="preserve">An </w:t>
      </w:r>
      <w:r w:rsidRPr="00477CAA">
        <w:rPr>
          <w:rFonts w:hint="eastAsia"/>
        </w:rPr>
        <w:t>o</w:t>
      </w:r>
      <w:r w:rsidRPr="00477CAA">
        <w:t xml:space="preserve">verview of the 1986 Act </w:t>
      </w:r>
    </w:p>
    <w:p w:rsidR="00C0005C" w:rsidRPr="00477CAA" w:rsidRDefault="00C0005C" w:rsidP="00307F82">
      <w:pPr>
        <w:keepNext/>
        <w:rPr>
          <w:rFonts w:cs="Arial"/>
        </w:rPr>
      </w:pPr>
    </w:p>
    <w:p w:rsidR="00C0005C" w:rsidRPr="00477CAA" w:rsidRDefault="00C0005C" w:rsidP="00307F82">
      <w:r w:rsidRPr="00477CAA">
        <w:rPr>
          <w:rFonts w:hint="eastAsia"/>
        </w:rPr>
        <w:t>3.</w:t>
      </w:r>
      <w:r w:rsidRPr="00477CAA">
        <w:t>29</w:t>
      </w:r>
      <w:r w:rsidRPr="00477CAA">
        <w:rPr>
          <w:rFonts w:hint="eastAsia"/>
        </w:rPr>
        <w:tab/>
      </w:r>
      <w:r w:rsidRPr="00477CAA">
        <w:tab/>
        <w:t>The NAI, headed by a Director</w:t>
      </w:r>
      <w:r w:rsidRPr="00477CAA">
        <w:rPr>
          <w:rStyle w:val="FootnoteReference"/>
          <w:rFonts w:cs="Arial"/>
        </w:rPr>
        <w:footnoteReference w:id="164"/>
      </w:r>
      <w:r w:rsidRPr="00477CAA">
        <w:t xml:space="preserve"> who enjoys extensive powers and duties,</w:t>
      </w:r>
      <w:r w:rsidRPr="00477CAA">
        <w:rPr>
          <w:rStyle w:val="FootnoteReference"/>
          <w:rFonts w:cs="Arial"/>
        </w:rPr>
        <w:footnoteReference w:id="165"/>
      </w:r>
      <w:r w:rsidRPr="00477CAA">
        <w:t xml:space="preserve"> is the central archival authority envisaged under the 1986 Act. </w:t>
      </w:r>
      <w:r w:rsidRPr="00477CAA">
        <w:rPr>
          <w:rFonts w:hint="eastAsia"/>
        </w:rPr>
        <w:t xml:space="preserve"> </w:t>
      </w:r>
      <w:r w:rsidRPr="00477CAA">
        <w:t xml:space="preserve">Apart from performing the functions of the two bodies from which it has taken over, the </w:t>
      </w:r>
      <w:r>
        <w:t xml:space="preserve">Director of the </w:t>
      </w:r>
      <w:r w:rsidRPr="00477CAA">
        <w:t xml:space="preserve">NAI is also tasked with, amongst other things, </w:t>
      </w:r>
    </w:p>
    <w:p w:rsidR="00C0005C" w:rsidRPr="00477CAA" w:rsidRDefault="00C0005C" w:rsidP="00307F82">
      <w:pPr>
        <w:pStyle w:val="ListParagraph"/>
        <w:ind w:left="0"/>
        <w:rPr>
          <w:rFonts w:cs="Arial"/>
        </w:rPr>
      </w:pPr>
    </w:p>
    <w:p w:rsidR="00C0005C" w:rsidRPr="00477CAA" w:rsidRDefault="00C0005C" w:rsidP="00307F82">
      <w:pPr>
        <w:ind w:left="1440" w:hanging="720"/>
        <w:rPr>
          <w:rFonts w:cs="Arial"/>
        </w:rPr>
      </w:pPr>
      <w:r w:rsidRPr="00477CAA">
        <w:rPr>
          <w:rFonts w:cs="Arial" w:hint="eastAsia"/>
        </w:rPr>
        <w:t>(i)</w:t>
      </w:r>
      <w:r w:rsidRPr="00477CAA">
        <w:rPr>
          <w:rFonts w:cs="Arial"/>
        </w:rPr>
        <w:tab/>
        <w:t>the preservation, restoration, arrangement and description of archives;</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(ii)</w:t>
      </w:r>
      <w:r w:rsidRPr="00477CAA">
        <w:rPr>
          <w:rFonts w:cs="Arial"/>
        </w:rPr>
        <w:tab/>
        <w:t>the preparation of guides, lists, indexes and other finding aids to archives;</w:t>
      </w:r>
    </w:p>
    <w:p w:rsidR="00C0005C" w:rsidRPr="00477CAA" w:rsidRDefault="00C0005C" w:rsidP="00307F82">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(iii)</w:t>
      </w:r>
      <w:r w:rsidRPr="00477CAA">
        <w:rPr>
          <w:rFonts w:cs="Arial"/>
        </w:rPr>
        <w:tab/>
        <w:t xml:space="preserve">making archives available for public inspection; </w:t>
      </w:r>
    </w:p>
    <w:p w:rsidR="00C0005C" w:rsidRPr="00477CAA" w:rsidRDefault="00C0005C" w:rsidP="00307F82">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(iv)</w:t>
      </w:r>
      <w:r w:rsidRPr="00477CAA">
        <w:rPr>
          <w:rFonts w:cs="Arial"/>
        </w:rPr>
        <w:tab/>
        <w:t>making and providing copies of archives;</w:t>
      </w:r>
    </w:p>
    <w:p w:rsidR="00C0005C" w:rsidRPr="00477CAA" w:rsidRDefault="00C0005C" w:rsidP="00307F82">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(v)</w:t>
      </w:r>
      <w:r w:rsidRPr="00477CAA">
        <w:rPr>
          <w:rFonts w:cs="Arial"/>
        </w:rPr>
        <w:tab/>
        <w:t>the publication of archives, finding aids, and other material relating to archives;</w:t>
      </w:r>
    </w:p>
    <w:p w:rsidR="00C0005C" w:rsidRPr="00477CAA" w:rsidRDefault="00C0005C" w:rsidP="00307F82">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(vi)</w:t>
      </w:r>
      <w:r w:rsidRPr="00477CAA">
        <w:rPr>
          <w:rFonts w:cs="Arial"/>
        </w:rPr>
        <w:tab/>
        <w:t>the provision of educational services relating to archives.</w:t>
      </w:r>
      <w:r w:rsidRPr="00477CAA">
        <w:rPr>
          <w:rStyle w:val="FootnoteReference"/>
          <w:rFonts w:cs="Arial"/>
        </w:rPr>
        <w:footnoteReference w:id="166"/>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lastRenderedPageBreak/>
        <w:t>3.</w:t>
      </w:r>
      <w:r w:rsidRPr="00477CAA">
        <w:t>30</w:t>
      </w:r>
      <w:r w:rsidRPr="00477CAA">
        <w:rPr>
          <w:rFonts w:hint="eastAsia"/>
        </w:rPr>
        <w:tab/>
      </w:r>
      <w:r w:rsidRPr="00477CAA">
        <w:tab/>
        <w:t>The Taoiseach (the Prime Minister of Ireland) enjoys various powers and functions, including establishing the National Archives Advisory Council (</w:t>
      </w:r>
      <w:r>
        <w:t>"</w:t>
      </w:r>
      <w:r w:rsidRPr="00477CAA">
        <w:rPr>
          <w:b/>
        </w:rPr>
        <w:t>Advisory Council (Ire)</w:t>
      </w:r>
      <w:r>
        <w:t>"</w:t>
      </w:r>
      <w:r w:rsidRPr="00477CAA">
        <w:t>).</w:t>
      </w:r>
      <w:r w:rsidRPr="00477CAA">
        <w:rPr>
          <w:rStyle w:val="FootnoteReference"/>
        </w:rPr>
        <w:footnoteReference w:id="167"/>
      </w:r>
      <w:r w:rsidRPr="00477CAA">
        <w:t xml:space="preserve"> </w:t>
      </w:r>
      <w:r w:rsidRPr="00477CAA">
        <w:rPr>
          <w:rFonts w:hint="eastAsia"/>
        </w:rPr>
        <w:t xml:space="preserve"> </w:t>
      </w:r>
      <w:r w:rsidRPr="00477CAA">
        <w:t>At the request of a public service organi</w:t>
      </w:r>
      <w:r w:rsidRPr="00477CAA">
        <w:rPr>
          <w:rFonts w:hint="eastAsia"/>
        </w:rPr>
        <w:t>s</w:t>
      </w:r>
      <w:r w:rsidRPr="00477CAA">
        <w:t>ation, he may declare the records or documents (or a particular class of them) of that organi</w:t>
      </w:r>
      <w:r w:rsidRPr="00477CAA">
        <w:rPr>
          <w:rFonts w:hint="eastAsia"/>
        </w:rPr>
        <w:t>s</w:t>
      </w:r>
      <w:r w:rsidRPr="00477CAA">
        <w:t>ation to be Departmental records.</w:t>
      </w:r>
      <w:r w:rsidRPr="00477CAA">
        <w:rPr>
          <w:rStyle w:val="FootnoteReference"/>
          <w:rFonts w:cs="Arial"/>
        </w:rPr>
        <w:footnoteReference w:id="168"/>
      </w:r>
      <w:r w:rsidRPr="00477CAA">
        <w:t xml:space="preserve"> </w:t>
      </w:r>
      <w:r w:rsidRPr="00477CAA">
        <w:rPr>
          <w:rFonts w:hint="eastAsia"/>
        </w:rPr>
        <w:t xml:space="preserve"> </w:t>
      </w:r>
      <w:r w:rsidRPr="00477CAA">
        <w:t>After consultation with the Director of the NAI, the Taoiseach may also make regulations over a wide range of matters such as the management and work of the NAI, the transfer of Departmental records to the NAI, and other matters necessary to give effect to the 1986 Act.</w:t>
      </w:r>
      <w:r w:rsidRPr="00477CAA">
        <w:rPr>
          <w:rStyle w:val="FootnoteReference"/>
          <w:rFonts w:cs="Arial"/>
        </w:rPr>
        <w:footnoteReference w:id="169"/>
      </w:r>
    </w:p>
    <w:p w:rsidR="00C0005C" w:rsidRPr="00477CAA" w:rsidRDefault="00C0005C" w:rsidP="00307F82">
      <w:pPr>
        <w:pStyle w:val="ListParagraph"/>
        <w:ind w:left="0"/>
        <w:rPr>
          <w:rFonts w:cs="Arial"/>
        </w:rPr>
      </w:pPr>
    </w:p>
    <w:p w:rsidR="00C0005C" w:rsidRPr="00477CAA" w:rsidRDefault="00C0005C" w:rsidP="00307F82">
      <w:r w:rsidRPr="00477CAA">
        <w:t>3.31</w:t>
      </w:r>
      <w:r w:rsidRPr="00477CAA">
        <w:tab/>
      </w:r>
      <w:r w:rsidRPr="00477CAA">
        <w:tab/>
        <w:t xml:space="preserve">The 1986 Act applies to all </w:t>
      </w:r>
      <w:r>
        <w:t>"</w:t>
      </w:r>
      <w:r w:rsidRPr="00477CAA">
        <w:rPr>
          <w:i/>
        </w:rPr>
        <w:t>archives</w:t>
      </w:r>
      <w:r>
        <w:t>"</w:t>
      </w:r>
      <w:r w:rsidRPr="00477CAA">
        <w:t>, which is defined to include such records and documents as are held in the Public Record Office of Ireland or the State Paper Office at the commencement of this Act, and departmental records transferred to and accepted for preservation by the NAI under this Act.</w:t>
      </w:r>
      <w:r w:rsidRPr="00477CAA">
        <w:rPr>
          <w:rStyle w:val="FootnoteReference"/>
          <w:rFonts w:cs="Arial"/>
        </w:rPr>
        <w:footnoteReference w:id="170"/>
      </w:r>
      <w:r w:rsidRPr="00477CAA">
        <w:t xml:space="preserve">  The term </w:t>
      </w:r>
      <w:r>
        <w:t>"</w:t>
      </w:r>
      <w:r w:rsidRPr="00477CAA">
        <w:rPr>
          <w:i/>
        </w:rPr>
        <w:t>Departmental records</w:t>
      </w:r>
      <w:r>
        <w:t>"</w:t>
      </w:r>
      <w:r w:rsidRPr="00477CAA">
        <w:t xml:space="preserve"> is defined to encompass papers, files, sound recordings, pictorial records, microfilms and other micrographic records, magnetic tapes, magnetic discs, optical or video discs, other machine-readable records, other documentary or processed material, etc; it is thus clear that electronic records fall within the 1986 Act.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3.3</w:t>
      </w:r>
      <w:r w:rsidRPr="00477CAA">
        <w:t>2</w:t>
      </w:r>
      <w:r w:rsidRPr="00477CAA">
        <w:rPr>
          <w:rFonts w:hint="eastAsia"/>
        </w:rPr>
        <w:tab/>
      </w:r>
      <w:r w:rsidRPr="00477CAA">
        <w:tab/>
        <w:t xml:space="preserve">Similar to the archives law in other jurisdictions already discussed, the 1986 Act also governs major stages of records management including appraisal, disposal, transfer, and custody. </w:t>
      </w:r>
      <w:r w:rsidRPr="00477CAA">
        <w:rPr>
          <w:rFonts w:hint="eastAsia"/>
        </w:rPr>
        <w:t xml:space="preserve"> </w:t>
      </w:r>
      <w:r w:rsidRPr="00477CAA">
        <w:t>It provides that Departmental records which are more than 30 years old shall, subject to exceptions, be transferred by the Department of State in which they were made to the NAI.</w:t>
      </w:r>
      <w:r w:rsidRPr="00477CAA">
        <w:rPr>
          <w:rStyle w:val="FootnoteReference"/>
          <w:rFonts w:cs="Arial"/>
        </w:rPr>
        <w:footnoteReference w:id="171"/>
      </w:r>
      <w:r w:rsidRPr="00477CAA">
        <w:t xml:space="preserve"> </w:t>
      </w:r>
      <w:r w:rsidRPr="00477CAA">
        <w:rPr>
          <w:rFonts w:hint="eastAsia"/>
        </w:rPr>
        <w:t xml:space="preserve"> </w:t>
      </w:r>
      <w:r w:rsidRPr="00477CAA">
        <w:t>Departmental records, unless they are transferred to the NAI or are disposed of in accordance with the 1986 Act, shall be retained in the Department of State in which they were made or held.</w:t>
      </w:r>
      <w:r w:rsidRPr="00477CAA">
        <w:rPr>
          <w:rStyle w:val="FootnoteReference"/>
          <w:rFonts w:cs="Arial"/>
        </w:rPr>
        <w:footnoteReference w:id="172"/>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3.3</w:t>
      </w:r>
      <w:r w:rsidRPr="00477CAA">
        <w:t>3</w:t>
      </w:r>
      <w:r w:rsidRPr="00477CAA">
        <w:rPr>
          <w:rFonts w:hint="eastAsia"/>
        </w:rPr>
        <w:tab/>
      </w:r>
      <w:r w:rsidRPr="00477CAA">
        <w:tab/>
        <w:t>Archives that are transferred into the custody of the NAI may be disposed of by its Director if, in his opinion, they do not warrant preservation by the NAI (and the Advisory Council (Ire) concurs, and an appropriate member of the Government responsible for the transfer to the National Archives consents to such disposal).</w:t>
      </w:r>
      <w:r w:rsidRPr="00477CAA">
        <w:rPr>
          <w:rStyle w:val="FootnoteReference"/>
          <w:rFonts w:cs="Arial"/>
        </w:rPr>
        <w:footnoteReference w:id="173"/>
      </w:r>
      <w:r w:rsidRPr="00477CAA">
        <w:t xml:space="preserve"> </w:t>
      </w:r>
      <w:r w:rsidRPr="00477CAA">
        <w:rPr>
          <w:rFonts w:hint="eastAsia"/>
        </w:rPr>
        <w:t xml:space="preserve"> </w:t>
      </w:r>
      <w:r w:rsidRPr="00477CAA">
        <w:t>Otherwise, all archives in the custody of the NAI or held elsewhere in accordance with the 1986 Act shall, subject to exceptions, be made available for public inspection.</w:t>
      </w:r>
      <w:r w:rsidRPr="00477CAA">
        <w:rPr>
          <w:rStyle w:val="FootnoteReference"/>
          <w:rFonts w:cs="Arial"/>
        </w:rPr>
        <w:footnoteReference w:id="174"/>
      </w:r>
      <w:r w:rsidRPr="00477CAA">
        <w:t xml:space="preserve"> </w:t>
      </w:r>
      <w:r w:rsidRPr="00477CAA">
        <w:rPr>
          <w:rFonts w:hint="eastAsia"/>
        </w:rPr>
        <w:t xml:space="preserve"> </w:t>
      </w:r>
    </w:p>
    <w:p w:rsidR="00C0005C" w:rsidRPr="00477CAA" w:rsidRDefault="00C0005C" w:rsidP="00307F82">
      <w:pPr>
        <w:pStyle w:val="ListParagraph"/>
        <w:ind w:left="0"/>
        <w:rPr>
          <w:rFonts w:cs="Arial"/>
        </w:rPr>
      </w:pPr>
    </w:p>
    <w:p w:rsidR="00C0005C" w:rsidRPr="00477CAA" w:rsidRDefault="00C0005C" w:rsidP="000C755C">
      <w:pPr>
        <w:keepNext/>
        <w:widowControl/>
      </w:pPr>
      <w:r w:rsidRPr="00477CAA">
        <w:rPr>
          <w:rFonts w:hint="eastAsia"/>
        </w:rPr>
        <w:lastRenderedPageBreak/>
        <w:t>3.3</w:t>
      </w:r>
      <w:r w:rsidRPr="00477CAA">
        <w:t>4</w:t>
      </w:r>
      <w:r w:rsidRPr="00477CAA">
        <w:rPr>
          <w:rFonts w:hint="eastAsia"/>
        </w:rPr>
        <w:tab/>
      </w:r>
      <w:r w:rsidRPr="00477CAA">
        <w:tab/>
        <w:t>Miscellaneous provisions in the 1986 Act include provisions addressing copyright issues</w:t>
      </w:r>
      <w:r w:rsidRPr="00477CAA">
        <w:rPr>
          <w:rStyle w:val="FootnoteReference"/>
          <w:rFonts w:cs="Arial"/>
        </w:rPr>
        <w:footnoteReference w:id="175"/>
      </w:r>
      <w:r w:rsidRPr="00477CAA">
        <w:t xml:space="preserve"> and provisions outlawing unauthorised removal of archives.</w:t>
      </w:r>
      <w:r w:rsidRPr="00477CAA">
        <w:rPr>
          <w:rStyle w:val="FootnoteReference"/>
          <w:rFonts w:cs="Arial"/>
        </w:rPr>
        <w:footnoteReference w:id="176"/>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2"/>
      </w:pPr>
      <w:r w:rsidRPr="00477CAA">
        <w:t>New Zealand</w:t>
      </w:r>
    </w:p>
    <w:p w:rsidR="00C0005C" w:rsidRPr="00477CAA" w:rsidRDefault="00C0005C" w:rsidP="00307F82">
      <w:pPr>
        <w:keepNext/>
        <w:ind w:firstLine="480"/>
        <w:rPr>
          <w:rFonts w:cs="Arial"/>
          <w:b/>
        </w:rPr>
      </w:pPr>
    </w:p>
    <w:p w:rsidR="00C0005C" w:rsidRPr="00477CAA" w:rsidRDefault="00C0005C" w:rsidP="00307F82">
      <w:pPr>
        <w:pStyle w:val="Heading3"/>
      </w:pPr>
      <w:r w:rsidRPr="00477CAA">
        <w:t>Background</w:t>
      </w:r>
    </w:p>
    <w:p w:rsidR="00C0005C" w:rsidRPr="00477CAA" w:rsidRDefault="00C0005C" w:rsidP="00307F82">
      <w:pPr>
        <w:keepNext/>
        <w:rPr>
          <w:rFonts w:cs="Arial"/>
        </w:rPr>
      </w:pPr>
    </w:p>
    <w:p w:rsidR="00C0005C" w:rsidRPr="00477CAA" w:rsidRDefault="00C0005C" w:rsidP="00307F82">
      <w:r w:rsidRPr="00477CAA">
        <w:rPr>
          <w:rFonts w:hint="eastAsia"/>
        </w:rPr>
        <w:t>3.</w:t>
      </w:r>
      <w:r w:rsidRPr="00477CAA">
        <w:t>35</w:t>
      </w:r>
      <w:r w:rsidRPr="00477CAA">
        <w:rPr>
          <w:rFonts w:hint="eastAsia"/>
        </w:rPr>
        <w:tab/>
      </w:r>
      <w:r w:rsidRPr="00477CAA">
        <w:tab/>
        <w:t>In 1957, New Zealand enacted its first archives law, the Archives Act 1957,</w:t>
      </w:r>
      <w:r w:rsidRPr="00477CAA">
        <w:rPr>
          <w:rStyle w:val="FootnoteReference"/>
          <w:rFonts w:cs="Arial"/>
        </w:rPr>
        <w:footnoteReference w:id="177"/>
      </w:r>
      <w:r w:rsidRPr="00477CAA">
        <w:t xml:space="preserve"> which established the National Archives.  With this establishment came the appointment of a Chief Archivist, who was charged under the Act with the </w:t>
      </w:r>
      <w:r>
        <w:t>"</w:t>
      </w:r>
      <w:r w:rsidRPr="00477CAA">
        <w:t>custody, care, control, and administration of all public archives deposited in the National Archives.</w:t>
      </w:r>
      <w:r>
        <w:t>"</w:t>
      </w:r>
      <w:r w:rsidRPr="00477CAA">
        <w:rPr>
          <w:spacing w:val="-20"/>
        </w:rPr>
        <w:t xml:space="preserve"> </w:t>
      </w:r>
      <w:r w:rsidRPr="00477CAA">
        <w:rPr>
          <w:rStyle w:val="FootnoteReference"/>
          <w:rFonts w:cs="Arial"/>
        </w:rPr>
        <w:footnoteReference w:id="178"/>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3.3</w:t>
      </w:r>
      <w:r w:rsidRPr="00477CAA">
        <w:t>6</w:t>
      </w:r>
      <w:r w:rsidRPr="00477CAA">
        <w:rPr>
          <w:rFonts w:hint="eastAsia"/>
        </w:rPr>
        <w:tab/>
      </w:r>
      <w:r w:rsidRPr="00477CAA">
        <w:tab/>
        <w:t>Under the now repealed Archives Act 1957, all public archives of the age of 25 years or over, which were (in the Chief Archivist</w:t>
      </w:r>
      <w:r>
        <w:t>'</w:t>
      </w:r>
      <w:r w:rsidRPr="00477CAA">
        <w:t>s opinion) of sufficient value to warrant their preservation, were to be transferred to the custody of the Chief Archivist and be deposited in the National Archives.</w:t>
      </w:r>
      <w:r w:rsidRPr="00477CAA">
        <w:rPr>
          <w:rStyle w:val="FootnoteReference"/>
          <w:rFonts w:cs="Arial"/>
        </w:rPr>
        <w:footnoteReference w:id="179"/>
      </w:r>
      <w:r w:rsidRPr="00477CAA">
        <w:rPr>
          <w:rFonts w:hint="eastAsia"/>
        </w:rPr>
        <w:t xml:space="preserve"> </w:t>
      </w:r>
      <w:r w:rsidRPr="00477CAA">
        <w:t xml:space="preserve"> Access by the public to archives deposited in the National Archives was also provided for, subject to various limitations.</w:t>
      </w:r>
      <w:r w:rsidRPr="00477CAA">
        <w:rPr>
          <w:rStyle w:val="FootnoteReference"/>
          <w:rFonts w:cs="Arial"/>
        </w:rPr>
        <w:footnoteReference w:id="180"/>
      </w:r>
    </w:p>
    <w:p w:rsidR="00C0005C" w:rsidRPr="00477CAA" w:rsidRDefault="00C0005C" w:rsidP="00307F82">
      <w:pPr>
        <w:pStyle w:val="ListParagraph"/>
        <w:ind w:left="0"/>
        <w:rPr>
          <w:rFonts w:cs="Arial"/>
        </w:rPr>
      </w:pPr>
    </w:p>
    <w:p w:rsidR="00C0005C" w:rsidRPr="00477CAA" w:rsidRDefault="00C0005C" w:rsidP="00307F82">
      <w:pPr>
        <w:rPr>
          <w:rFonts w:cs="Arial"/>
        </w:rPr>
      </w:pPr>
      <w:r w:rsidRPr="00477CAA">
        <w:rPr>
          <w:rFonts w:cs="Arial" w:hint="eastAsia"/>
        </w:rPr>
        <w:t>3.3</w:t>
      </w:r>
      <w:r w:rsidRPr="00477CAA">
        <w:rPr>
          <w:rFonts w:cs="Arial"/>
        </w:rPr>
        <w:t>7</w:t>
      </w:r>
      <w:r w:rsidRPr="00477CAA">
        <w:rPr>
          <w:rFonts w:cs="Arial" w:hint="eastAsia"/>
        </w:rPr>
        <w:tab/>
      </w:r>
      <w:r w:rsidRPr="00477CAA">
        <w:rPr>
          <w:rFonts w:cs="Arial"/>
        </w:rPr>
        <w:t xml:space="preserve"> </w:t>
      </w:r>
      <w:r w:rsidRPr="00477CAA">
        <w:rPr>
          <w:rFonts w:cs="Arial"/>
        </w:rPr>
        <w:tab/>
        <w:t>In 2000, the National Archives was established as a separate department, and its name was changed to Archives New Zealand (</w:t>
      </w:r>
      <w:r>
        <w:rPr>
          <w:rFonts w:cs="Arial"/>
        </w:rPr>
        <w:t>"</w:t>
      </w:r>
      <w:r w:rsidRPr="00477CAA">
        <w:rPr>
          <w:rFonts w:cs="Arial"/>
          <w:b/>
        </w:rPr>
        <w:t>ANZ</w:t>
      </w:r>
      <w:r>
        <w:rPr>
          <w:rFonts w:cs="Arial"/>
        </w:rPr>
        <w:t>"</w:t>
      </w:r>
      <w:r w:rsidRPr="00477CAA">
        <w:rPr>
          <w:rFonts w:cs="Arial"/>
        </w:rPr>
        <w:t>) used until present day.</w:t>
      </w:r>
      <w:r w:rsidRPr="00477CAA">
        <w:rPr>
          <w:rStyle w:val="FootnoteReference"/>
          <w:rFonts w:cs="Arial"/>
        </w:rPr>
        <w:t xml:space="preserve"> </w:t>
      </w:r>
      <w:r w:rsidRPr="00477CAA">
        <w:rPr>
          <w:rStyle w:val="FootnoteReference"/>
          <w:rFonts w:cs="Arial"/>
        </w:rPr>
        <w:footnoteReference w:id="181"/>
      </w:r>
      <w:r w:rsidRPr="00477CAA">
        <w:rPr>
          <w:rFonts w:cs="Arial"/>
        </w:rPr>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3.3</w:t>
      </w:r>
      <w:r w:rsidRPr="00477CAA">
        <w:t>8</w:t>
      </w:r>
      <w:r w:rsidRPr="00477CAA">
        <w:rPr>
          <w:rFonts w:hint="eastAsia"/>
        </w:rPr>
        <w:tab/>
      </w:r>
      <w:r w:rsidRPr="00477CAA">
        <w:tab/>
        <w:t xml:space="preserve">In September 2004, the Public Records Bill was introduced into the New Zealand Parliament which, amongst other things, sought to introduce a new recordkeeping framework that </w:t>
      </w:r>
      <w:r>
        <w:t>"</w:t>
      </w:r>
      <w:r w:rsidRPr="00477CAA">
        <w:rPr>
          <w:i/>
        </w:rPr>
        <w:t>reflects the changes in technology, legislation and recordkeeping practices that have occurred in the last half century.</w:t>
      </w:r>
      <w:r>
        <w:t>"</w:t>
      </w:r>
      <w:r w:rsidRPr="00477CAA">
        <w:rPr>
          <w:spacing w:val="-20"/>
        </w:rPr>
        <w:t xml:space="preserve"> </w:t>
      </w:r>
      <w:r w:rsidRPr="00477CAA">
        <w:rPr>
          <w:rStyle w:val="FootnoteReference"/>
          <w:rFonts w:cs="Arial"/>
        </w:rPr>
        <w:footnoteReference w:id="182"/>
      </w:r>
    </w:p>
    <w:p w:rsidR="00C0005C" w:rsidRPr="00477CAA" w:rsidRDefault="00C0005C" w:rsidP="00307F82">
      <w:pPr>
        <w:pStyle w:val="ListParagraph"/>
        <w:ind w:left="0"/>
        <w:rPr>
          <w:rFonts w:cs="Arial"/>
        </w:rPr>
      </w:pPr>
    </w:p>
    <w:p w:rsidR="00AA783E" w:rsidRDefault="00C0005C" w:rsidP="00C8324B">
      <w:r w:rsidRPr="00477CAA">
        <w:rPr>
          <w:rFonts w:hint="eastAsia"/>
        </w:rPr>
        <w:t>3.</w:t>
      </w:r>
      <w:r w:rsidRPr="00477CAA">
        <w:t>39</w:t>
      </w:r>
      <w:r w:rsidRPr="00477CAA">
        <w:rPr>
          <w:rFonts w:hint="eastAsia"/>
        </w:rPr>
        <w:tab/>
      </w:r>
      <w:r w:rsidRPr="00477CAA">
        <w:tab/>
        <w:t xml:space="preserve">The Public Records Act was subsequently enacted and came into force on 21 April 2005. </w:t>
      </w:r>
      <w:r w:rsidRPr="00477CAA">
        <w:rPr>
          <w:rFonts w:hint="eastAsia"/>
        </w:rPr>
        <w:t xml:space="preserve"> </w:t>
      </w:r>
      <w:r w:rsidRPr="00477CAA">
        <w:t>It repeals the Archives Act 1957</w:t>
      </w:r>
      <w:r w:rsidRPr="00477CAA">
        <w:rPr>
          <w:rStyle w:val="FootnoteReference"/>
          <w:rFonts w:cs="Arial"/>
        </w:rPr>
        <w:footnoteReference w:id="183"/>
      </w:r>
      <w:r w:rsidRPr="00477CAA">
        <w:t xml:space="preserve"> and remains as the governing archival legislation in New Zealand today.</w:t>
      </w:r>
    </w:p>
    <w:p w:rsidR="00AA783E" w:rsidRDefault="00AA783E" w:rsidP="00C8324B">
      <w:pPr>
        <w:rPr>
          <w:b/>
          <w:i/>
        </w:rPr>
      </w:pPr>
    </w:p>
    <w:p w:rsidR="00C0005C" w:rsidRPr="000C755C" w:rsidRDefault="00C0005C" w:rsidP="00C8324B">
      <w:pPr>
        <w:rPr>
          <w:b/>
          <w:i/>
        </w:rPr>
      </w:pPr>
      <w:r w:rsidRPr="000C755C">
        <w:rPr>
          <w:b/>
          <w:i/>
        </w:rPr>
        <w:t xml:space="preserve">An </w:t>
      </w:r>
      <w:r w:rsidRPr="000C755C">
        <w:rPr>
          <w:rFonts w:hint="eastAsia"/>
          <w:b/>
          <w:i/>
        </w:rPr>
        <w:t>o</w:t>
      </w:r>
      <w:r w:rsidRPr="000C755C">
        <w:rPr>
          <w:b/>
          <w:i/>
        </w:rPr>
        <w:t>verview of the Public Records Act 2005</w:t>
      </w:r>
    </w:p>
    <w:p w:rsidR="00C0005C" w:rsidRPr="00E77009" w:rsidRDefault="00C0005C" w:rsidP="00307F82">
      <w:pPr>
        <w:keepNext/>
        <w:rPr>
          <w:rFonts w:cs="Arial"/>
          <w:i/>
        </w:rPr>
      </w:pPr>
    </w:p>
    <w:p w:rsidR="00C0005C" w:rsidRPr="00477CAA" w:rsidRDefault="00C0005C" w:rsidP="00307F82">
      <w:r w:rsidRPr="00477CAA">
        <w:rPr>
          <w:rFonts w:hint="eastAsia"/>
        </w:rPr>
        <w:t>3.</w:t>
      </w:r>
      <w:r w:rsidRPr="00477CAA">
        <w:t>40</w:t>
      </w:r>
      <w:r w:rsidRPr="00477CAA">
        <w:rPr>
          <w:rFonts w:hint="eastAsia"/>
        </w:rPr>
        <w:tab/>
      </w:r>
      <w:r w:rsidRPr="00477CAA">
        <w:tab/>
        <w:t>Similar to the 1983 Act in Australia, the Public Records Act 2005 (</w:t>
      </w:r>
      <w:r>
        <w:t>"</w:t>
      </w:r>
      <w:r w:rsidRPr="00477CAA">
        <w:rPr>
          <w:b/>
        </w:rPr>
        <w:t>2005 Act</w:t>
      </w:r>
      <w:r>
        <w:t>"</w:t>
      </w:r>
      <w:r w:rsidRPr="00477CAA">
        <w:t xml:space="preserve">) in New Zealand includes an objects clause. </w:t>
      </w:r>
      <w:r w:rsidRPr="00477CAA">
        <w:rPr>
          <w:rFonts w:hint="eastAsia"/>
        </w:rPr>
        <w:t xml:space="preserve"> </w:t>
      </w:r>
      <w:r w:rsidRPr="00477CAA">
        <w:t xml:space="preserve">The comprehensiveness of the 2005 Act is consistent with the enlarged role entrusted to ANZ envisaged under this new regime, and its purposes are stated to be:-  </w:t>
      </w:r>
    </w:p>
    <w:p w:rsidR="00C0005C" w:rsidRPr="00C8324B" w:rsidRDefault="00C0005C" w:rsidP="00307F82">
      <w:pPr>
        <w:pStyle w:val="ListParagraph"/>
        <w:ind w:left="0"/>
        <w:rPr>
          <w:rFonts w:cs="Arial"/>
          <w:sz w:val="20"/>
          <w:szCs w:val="20"/>
        </w:rPr>
      </w:pPr>
    </w:p>
    <w:p w:rsidR="00C0005C" w:rsidRPr="00477CAA" w:rsidRDefault="00C0005C" w:rsidP="00307F82">
      <w:pPr>
        <w:ind w:left="1440" w:hanging="720"/>
        <w:rPr>
          <w:rFonts w:cs="Arial"/>
        </w:rPr>
      </w:pPr>
      <w:r w:rsidRPr="00477CAA">
        <w:rPr>
          <w:rFonts w:cs="Arial" w:hint="eastAsia"/>
        </w:rPr>
        <w:t>(i)</w:t>
      </w:r>
      <w:r w:rsidRPr="00477CAA">
        <w:rPr>
          <w:rFonts w:cs="Arial"/>
        </w:rPr>
        <w:tab/>
        <w:t>to provide for the continuation of the repository of public archives called the National Archives with the name Archives New Zealand ; and</w:t>
      </w:r>
    </w:p>
    <w:p w:rsidR="00C0005C" w:rsidRPr="00AA783E" w:rsidRDefault="00C0005C">
      <w:pPr>
        <w:pStyle w:val="ListParagraph"/>
        <w:ind w:left="1440" w:hanging="720"/>
        <w:rPr>
          <w:rFonts w:cs="Arial"/>
          <w:sz w:val="20"/>
          <w:szCs w:val="20"/>
        </w:rPr>
      </w:pPr>
    </w:p>
    <w:p w:rsidR="00C0005C" w:rsidRPr="00477CAA" w:rsidRDefault="00C0005C" w:rsidP="00307F82">
      <w:pPr>
        <w:ind w:left="1440" w:hanging="720"/>
        <w:rPr>
          <w:rFonts w:cs="Arial"/>
        </w:rPr>
      </w:pPr>
      <w:r w:rsidRPr="00477CAA">
        <w:rPr>
          <w:rFonts w:cs="Arial" w:hint="eastAsia"/>
        </w:rPr>
        <w:t>(ii)</w:t>
      </w:r>
      <w:r w:rsidRPr="00477CAA">
        <w:rPr>
          <w:rFonts w:cs="Arial"/>
        </w:rPr>
        <w:tab/>
        <w:t>to provide for the role of the Chief Archivist in developing and supporting government recordkeeping, including making independent determinations on the disposal of public records and certain local authority archives; and</w:t>
      </w:r>
    </w:p>
    <w:p w:rsidR="00C0005C" w:rsidRPr="00AA783E" w:rsidRDefault="00C0005C">
      <w:pPr>
        <w:pStyle w:val="ListParagraph"/>
        <w:ind w:left="1440" w:hanging="720"/>
        <w:rPr>
          <w:rFonts w:cs="Arial"/>
          <w:sz w:val="20"/>
          <w:szCs w:val="20"/>
        </w:rPr>
      </w:pPr>
    </w:p>
    <w:p w:rsidR="00C0005C" w:rsidRPr="00477CAA" w:rsidRDefault="00C0005C" w:rsidP="00307F82">
      <w:pPr>
        <w:ind w:left="1440" w:hanging="720"/>
        <w:rPr>
          <w:rFonts w:cs="Arial"/>
        </w:rPr>
      </w:pPr>
      <w:r w:rsidRPr="00477CAA">
        <w:rPr>
          <w:rFonts w:cs="Arial" w:hint="eastAsia"/>
        </w:rPr>
        <w:t>(iii)</w:t>
      </w:r>
      <w:r w:rsidRPr="00477CAA">
        <w:rPr>
          <w:rFonts w:cs="Arial"/>
        </w:rPr>
        <w:tab/>
        <w:t>to enable the Government to be held accountable by —</w:t>
      </w:r>
    </w:p>
    <w:p w:rsidR="00C0005C" w:rsidRPr="00C8324B" w:rsidRDefault="00C0005C" w:rsidP="00307F82">
      <w:pPr>
        <w:pStyle w:val="ListParagraph"/>
        <w:ind w:left="0"/>
        <w:rPr>
          <w:rFonts w:cs="Arial"/>
          <w:sz w:val="20"/>
          <w:szCs w:val="20"/>
        </w:rPr>
      </w:pPr>
    </w:p>
    <w:p w:rsidR="00C0005C" w:rsidRPr="00477CAA" w:rsidRDefault="00C0005C" w:rsidP="00307F82">
      <w:pPr>
        <w:ind w:left="2160" w:hanging="720"/>
        <w:rPr>
          <w:rFonts w:cs="Arial"/>
        </w:rPr>
      </w:pPr>
      <w:r w:rsidRPr="00477CAA">
        <w:rPr>
          <w:rFonts w:cs="Arial" w:hint="eastAsia"/>
        </w:rPr>
        <w:t>(a)</w:t>
      </w:r>
      <w:r w:rsidRPr="00477CAA">
        <w:rPr>
          <w:rFonts w:cs="Arial"/>
        </w:rPr>
        <w:tab/>
        <w:t>ensuring that full and accurate records of the affairs of central and local government are created and maintained; and</w:t>
      </w:r>
    </w:p>
    <w:p w:rsidR="00C0005C" w:rsidRPr="00C8324B" w:rsidRDefault="00C0005C" w:rsidP="00307F82">
      <w:pPr>
        <w:pStyle w:val="ListParagraph"/>
        <w:ind w:left="0"/>
        <w:rPr>
          <w:rFonts w:cs="Arial"/>
          <w:sz w:val="20"/>
          <w:szCs w:val="20"/>
        </w:rPr>
      </w:pPr>
    </w:p>
    <w:p w:rsidR="00C0005C" w:rsidRPr="00477CAA" w:rsidRDefault="00C0005C" w:rsidP="00307F82">
      <w:pPr>
        <w:ind w:left="2160" w:hanging="720"/>
        <w:rPr>
          <w:rFonts w:cs="Arial"/>
        </w:rPr>
      </w:pPr>
      <w:r w:rsidRPr="00477CAA">
        <w:rPr>
          <w:rFonts w:cs="Arial" w:hint="eastAsia"/>
        </w:rPr>
        <w:t>(b)</w:t>
      </w:r>
      <w:r w:rsidRPr="00477CAA">
        <w:rPr>
          <w:rFonts w:cs="Arial"/>
        </w:rPr>
        <w:tab/>
        <w:t>providing for the preservation of, and public access to, records of long-term value; and</w:t>
      </w:r>
    </w:p>
    <w:p w:rsidR="00C0005C" w:rsidRPr="00C8324B" w:rsidRDefault="00C0005C" w:rsidP="00307F82">
      <w:pPr>
        <w:pStyle w:val="ListParagraph"/>
        <w:ind w:left="0"/>
        <w:rPr>
          <w:rFonts w:cs="Arial"/>
          <w:sz w:val="20"/>
          <w:szCs w:val="20"/>
        </w:rPr>
      </w:pPr>
    </w:p>
    <w:p w:rsidR="00C0005C" w:rsidRPr="00477CAA" w:rsidRDefault="00C0005C" w:rsidP="00307F82">
      <w:pPr>
        <w:ind w:left="1440" w:hanging="720"/>
        <w:rPr>
          <w:rFonts w:cs="Arial"/>
        </w:rPr>
      </w:pPr>
      <w:r w:rsidRPr="00477CAA">
        <w:rPr>
          <w:rFonts w:cs="Arial" w:hint="eastAsia"/>
        </w:rPr>
        <w:t>(iv)</w:t>
      </w:r>
      <w:r w:rsidRPr="00477CAA">
        <w:rPr>
          <w:rFonts w:cs="Arial"/>
        </w:rPr>
        <w:tab/>
        <w:t>to enhance public confidence in the integrity of public records and local authority records; and</w:t>
      </w:r>
    </w:p>
    <w:p w:rsidR="00C0005C" w:rsidRPr="00AA783E" w:rsidRDefault="00C0005C" w:rsidP="00307F82">
      <w:pPr>
        <w:pStyle w:val="ListParagraph"/>
        <w:ind w:left="0"/>
        <w:rPr>
          <w:rFonts w:cs="Arial"/>
          <w:sz w:val="20"/>
          <w:szCs w:val="20"/>
        </w:rPr>
      </w:pPr>
    </w:p>
    <w:p w:rsidR="00C0005C" w:rsidRPr="00477CAA" w:rsidRDefault="00C0005C" w:rsidP="00307F82">
      <w:pPr>
        <w:ind w:left="1440" w:hanging="720"/>
        <w:rPr>
          <w:rFonts w:cs="Arial"/>
        </w:rPr>
      </w:pPr>
      <w:r w:rsidRPr="00477CAA">
        <w:rPr>
          <w:rFonts w:cs="Arial" w:hint="eastAsia"/>
        </w:rPr>
        <w:t>(v)</w:t>
      </w:r>
      <w:r w:rsidRPr="00477CAA">
        <w:rPr>
          <w:rFonts w:cs="Arial"/>
        </w:rPr>
        <w:tab/>
        <w:t>to provide an appropriate framework within which public offices and local authorities create and maintain public records and local authority records, as the case may be; and</w:t>
      </w:r>
    </w:p>
    <w:p w:rsidR="00C0005C" w:rsidRPr="00AA783E" w:rsidRDefault="00C0005C" w:rsidP="00307F82">
      <w:pPr>
        <w:pStyle w:val="ListParagraph"/>
        <w:ind w:left="0"/>
        <w:rPr>
          <w:rFonts w:cs="Arial"/>
          <w:sz w:val="20"/>
          <w:szCs w:val="20"/>
        </w:rPr>
      </w:pPr>
    </w:p>
    <w:p w:rsidR="00C0005C" w:rsidRPr="00477CAA" w:rsidRDefault="00C0005C" w:rsidP="00307F82">
      <w:pPr>
        <w:ind w:left="1440" w:hanging="720"/>
        <w:rPr>
          <w:rFonts w:cs="Arial"/>
        </w:rPr>
      </w:pPr>
      <w:r w:rsidRPr="00477CAA">
        <w:rPr>
          <w:rFonts w:cs="Arial" w:hint="eastAsia"/>
        </w:rPr>
        <w:t>(vi)</w:t>
      </w:r>
      <w:r w:rsidRPr="00477CAA">
        <w:rPr>
          <w:rFonts w:cs="Arial"/>
        </w:rPr>
        <w:tab/>
        <w:t>through the systematic creation and preservation of public archives and local authority archives, to enhance the accessibility of records that are relevant to the historical and cultural heritage of New Zealand and to New Zealanders</w:t>
      </w:r>
      <w:r>
        <w:rPr>
          <w:rFonts w:cs="Arial"/>
        </w:rPr>
        <w:t>'</w:t>
      </w:r>
      <w:r w:rsidRPr="00477CAA">
        <w:rPr>
          <w:rFonts w:cs="Arial"/>
        </w:rPr>
        <w:t xml:space="preserve"> sense of their national identity; and</w:t>
      </w:r>
    </w:p>
    <w:p w:rsidR="00C0005C" w:rsidRPr="00AA783E" w:rsidRDefault="00C0005C" w:rsidP="00307F82">
      <w:pPr>
        <w:pStyle w:val="ListParagraph"/>
        <w:ind w:left="0"/>
        <w:rPr>
          <w:rFonts w:cs="Arial"/>
          <w:sz w:val="20"/>
          <w:szCs w:val="20"/>
        </w:rPr>
      </w:pPr>
    </w:p>
    <w:p w:rsidR="00C0005C" w:rsidRPr="00477CAA" w:rsidRDefault="00C0005C" w:rsidP="00307F82">
      <w:pPr>
        <w:ind w:left="1440" w:hanging="720"/>
        <w:rPr>
          <w:rFonts w:cs="Arial"/>
        </w:rPr>
      </w:pPr>
      <w:r w:rsidRPr="00477CAA">
        <w:rPr>
          <w:rFonts w:cs="Arial" w:hint="eastAsia"/>
        </w:rPr>
        <w:t>(vii)</w:t>
      </w:r>
      <w:r w:rsidRPr="00477CAA">
        <w:rPr>
          <w:rFonts w:cs="Arial"/>
        </w:rPr>
        <w:tab/>
        <w:t>to encourage the spirit of partnership and goodwill envisaged by the Treaty of Waitangi, as provided for by section 7; and</w:t>
      </w:r>
    </w:p>
    <w:p w:rsidR="00C0005C" w:rsidRPr="00AA783E" w:rsidRDefault="00C0005C" w:rsidP="00307F82">
      <w:pPr>
        <w:pStyle w:val="ListParagraph"/>
        <w:ind w:left="0"/>
        <w:rPr>
          <w:rFonts w:cs="Arial"/>
          <w:sz w:val="20"/>
          <w:szCs w:val="20"/>
        </w:rPr>
      </w:pPr>
    </w:p>
    <w:p w:rsidR="00C0005C" w:rsidRPr="00477CAA" w:rsidRDefault="00C0005C" w:rsidP="00307F82">
      <w:pPr>
        <w:ind w:left="1440" w:hanging="720"/>
        <w:rPr>
          <w:rFonts w:cs="Arial"/>
        </w:rPr>
      </w:pPr>
      <w:r w:rsidRPr="00477CAA">
        <w:rPr>
          <w:rFonts w:cs="Arial" w:hint="eastAsia"/>
        </w:rPr>
        <w:t>(viii)</w:t>
      </w:r>
      <w:r w:rsidRPr="00477CAA">
        <w:rPr>
          <w:rFonts w:cs="Arial"/>
        </w:rPr>
        <w:tab/>
        <w:t>to support the safekeeping of private records.</w:t>
      </w:r>
      <w:r w:rsidRPr="00477CAA">
        <w:rPr>
          <w:rStyle w:val="FootnoteReference"/>
          <w:rFonts w:cs="Arial"/>
        </w:rPr>
        <w:footnoteReference w:id="184"/>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41</w:t>
      </w:r>
      <w:r w:rsidRPr="00477CAA">
        <w:rPr>
          <w:rFonts w:hint="eastAsia"/>
        </w:rPr>
        <w:tab/>
      </w:r>
      <w:r w:rsidRPr="00477CAA">
        <w:tab/>
        <w:t xml:space="preserve">The National Archives established under the repealed Archives Act 1957 continues to be the central repository under the 2005 Act, albeit with the new name </w:t>
      </w:r>
      <w:r>
        <w:t>"</w:t>
      </w:r>
      <w:r w:rsidRPr="00477CAA">
        <w:t>ANZ</w:t>
      </w:r>
      <w:r>
        <w:t>"</w:t>
      </w:r>
      <w:r w:rsidRPr="00477CAA">
        <w:t>.</w:t>
      </w:r>
      <w:r w:rsidRPr="00477CAA">
        <w:rPr>
          <w:rStyle w:val="FootnoteReference"/>
          <w:rFonts w:cs="Arial"/>
        </w:rPr>
        <w:footnoteReference w:id="185"/>
      </w:r>
      <w:r w:rsidRPr="00477CAA">
        <w:t xml:space="preserve"> </w:t>
      </w:r>
      <w:r w:rsidRPr="00477CAA">
        <w:rPr>
          <w:rFonts w:hint="eastAsia"/>
        </w:rPr>
        <w:t xml:space="preserve"> </w:t>
      </w:r>
      <w:r w:rsidRPr="00477CAA">
        <w:t xml:space="preserve">One major change, however, is the expanded role of </w:t>
      </w:r>
      <w:r w:rsidRPr="00477CAA">
        <w:lastRenderedPageBreak/>
        <w:t>the Chief Archivist, who is effectively the head of ANZ and enjoys many and more specific duties and functions under the 2005 Act.</w:t>
      </w:r>
      <w:r w:rsidRPr="00477CAA">
        <w:rPr>
          <w:rStyle w:val="FootnoteReference"/>
          <w:rFonts w:cs="Arial"/>
        </w:rPr>
        <w:footnoteReference w:id="186"/>
      </w:r>
      <w:r w:rsidRPr="00477CAA">
        <w:t xml:space="preserve"> </w:t>
      </w:r>
      <w:r w:rsidRPr="00477CAA">
        <w:rPr>
          <w:rFonts w:hint="eastAsia"/>
        </w:rPr>
        <w:t xml:space="preserve"> </w:t>
      </w:r>
      <w:r w:rsidRPr="00477CAA">
        <w:t>Similar to other jurisdictions, an advisory body is also established under the 2005 Act and is known as the Archives Council (</w:t>
      </w:r>
      <w:r>
        <w:t>"</w:t>
      </w:r>
      <w:r w:rsidRPr="00477CAA">
        <w:rPr>
          <w:b/>
        </w:rPr>
        <w:t>Archives Council (NZ)</w:t>
      </w:r>
      <w:r>
        <w:t>"</w:t>
      </w:r>
      <w:r w:rsidRPr="00477CAA">
        <w:t>).</w:t>
      </w:r>
      <w:r w:rsidRPr="00477CAA">
        <w:rPr>
          <w:rStyle w:val="FootnoteReference"/>
        </w:rPr>
        <w:footnoteReference w:id="187"/>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3.4</w:t>
      </w:r>
      <w:r w:rsidRPr="00477CAA">
        <w:t>2</w:t>
      </w:r>
      <w:r w:rsidRPr="00477CAA">
        <w:rPr>
          <w:rFonts w:hint="eastAsia"/>
        </w:rPr>
        <w:tab/>
      </w:r>
      <w:r w:rsidRPr="00477CAA">
        <w:tab/>
        <w:t xml:space="preserve">The 2005 Act applies to all </w:t>
      </w:r>
      <w:r>
        <w:t>"</w:t>
      </w:r>
      <w:r w:rsidRPr="00477CAA">
        <w:rPr>
          <w:i/>
        </w:rPr>
        <w:t>public record</w:t>
      </w:r>
      <w:r w:rsidRPr="00FB3768">
        <w:rPr>
          <w:i/>
          <w:spacing w:val="-20"/>
        </w:rPr>
        <w:t xml:space="preserve"> </w:t>
      </w:r>
      <w:r>
        <w:t>"</w:t>
      </w:r>
      <w:r w:rsidRPr="00477CAA">
        <w:t xml:space="preserve"> which is defined to mean a record or a class of records, in any form, in whole or in part, created or received by a public office in the conduct of its affairs.</w:t>
      </w:r>
      <w:r w:rsidRPr="00477CAA">
        <w:rPr>
          <w:rFonts w:hint="eastAsia"/>
        </w:rPr>
        <w:t xml:space="preserve">  </w:t>
      </w:r>
      <w:r w:rsidRPr="00477CAA">
        <w:t xml:space="preserve">The term </w:t>
      </w:r>
      <w:r>
        <w:t>"</w:t>
      </w:r>
      <w:r w:rsidRPr="00477CAA">
        <w:rPr>
          <w:i/>
        </w:rPr>
        <w:t>public office</w:t>
      </w:r>
      <w:r>
        <w:t>"</w:t>
      </w:r>
      <w:r w:rsidRPr="00477CAA">
        <w:t xml:space="preserve"> is further comprehensively defined.</w:t>
      </w:r>
      <w:r w:rsidRPr="00477CAA">
        <w:rPr>
          <w:rStyle w:val="FootnoteReference"/>
          <w:rFonts w:cs="Arial"/>
        </w:rPr>
        <w:footnoteReference w:id="188"/>
      </w:r>
      <w:r w:rsidRPr="00477CAA">
        <w:t xml:space="preserve">  A </w:t>
      </w:r>
      <w:r>
        <w:t>"</w:t>
      </w:r>
      <w:r w:rsidRPr="00477CAA">
        <w:rPr>
          <w:i/>
        </w:rPr>
        <w:t>record</w:t>
      </w:r>
      <w:r>
        <w:t>"</w:t>
      </w:r>
      <w:r w:rsidRPr="00477CAA">
        <w:t xml:space="preserve"> means information, whether in its original form or otherwise, including a document, a signature, a seal, text, images, sound, etc compiled, recorded, or stored, as the case may be, in written form on any material, or on film, negative, tape, or other medium so as to be capable of being reproduced, or by means of any recording device or process, computer, or other electronic device or process.</w:t>
      </w:r>
      <w:r w:rsidRPr="00477CAA">
        <w:rPr>
          <w:rStyle w:val="FootnoteReference"/>
          <w:rFonts w:cs="Arial"/>
        </w:rPr>
        <w:footnoteReference w:id="189"/>
      </w:r>
    </w:p>
    <w:p w:rsidR="00C0005C" w:rsidRPr="00477CAA" w:rsidRDefault="00C0005C" w:rsidP="00307F82">
      <w:pPr>
        <w:pStyle w:val="ListParagraph"/>
        <w:rPr>
          <w:rFonts w:cs="Arial"/>
        </w:rPr>
      </w:pPr>
    </w:p>
    <w:p w:rsidR="00C0005C" w:rsidRPr="00477CAA" w:rsidRDefault="00C0005C">
      <w:r w:rsidRPr="00477CAA">
        <w:rPr>
          <w:rFonts w:hint="eastAsia"/>
        </w:rPr>
        <w:t>3.4</w:t>
      </w:r>
      <w:r w:rsidRPr="00477CAA">
        <w:t>3</w:t>
      </w:r>
      <w:r w:rsidRPr="00477CAA">
        <w:rPr>
          <w:rFonts w:hint="eastAsia"/>
        </w:rPr>
        <w:tab/>
      </w:r>
      <w:r w:rsidRPr="00477CAA">
        <w:tab/>
        <w:t xml:space="preserve">Like the archives law in other jurisdictions, major stages of records management (such as disposal, transfer, and custody) are addressed in the 2005 Act. </w:t>
      </w:r>
      <w:r w:rsidRPr="00477CAA">
        <w:rPr>
          <w:rFonts w:hint="eastAsia"/>
        </w:rPr>
        <w:t xml:space="preserve"> </w:t>
      </w:r>
      <w:r w:rsidRPr="00477CAA">
        <w:t>For example, every public office is generally required to transfer public records that have been in existence for 25 years</w:t>
      </w:r>
      <w:r w:rsidRPr="00477CAA">
        <w:rPr>
          <w:rStyle w:val="FootnoteReference"/>
          <w:rFonts w:cs="Arial"/>
        </w:rPr>
        <w:footnoteReference w:id="190"/>
      </w:r>
      <w:r w:rsidRPr="00477CAA">
        <w:t xml:space="preserve"> to the possession of ANZ (or an approved repository) and the control of the Chief Archivist.</w:t>
      </w:r>
      <w:r w:rsidRPr="00477CAA">
        <w:rPr>
          <w:rStyle w:val="FootnoteReference"/>
          <w:rFonts w:cs="Arial"/>
        </w:rPr>
        <w:footnoteReference w:id="191"/>
      </w:r>
      <w:r w:rsidRPr="00477CAA">
        <w:t xml:space="preserve"> </w:t>
      </w:r>
      <w:r w:rsidRPr="00477CAA">
        <w:rPr>
          <w:rFonts w:hint="eastAsia"/>
        </w:rPr>
        <w:t xml:space="preserve"> </w:t>
      </w:r>
      <w:r w:rsidRPr="00477CAA">
        <w:t>The Minister may, on the advice of the Archives Council (NZ), given on the recommendation of the Chief Archivist, approve a relevant body (such as a museum, library) as an approved repository where public archives may be deposited for safekeeping.</w:t>
      </w:r>
      <w:r w:rsidRPr="00477CAA">
        <w:rPr>
          <w:rStyle w:val="FootnoteReference"/>
          <w:rFonts w:cs="Arial"/>
        </w:rPr>
        <w:footnoteReference w:id="192"/>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3.4</w:t>
      </w:r>
      <w:r w:rsidRPr="00477CAA">
        <w:t>4</w:t>
      </w:r>
      <w:r w:rsidRPr="00477CAA">
        <w:rPr>
          <w:rFonts w:hint="eastAsia"/>
        </w:rPr>
        <w:tab/>
      </w:r>
      <w:r w:rsidRPr="00477CAA">
        <w:tab/>
        <w:t>When records have been in existence for 25 years or when they are about to be transferred as required, the administrative head of the controlling public office must classify such records, either as open access records or restricted access records.</w:t>
      </w:r>
      <w:r w:rsidRPr="00477CAA">
        <w:rPr>
          <w:rStyle w:val="FootnoteReference"/>
          <w:rFonts w:cs="Arial"/>
        </w:rPr>
        <w:footnoteReference w:id="193"/>
      </w:r>
      <w:r w:rsidRPr="00477CAA">
        <w:t xml:space="preserve">  Where a record is classified as an open access record, it must be made available for public inspection as soon as is reasonably practicable after a request to inspect it is made.</w:t>
      </w:r>
      <w:r w:rsidRPr="00477CAA">
        <w:rPr>
          <w:rStyle w:val="FootnoteReference"/>
          <w:rFonts w:cs="Arial"/>
        </w:rPr>
        <w:footnoteReference w:id="194"/>
      </w:r>
      <w:r w:rsidRPr="00477CAA">
        <w:t xml:space="preserve">  Public access may be prohibited by the Chief Archivist for any period he/she thinks necessary either in the interest of preserving the public archive or pending its classification, repair, or other treatment.</w:t>
      </w:r>
      <w:r w:rsidRPr="00477CAA">
        <w:rPr>
          <w:rStyle w:val="FootnoteReference"/>
          <w:rFonts w:cs="Arial"/>
        </w:rPr>
        <w:footnoteReference w:id="195"/>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lastRenderedPageBreak/>
        <w:t>3.4</w:t>
      </w:r>
      <w:r w:rsidRPr="00477CAA">
        <w:t>5</w:t>
      </w:r>
      <w:r w:rsidRPr="00477CAA">
        <w:rPr>
          <w:rFonts w:hint="eastAsia"/>
        </w:rPr>
        <w:tab/>
      </w:r>
      <w:r w:rsidRPr="00477CAA">
        <w:tab/>
        <w:t>Miscellaneous provisions in the 2005 Act include provisions establishing an appeal mechanism against various decisions made by the Chief Archivist,</w:t>
      </w:r>
      <w:r w:rsidRPr="00477CAA">
        <w:rPr>
          <w:rStyle w:val="FootnoteReference"/>
          <w:rFonts w:cs="Arial"/>
        </w:rPr>
        <w:footnoteReference w:id="196"/>
      </w:r>
      <w:r w:rsidRPr="00477CAA">
        <w:t xml:space="preserve"> and creating offences in relation to inflicting damage to, or destruction of, public records</w:t>
      </w:r>
      <w:r w:rsidRPr="00477CAA">
        <w:rPr>
          <w:rFonts w:hint="eastAsia"/>
        </w:rPr>
        <w:t>.</w:t>
      </w:r>
      <w:r w:rsidRPr="00477CAA">
        <w:rPr>
          <w:rStyle w:val="FootnoteReference"/>
          <w:rFonts w:cs="Arial"/>
        </w:rPr>
        <w:footnoteReference w:id="197"/>
      </w:r>
      <w:r w:rsidRPr="00477CAA">
        <w:t xml:space="preserve"> </w:t>
      </w:r>
    </w:p>
    <w:p w:rsidR="00C0005C" w:rsidRPr="00477CAA" w:rsidRDefault="00C0005C" w:rsidP="00307F82">
      <w:pPr>
        <w:rPr>
          <w:rFonts w:cs="Arial"/>
        </w:rPr>
      </w:pPr>
    </w:p>
    <w:p w:rsidR="00C0005C" w:rsidRPr="00477CAA" w:rsidRDefault="00C0005C" w:rsidP="00307F82">
      <w:pPr>
        <w:rPr>
          <w:rFonts w:cs="Arial"/>
        </w:rPr>
      </w:pPr>
    </w:p>
    <w:p w:rsidR="00C0005C" w:rsidRPr="00477CAA" w:rsidRDefault="00C0005C" w:rsidP="00307F82">
      <w:pPr>
        <w:pStyle w:val="Heading2"/>
      </w:pPr>
      <w:r w:rsidRPr="00477CAA">
        <w:t>Singapore</w:t>
      </w:r>
    </w:p>
    <w:p w:rsidR="00C0005C" w:rsidRPr="00477CAA" w:rsidRDefault="00C0005C" w:rsidP="00307F82">
      <w:pPr>
        <w:rPr>
          <w:rFonts w:cs="Arial"/>
          <w:b/>
          <w:sz w:val="28"/>
          <w:szCs w:val="28"/>
        </w:rPr>
      </w:pPr>
    </w:p>
    <w:p w:rsidR="00C0005C" w:rsidRPr="00477CAA" w:rsidRDefault="00C0005C" w:rsidP="00307F82">
      <w:pPr>
        <w:pStyle w:val="Heading3"/>
      </w:pPr>
      <w:r w:rsidRPr="00477CAA">
        <w:t xml:space="preserve">Background </w:t>
      </w:r>
    </w:p>
    <w:p w:rsidR="00C0005C" w:rsidRPr="00477CAA" w:rsidRDefault="00C0005C" w:rsidP="00307F82">
      <w:pPr>
        <w:rPr>
          <w:rFonts w:cs="Arial"/>
        </w:rPr>
      </w:pPr>
    </w:p>
    <w:p w:rsidR="00C0005C" w:rsidRPr="00477CAA" w:rsidRDefault="00C0005C" w:rsidP="00307F82">
      <w:r w:rsidRPr="00477CAA">
        <w:rPr>
          <w:rFonts w:hint="eastAsia"/>
        </w:rPr>
        <w:t>3.4</w:t>
      </w:r>
      <w:r w:rsidRPr="00477CAA">
        <w:t>6</w:t>
      </w:r>
      <w:r w:rsidRPr="00477CAA">
        <w:rPr>
          <w:rFonts w:hint="eastAsia"/>
        </w:rPr>
        <w:tab/>
      </w:r>
      <w:r w:rsidRPr="00477CAA">
        <w:tab/>
        <w:t>The National Archives of Singapore (</w:t>
      </w:r>
      <w:r>
        <w:t>"</w:t>
      </w:r>
      <w:r w:rsidRPr="00477CAA">
        <w:rPr>
          <w:b/>
        </w:rPr>
        <w:t>NAS</w:t>
      </w:r>
      <w:r>
        <w:t>"</w:t>
      </w:r>
      <w:r w:rsidRPr="00477CAA">
        <w:t>), which today is managed by the National Library Board (</w:t>
      </w:r>
      <w:r>
        <w:t>"</w:t>
      </w:r>
      <w:r w:rsidRPr="00477CAA">
        <w:rPr>
          <w:b/>
        </w:rPr>
        <w:t>NLB</w:t>
      </w:r>
      <w:r>
        <w:t>"</w:t>
      </w:r>
      <w:r w:rsidRPr="00477CAA">
        <w:t>), can trace its roots back to the creation of the post of Archivist in 1938 within the Raffles Museum and Library,</w:t>
      </w:r>
      <w:r w:rsidRPr="00477CAA">
        <w:rPr>
          <w:rStyle w:val="FootnoteReference"/>
          <w:rFonts w:cs="Arial"/>
        </w:rPr>
        <w:footnoteReference w:id="198"/>
      </w:r>
      <w:r w:rsidRPr="00477CAA">
        <w:t xml:space="preserve"> which itself had evolved from the library of The Singapore Institution established a few years after modern Singapore was founded by Sir Stamford Raffles in early 19</w:t>
      </w:r>
      <w:r w:rsidRPr="00477CAA">
        <w:rPr>
          <w:vertAlign w:val="superscript"/>
        </w:rPr>
        <w:t>th</w:t>
      </w:r>
      <w:r w:rsidRPr="00477CAA">
        <w:t xml:space="preserve"> century.</w:t>
      </w:r>
      <w:r w:rsidRPr="00477CAA">
        <w:rPr>
          <w:rStyle w:val="FootnoteReference"/>
          <w:rFonts w:cs="Arial"/>
        </w:rPr>
        <w:footnoteReference w:id="199"/>
      </w:r>
    </w:p>
    <w:p w:rsidR="00C0005C" w:rsidRPr="00477CAA" w:rsidRDefault="00C0005C" w:rsidP="00307F82">
      <w:pPr>
        <w:pStyle w:val="ListParagraph"/>
        <w:ind w:left="0"/>
        <w:rPr>
          <w:rFonts w:cs="Arial"/>
        </w:rPr>
      </w:pPr>
      <w:r w:rsidRPr="00477CAA">
        <w:rPr>
          <w:rFonts w:cs="Arial"/>
        </w:rPr>
        <w:tab/>
      </w:r>
    </w:p>
    <w:p w:rsidR="00C0005C" w:rsidRPr="00477CAA" w:rsidRDefault="00C0005C">
      <w:r w:rsidRPr="00477CAA">
        <w:rPr>
          <w:rFonts w:hint="eastAsia"/>
        </w:rPr>
        <w:t>3.4</w:t>
      </w:r>
      <w:r w:rsidRPr="00477CAA">
        <w:t>7</w:t>
      </w:r>
      <w:r w:rsidRPr="00477CAA">
        <w:rPr>
          <w:rFonts w:hint="eastAsia"/>
        </w:rPr>
        <w:tab/>
      </w:r>
      <w:r w:rsidRPr="00477CAA">
        <w:tab/>
        <w:t xml:space="preserve">In 1967, the National Archives and Records Centre Act was enacted to establish the National Archives and Records Centre </w:t>
      </w:r>
      <w:r>
        <w:t>"</w:t>
      </w:r>
      <w:r w:rsidRPr="00477CAA">
        <w:t>in which public records shall be stored and preserved</w:t>
      </w:r>
      <w:r>
        <w:t>"</w:t>
      </w:r>
      <w:r w:rsidRPr="00477CAA">
        <w:t xml:space="preserve">. </w:t>
      </w:r>
      <w:r>
        <w:t xml:space="preserve"> </w:t>
      </w:r>
      <w:r w:rsidRPr="00477CAA">
        <w:t>Under this now abolished regime, no public records were to be destroyed or otherwise disposed of without the authorisation of the Director of National Archives and Records.</w:t>
      </w:r>
      <w:r w:rsidRPr="00477CAA">
        <w:rPr>
          <w:rFonts w:hint="eastAsia"/>
        </w:rPr>
        <w:t xml:space="preserve"> </w:t>
      </w:r>
      <w:r w:rsidRPr="00477CAA">
        <w:t xml:space="preserve"> Any public records which had been more than 25 years old shall be transferred to the National Archives and Records Centre subject to exception.  The public could inspect public archives made available for the purpose of reference or research subject to possible conditions.</w:t>
      </w:r>
      <w:r w:rsidRPr="00477CAA">
        <w:rPr>
          <w:rStyle w:val="FootnoteReference"/>
          <w:rFonts w:cs="Arial"/>
        </w:rPr>
        <w:footnoteReference w:id="200"/>
      </w:r>
      <w:r w:rsidRPr="00477CAA">
        <w:t xml:space="preser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48</w:t>
      </w:r>
      <w:r w:rsidRPr="00477CAA">
        <w:rPr>
          <w:rFonts w:hint="eastAsia"/>
        </w:rPr>
        <w:tab/>
      </w:r>
      <w:r w:rsidRPr="00477CAA">
        <w:tab/>
        <w:t xml:space="preserve">In 1993, the National Archives and Records Centre Act was repealed. </w:t>
      </w:r>
      <w:r w:rsidRPr="00477CAA">
        <w:rPr>
          <w:rFonts w:hint="eastAsia"/>
        </w:rPr>
        <w:t xml:space="preserve"> </w:t>
      </w:r>
      <w:r w:rsidRPr="00477CAA">
        <w:t>In 1995, the NLB was established pursuant to the National Library Board Act (</w:t>
      </w:r>
      <w:r>
        <w:t>"</w:t>
      </w:r>
      <w:r w:rsidRPr="00477CAA">
        <w:rPr>
          <w:b/>
        </w:rPr>
        <w:t>NLBA</w:t>
      </w:r>
      <w:r>
        <w:t>"</w:t>
      </w:r>
      <w:r w:rsidRPr="00477CAA">
        <w:t>) to take over the duties of the National Library of Singapore.</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w:t>
      </w:r>
      <w:r w:rsidRPr="00477CAA">
        <w:t>49</w:t>
      </w:r>
      <w:r w:rsidRPr="00477CAA">
        <w:tab/>
      </w:r>
      <w:r w:rsidRPr="00477CAA">
        <w:tab/>
        <w:t>In 2013, following reorganisation of government ministries, the NAS was transferred to become a part of, and managed to this day by, the NLB</w:t>
      </w:r>
      <w:r w:rsidRPr="00477CAA">
        <w:rPr>
          <w:rStyle w:val="FootnoteReference"/>
          <w:rFonts w:cs="Arial"/>
        </w:rPr>
        <w:footnoteReference w:id="201"/>
      </w:r>
      <w:r w:rsidRPr="00477CAA">
        <w:t xml:space="preserve"> which also manages the National Library and 26 public libraries across Singapore.</w:t>
      </w:r>
      <w:r w:rsidRPr="00477CAA">
        <w:rPr>
          <w:rStyle w:val="FootnoteReference"/>
          <w:rFonts w:cs="Arial"/>
        </w:rPr>
        <w:footnoteReference w:id="202"/>
      </w:r>
      <w:r w:rsidRPr="00477CAA">
        <w:t xml:space="preserve">  </w:t>
      </w:r>
    </w:p>
    <w:p w:rsidR="00C0005C" w:rsidRPr="00477CAA" w:rsidRDefault="00C0005C" w:rsidP="00307F82">
      <w:pPr>
        <w:rPr>
          <w:rFonts w:cs="Arial"/>
          <w:i/>
        </w:rPr>
      </w:pPr>
    </w:p>
    <w:p w:rsidR="00C0005C" w:rsidRPr="00477CAA" w:rsidRDefault="00C0005C" w:rsidP="00307F82">
      <w:pPr>
        <w:pStyle w:val="Heading3"/>
      </w:pPr>
      <w:r w:rsidRPr="00477CAA">
        <w:lastRenderedPageBreak/>
        <w:t xml:space="preserve">An </w:t>
      </w:r>
      <w:r w:rsidRPr="00477CAA">
        <w:rPr>
          <w:rFonts w:hint="eastAsia"/>
        </w:rPr>
        <w:t>o</w:t>
      </w:r>
      <w:r w:rsidRPr="00477CAA">
        <w:t>verview of the NLBA</w:t>
      </w:r>
    </w:p>
    <w:p w:rsidR="00C0005C" w:rsidRPr="00477CAA" w:rsidRDefault="00C0005C" w:rsidP="00307F82">
      <w:pPr>
        <w:keepNext/>
        <w:rPr>
          <w:rFonts w:cs="Arial"/>
        </w:rPr>
      </w:pPr>
    </w:p>
    <w:p w:rsidR="00C0005C" w:rsidRPr="00477CAA" w:rsidRDefault="00C0005C" w:rsidP="00307F82">
      <w:r w:rsidRPr="00477CAA">
        <w:rPr>
          <w:rFonts w:hint="eastAsia"/>
        </w:rPr>
        <w:t>3.5</w:t>
      </w:r>
      <w:r w:rsidRPr="00477CAA">
        <w:t>0</w:t>
      </w:r>
      <w:r w:rsidRPr="00477CAA">
        <w:rPr>
          <w:rFonts w:hint="eastAsia"/>
        </w:rPr>
        <w:tab/>
      </w:r>
      <w:r w:rsidRPr="00477CAA">
        <w:tab/>
        <w:t>The current record-management regime under the NLBA whereby the NAS is managed by the NLB is, in many respects, not too dissimilar from the previous regime briefly summari</w:t>
      </w:r>
      <w:r w:rsidRPr="00477CAA">
        <w:rPr>
          <w:rFonts w:hint="eastAsia"/>
        </w:rPr>
        <w:t>s</w:t>
      </w:r>
      <w:r w:rsidRPr="00477CAA">
        <w:t xml:space="preserve">ed above.  </w:t>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1</w:t>
      </w:r>
      <w:r w:rsidRPr="00477CAA">
        <w:rPr>
          <w:rFonts w:hint="eastAsia"/>
        </w:rPr>
        <w:tab/>
      </w:r>
      <w:r w:rsidRPr="00477CAA">
        <w:tab/>
        <w:t>The NLB enjoys extensive functions and powers under the NLBA.</w:t>
      </w:r>
      <w:r w:rsidRPr="00477CAA">
        <w:rPr>
          <w:rStyle w:val="FootnoteReference"/>
          <w:rFonts w:cs="Arial"/>
        </w:rPr>
        <w:footnoteReference w:id="203"/>
      </w:r>
      <w:r w:rsidRPr="00477CAA">
        <w:t xml:space="preserve"> </w:t>
      </w:r>
      <w:r w:rsidRPr="00477CAA">
        <w:rPr>
          <w:rFonts w:hint="eastAsia"/>
        </w:rPr>
        <w:t xml:space="preserve"> </w:t>
      </w:r>
      <w:r w:rsidRPr="00477CAA">
        <w:t>Following the institutional reshuffle that brought the NAS within its management, the NLB has the following additional roles:-</w:t>
      </w:r>
    </w:p>
    <w:p w:rsidR="00C0005C" w:rsidRPr="00477CAA" w:rsidRDefault="00C0005C" w:rsidP="00307F82">
      <w:pPr>
        <w:pStyle w:val="ListParagraph"/>
        <w:ind w:left="0"/>
        <w:rPr>
          <w:rFonts w:cs="Arial"/>
        </w:rPr>
      </w:pPr>
    </w:p>
    <w:p w:rsidR="00C0005C" w:rsidRPr="00477CAA" w:rsidRDefault="00C0005C" w:rsidP="00307F82">
      <w:pPr>
        <w:ind w:left="1440" w:hanging="720"/>
        <w:rPr>
          <w:rFonts w:cs="Arial"/>
        </w:rPr>
      </w:pPr>
      <w:r w:rsidRPr="00477CAA">
        <w:rPr>
          <w:rFonts w:cs="Arial" w:hint="eastAsia"/>
        </w:rPr>
        <w:t>(i)</w:t>
      </w:r>
      <w:r w:rsidRPr="00477CAA">
        <w:rPr>
          <w:rFonts w:cs="Arial"/>
        </w:rPr>
        <w:tab/>
      </w:r>
      <w:r>
        <w:rPr>
          <w:rFonts w:cs="Arial"/>
        </w:rPr>
        <w:t>shall</w:t>
      </w:r>
      <w:r w:rsidRPr="00477CAA">
        <w:rPr>
          <w:rFonts w:cs="Arial"/>
        </w:rPr>
        <w:t xml:space="preserve"> examine the public records in any public office and advise that office as to their care and custody;</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(ii)</w:t>
      </w:r>
      <w:r w:rsidRPr="00477CAA">
        <w:rPr>
          <w:rFonts w:cs="Arial"/>
        </w:rPr>
        <w:tab/>
      </w:r>
      <w:r>
        <w:rPr>
          <w:rFonts w:cs="Arial"/>
        </w:rPr>
        <w:t>shall</w:t>
      </w:r>
      <w:r w:rsidRPr="00477CAA">
        <w:rPr>
          <w:rFonts w:cs="Arial"/>
        </w:rPr>
        <w:t xml:space="preserve"> take necessary measures to classify, identify, preserve and restore public records;</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(iii)</w:t>
      </w:r>
      <w:r w:rsidRPr="00477CAA">
        <w:rPr>
          <w:rFonts w:cs="Arial"/>
        </w:rPr>
        <w:tab/>
      </w:r>
      <w:r>
        <w:rPr>
          <w:rFonts w:cs="Arial"/>
        </w:rPr>
        <w:t>shall</w:t>
      </w:r>
      <w:r w:rsidRPr="00477CAA">
        <w:rPr>
          <w:rFonts w:cs="Arial"/>
        </w:rPr>
        <w:t xml:space="preserve"> make known information concerning archives by any means, including publications, exhibitions and heritage promotional activities;</w:t>
      </w:r>
    </w:p>
    <w:p w:rsidR="00C0005C" w:rsidRPr="00477CAA" w:rsidRDefault="00C0005C" w:rsidP="00307F82">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(iv)</w:t>
      </w:r>
      <w:r w:rsidRPr="00477CAA">
        <w:rPr>
          <w:rFonts w:cs="Arial"/>
        </w:rPr>
        <w:tab/>
        <w:t>shall conduct a records management programme for the efficient creation, utilisation, maintenance, retention, preservation and disposal of public records;</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(v)</w:t>
      </w:r>
      <w:r w:rsidRPr="00477CAA">
        <w:rPr>
          <w:rFonts w:cs="Arial"/>
        </w:rPr>
        <w:tab/>
        <w:t>shall advise public offices concerning standards and procedures pertaining to the management of public records;</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(vi)</w:t>
      </w:r>
      <w:r w:rsidRPr="00477CAA">
        <w:rPr>
          <w:rFonts w:cs="Arial"/>
        </w:rPr>
        <w:tab/>
        <w:t>may provide information, consultation, research and other services related to archives;</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(vii)</w:t>
      </w:r>
      <w:r w:rsidRPr="00477CAA">
        <w:rPr>
          <w:rFonts w:cs="Arial"/>
        </w:rPr>
        <w:tab/>
        <w:t>may, subject to the terms and conditions, if any, on which the public archives were acquired, reproduce or publish any public archives; and</w:t>
      </w:r>
    </w:p>
    <w:p w:rsidR="00C0005C" w:rsidRPr="00477CAA" w:rsidRDefault="00C0005C">
      <w:pPr>
        <w:pStyle w:val="ListParagraph"/>
        <w:ind w:left="1440" w:hanging="720"/>
        <w:rPr>
          <w:rFonts w:cs="Arial"/>
        </w:rPr>
      </w:pPr>
    </w:p>
    <w:p w:rsidR="00C0005C" w:rsidRPr="00477CAA" w:rsidRDefault="00C0005C" w:rsidP="00307F82">
      <w:pPr>
        <w:ind w:left="1440" w:hanging="720"/>
        <w:rPr>
          <w:rFonts w:cs="Arial"/>
        </w:rPr>
      </w:pPr>
      <w:r w:rsidRPr="00477CAA">
        <w:rPr>
          <w:rFonts w:cs="Arial" w:hint="eastAsia"/>
        </w:rPr>
        <w:t>(viii)</w:t>
      </w:r>
      <w:r w:rsidRPr="00477CAA">
        <w:rPr>
          <w:rFonts w:cs="Arial"/>
        </w:rPr>
        <w:tab/>
        <w:t>may acquire by purchase, donations, bequest or otherwise any document, book or other material which, in the opinion of the NLB, is or is likely to be of national or historical significance.</w:t>
      </w:r>
      <w:r w:rsidRPr="00477CAA">
        <w:rPr>
          <w:rStyle w:val="FootnoteReference"/>
          <w:rFonts w:cs="Arial"/>
        </w:rPr>
        <w:footnoteReference w:id="204"/>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2</w:t>
      </w:r>
      <w:r w:rsidRPr="00477CAA">
        <w:rPr>
          <w:rFonts w:hint="eastAsia"/>
        </w:rPr>
        <w:tab/>
      </w:r>
      <w:r w:rsidRPr="00477CAA">
        <w:t>However, the general management and control of the NAS shall be the responsibility of the Director of NAS, who is appointed from among the officers of the NLB.</w:t>
      </w:r>
      <w:r w:rsidRPr="00477CAA">
        <w:rPr>
          <w:rStyle w:val="FootnoteReference"/>
          <w:rFonts w:cs="Arial"/>
        </w:rPr>
        <w:footnoteReference w:id="205"/>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3</w:t>
      </w:r>
      <w:r w:rsidRPr="00477CAA">
        <w:rPr>
          <w:rFonts w:hint="eastAsia"/>
        </w:rPr>
        <w:tab/>
      </w:r>
      <w:r w:rsidRPr="00477CAA">
        <w:t xml:space="preserve">Section 2 of the NLBA defines the key terms.  </w:t>
      </w:r>
      <w:r>
        <w:t>"</w:t>
      </w:r>
      <w:r w:rsidRPr="00477CAA">
        <w:rPr>
          <w:i/>
        </w:rPr>
        <w:t>Public records</w:t>
      </w:r>
      <w:r>
        <w:t>"</w:t>
      </w:r>
      <w:r w:rsidRPr="00477CAA">
        <w:t xml:space="preserve"> is defined to cover papers, documents, records, and specifically includes </w:t>
      </w:r>
      <w:r>
        <w:lastRenderedPageBreak/>
        <w:t>"</w:t>
      </w:r>
      <w:r w:rsidRPr="00477CAA">
        <w:rPr>
          <w:i/>
        </w:rPr>
        <w:t>electronic records, sound recordings and other forms of records of any kind whatsoever, that are produced or received by any public office in the transaction of official business, or by any officer in the course of his official duties, and includes public archives</w:t>
      </w:r>
      <w:r w:rsidRPr="00477CAA">
        <w:t>.</w:t>
      </w:r>
      <w:r>
        <w:t>"</w:t>
      </w:r>
      <w:r w:rsidRPr="00477CAA">
        <w:t xml:space="preserve">  </w:t>
      </w:r>
      <w:r>
        <w:t>"</w:t>
      </w:r>
      <w:r w:rsidRPr="00477CAA">
        <w:rPr>
          <w:i/>
        </w:rPr>
        <w:t>Public archives</w:t>
      </w:r>
      <w:r>
        <w:t>"</w:t>
      </w:r>
      <w:r w:rsidRPr="00477CAA">
        <w:t xml:space="preserve"> are public records which are more than 25 years old, are specified by the NLB as being of national or historical significance and have been transferred to the NLB or such other place as the NLB may determine. </w:t>
      </w:r>
      <w:r w:rsidRPr="00477CAA">
        <w:rPr>
          <w:rFonts w:hint="eastAsia"/>
        </w:rPr>
        <w:t xml:space="preserve"> </w:t>
      </w:r>
      <w:r w:rsidRPr="00477CAA">
        <w:t xml:space="preserve">The term </w:t>
      </w:r>
      <w:r>
        <w:t>"</w:t>
      </w:r>
      <w:r w:rsidRPr="00477CAA">
        <w:rPr>
          <w:i/>
        </w:rPr>
        <w:t>public office</w:t>
      </w:r>
      <w:r>
        <w:t>"</w:t>
      </w:r>
      <w:r w:rsidRPr="00477CAA">
        <w:t xml:space="preserve"> is also defined widely.</w:t>
      </w:r>
      <w:r w:rsidRPr="00477CAA">
        <w:rPr>
          <w:rStyle w:val="FootnoteReference"/>
          <w:rFonts w:cs="Arial"/>
        </w:rPr>
        <w:footnoteReference w:id="206"/>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4</w:t>
      </w:r>
      <w:r w:rsidRPr="00477CAA">
        <w:rPr>
          <w:rFonts w:hint="eastAsia"/>
        </w:rPr>
        <w:tab/>
      </w:r>
      <w:r w:rsidRPr="00477CAA">
        <w:tab/>
        <w:t>Similar to the old regime, no public records are to be destroyed or otherwise disposed of without the authori</w:t>
      </w:r>
      <w:r w:rsidRPr="00477CAA">
        <w:rPr>
          <w:rFonts w:hint="eastAsia"/>
        </w:rPr>
        <w:t>s</w:t>
      </w:r>
      <w:r w:rsidRPr="00477CAA">
        <w:t>ation of the NLB which may authorise the destruction of any specified classes of public records which by reason of their number, kind or routine nature do not in its opinion possess any enduring value for preservation as public archives.</w:t>
      </w:r>
      <w:r w:rsidRPr="00477CAA">
        <w:rPr>
          <w:rStyle w:val="FootnoteReference"/>
          <w:rFonts w:cs="Arial"/>
        </w:rPr>
        <w:footnoteReference w:id="207"/>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5</w:t>
      </w:r>
      <w:r w:rsidRPr="00477CAA">
        <w:rPr>
          <w:rFonts w:hint="eastAsia"/>
        </w:rPr>
        <w:tab/>
      </w:r>
      <w:r w:rsidRPr="00477CAA">
        <w:tab/>
        <w:t>Any public records which, in the opinion of the NLB, are of national or historical significance shall be transferred to the care and control of the NAS in accordance with such schedules or other agreements as may be agreed on between the NLB and the public office responsible for the public records.</w:t>
      </w:r>
      <w:r w:rsidRPr="00477CAA">
        <w:rPr>
          <w:rStyle w:val="FootnoteReference"/>
          <w:rFonts w:cs="Arial"/>
        </w:rPr>
        <w:footnoteReference w:id="208"/>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6</w:t>
      </w:r>
      <w:r w:rsidRPr="00477CAA">
        <w:rPr>
          <w:rFonts w:hint="eastAsia"/>
        </w:rPr>
        <w:tab/>
      </w:r>
      <w:r w:rsidRPr="00477CAA">
        <w:tab/>
        <w:t>Under the NLBA, public archives or recordings made available to the public may be inspected by any person for the purpose of reference or research subject to some possible conditions.</w:t>
      </w:r>
      <w:r w:rsidRPr="00477CAA">
        <w:rPr>
          <w:rStyle w:val="FootnoteReference"/>
          <w:rFonts w:cs="Arial"/>
        </w:rPr>
        <w:footnoteReference w:id="209"/>
      </w:r>
    </w:p>
    <w:p w:rsidR="00C0005C" w:rsidRPr="00477CAA" w:rsidRDefault="00C0005C" w:rsidP="00307F82">
      <w:pPr>
        <w:pStyle w:val="ListParagraph"/>
        <w:ind w:left="0"/>
        <w:rPr>
          <w:rFonts w:cs="Arial"/>
        </w:rPr>
      </w:pPr>
    </w:p>
    <w:p w:rsidR="00C0005C" w:rsidRPr="00477CAA" w:rsidRDefault="00C0005C" w:rsidP="00307F82">
      <w:r w:rsidRPr="00477CAA">
        <w:rPr>
          <w:rFonts w:hint="eastAsia"/>
        </w:rPr>
        <w:t>3.5</w:t>
      </w:r>
      <w:r w:rsidRPr="00477CAA">
        <w:t>7</w:t>
      </w:r>
      <w:r w:rsidRPr="00477CAA">
        <w:rPr>
          <w:rFonts w:hint="eastAsia"/>
        </w:rPr>
        <w:tab/>
      </w:r>
      <w:r w:rsidRPr="00477CAA">
        <w:tab/>
        <w:t>Miscellaneous provisions in the NLBA related to the NAS include provisions prohibiting unauthori</w:t>
      </w:r>
      <w:r w:rsidRPr="00477CAA">
        <w:rPr>
          <w:rFonts w:hint="eastAsia"/>
        </w:rPr>
        <w:t>s</w:t>
      </w:r>
      <w:r w:rsidRPr="00477CAA">
        <w:t>ed publication, reproduction,</w:t>
      </w:r>
      <w:r w:rsidRPr="00477CAA">
        <w:rPr>
          <w:rStyle w:val="FootnoteReference"/>
          <w:rFonts w:cs="Arial"/>
        </w:rPr>
        <w:footnoteReference w:id="210"/>
      </w:r>
      <w:r w:rsidRPr="00477CAA">
        <w:t xml:space="preserve"> export, and mutilation</w:t>
      </w:r>
      <w:r w:rsidRPr="00477CAA">
        <w:rPr>
          <w:rStyle w:val="FootnoteReference"/>
          <w:rFonts w:cs="Arial"/>
        </w:rPr>
        <w:footnoteReference w:id="211"/>
      </w:r>
      <w:r w:rsidRPr="00477CAA">
        <w:t xml:space="preserve"> of public records. </w:t>
      </w:r>
      <w:r w:rsidRPr="00477CAA">
        <w:rPr>
          <w:rFonts w:hint="eastAsia"/>
        </w:rPr>
        <w:t xml:space="preserve"> </w:t>
      </w:r>
    </w:p>
    <w:p w:rsidR="00C0005C" w:rsidRPr="00E2600D" w:rsidRDefault="00C0005C" w:rsidP="00E2600D">
      <w:pPr>
        <w:pStyle w:val="ListParagraph"/>
        <w:ind w:left="0"/>
        <w:rPr>
          <w:rFonts w:cs="Arial"/>
          <w:lang w:val="en-US"/>
        </w:rPr>
      </w:pPr>
    </w:p>
    <w:p w:rsidR="00C0005C" w:rsidRPr="00477CAA" w:rsidRDefault="00C0005C" w:rsidP="00307F82">
      <w:pPr>
        <w:pStyle w:val="ListParagraph"/>
        <w:ind w:left="0"/>
        <w:rPr>
          <w:rFonts w:cs="Arial"/>
        </w:rPr>
      </w:pPr>
    </w:p>
    <w:p w:rsidR="00E2600D" w:rsidRDefault="00E2600D" w:rsidP="00307F82">
      <w:pPr>
        <w:pStyle w:val="ListParagraph"/>
        <w:ind w:left="0"/>
        <w:rPr>
          <w:rFonts w:cs="Arial"/>
        </w:rPr>
        <w:sectPr w:rsidR="00E2600D" w:rsidSect="0099054B">
          <w:footerReference w:type="default" r:id="rId18"/>
          <w:footnotePr>
            <w:numStart w:val="49"/>
            <w:numRestart w:val="eachSect"/>
          </w:footnotePr>
          <w:pgSz w:w="11906" w:h="16838" w:code="9"/>
          <w:pgMar w:top="1440" w:right="1800" w:bottom="1440" w:left="1800" w:header="720" w:footer="720" w:gutter="0"/>
          <w:cols w:space="425"/>
          <w:docGrid w:type="linesAndChars" w:linePitch="360"/>
        </w:sectPr>
      </w:pPr>
    </w:p>
    <w:p w:rsidR="00E2600D" w:rsidRPr="00BE52E0" w:rsidRDefault="00E2600D" w:rsidP="00B527B9">
      <w:pPr>
        <w:pStyle w:val="Heading1"/>
      </w:pPr>
      <w:r w:rsidRPr="00BE52E0">
        <w:lastRenderedPageBreak/>
        <w:t>Chapter 4</w:t>
      </w:r>
    </w:p>
    <w:p w:rsidR="00E2600D" w:rsidRPr="00BE52E0" w:rsidRDefault="00E2600D" w:rsidP="00B527B9">
      <w:pPr>
        <w:rPr>
          <w:rFonts w:cs="Arial"/>
          <w:b/>
          <w:sz w:val="32"/>
          <w:szCs w:val="32"/>
          <w:shd w:val="clear" w:color="auto" w:fill="FFFF99"/>
        </w:rPr>
      </w:pPr>
    </w:p>
    <w:p w:rsidR="00E2600D" w:rsidRPr="00B527B9" w:rsidRDefault="00E2600D" w:rsidP="00B527B9">
      <w:pPr>
        <w:pStyle w:val="Heading1"/>
        <w:rPr>
          <w:shd w:val="clear" w:color="auto" w:fill="FFFFFF"/>
        </w:rPr>
      </w:pPr>
      <w:r w:rsidRPr="00B527B9">
        <w:rPr>
          <w:shd w:val="clear" w:color="auto" w:fill="FFFFFF"/>
        </w:rPr>
        <w:t>Governance of GRS</w:t>
      </w:r>
    </w:p>
    <w:p w:rsidR="00E2600D" w:rsidRPr="00BE52E0" w:rsidRDefault="00E2600D" w:rsidP="00B527B9">
      <w:pPr>
        <w:rPr>
          <w:rFonts w:cs="Arial"/>
          <w:b/>
          <w:u w:val="single"/>
        </w:rPr>
      </w:pPr>
      <w:r w:rsidRPr="00BE52E0">
        <w:rPr>
          <w:rFonts w:cs="Arial"/>
          <w:b/>
          <w:u w:val="single"/>
        </w:rPr>
        <w:t>_______________________</w:t>
      </w:r>
      <w:r w:rsidRPr="00BE52E0">
        <w:rPr>
          <w:rFonts w:cs="Arial" w:hint="eastAsia"/>
          <w:b/>
          <w:u w:val="single"/>
        </w:rPr>
        <w:t>__</w:t>
      </w:r>
    </w:p>
    <w:p w:rsidR="00E2600D" w:rsidRPr="00BE52E0" w:rsidRDefault="00E2600D" w:rsidP="00B527B9">
      <w:pPr>
        <w:rPr>
          <w:rFonts w:cs="Arial"/>
        </w:rPr>
      </w:pPr>
    </w:p>
    <w:p w:rsidR="00E2600D" w:rsidRPr="00BE52E0" w:rsidRDefault="00E2600D" w:rsidP="00B527B9">
      <w:pPr>
        <w:rPr>
          <w:rFonts w:cs="Arial"/>
        </w:rPr>
      </w:pPr>
    </w:p>
    <w:p w:rsidR="00E2600D" w:rsidRPr="00BE52E0" w:rsidRDefault="00E2600D" w:rsidP="00B527B9">
      <w:pPr>
        <w:rPr>
          <w:rFonts w:cs="Arial"/>
          <w:b/>
        </w:rPr>
      </w:pPr>
    </w:p>
    <w:p w:rsidR="00E2600D" w:rsidRPr="00BE52E0" w:rsidRDefault="00E2600D" w:rsidP="00B527B9">
      <w:pPr>
        <w:pStyle w:val="Heading2"/>
      </w:pPr>
      <w:r w:rsidRPr="00BE52E0">
        <w:t>Introduction</w:t>
      </w:r>
    </w:p>
    <w:p w:rsidR="00E2600D" w:rsidRPr="00BE52E0" w:rsidRDefault="00E2600D" w:rsidP="00B527B9">
      <w:pPr>
        <w:rPr>
          <w:rFonts w:cs="Arial"/>
          <w:u w:val="single"/>
        </w:rPr>
      </w:pPr>
    </w:p>
    <w:p w:rsidR="00E2600D" w:rsidRPr="00BE52E0" w:rsidRDefault="00E2600D" w:rsidP="00B527B9">
      <w:r w:rsidRPr="00BE52E0">
        <w:t>4.1</w:t>
      </w:r>
      <w:r w:rsidRPr="00BE52E0">
        <w:tab/>
      </w:r>
      <w:r w:rsidRPr="00BE52E0">
        <w:tab/>
        <w:t xml:space="preserve">A perceived </w:t>
      </w:r>
      <w:r w:rsidRPr="00BE52E0">
        <w:rPr>
          <w:rFonts w:hint="eastAsia"/>
          <w:lang w:eastAsia="zh-HK"/>
        </w:rPr>
        <w:t xml:space="preserve">inadequacy </w:t>
      </w:r>
      <w:r w:rsidRPr="00BE52E0">
        <w:t xml:space="preserve">of the public records management system in Hong Kong is that the GRS is not sufficiently authoritative, and that it lacks the support of an advisory body in carrying out its mission to ensure proper management of government records.  In this chapter, we first examine these comments on the governance of the GRS and also the systems and practices in other comparable jurisdictions before setting out some questions to seek views from the public on the subject.  </w:t>
      </w:r>
    </w:p>
    <w:p w:rsidR="00E2600D" w:rsidRPr="00BE52E0" w:rsidRDefault="00E2600D" w:rsidP="00B527B9">
      <w:pPr>
        <w:rPr>
          <w:rFonts w:cs="Arial"/>
        </w:rPr>
      </w:pPr>
    </w:p>
    <w:p w:rsidR="00E2600D" w:rsidRPr="00BE52E0" w:rsidRDefault="00E2600D" w:rsidP="00B527B9">
      <w:pPr>
        <w:rPr>
          <w:rFonts w:cs="Arial"/>
          <w:b/>
          <w:u w:val="single"/>
        </w:rPr>
      </w:pPr>
    </w:p>
    <w:p w:rsidR="00E2600D" w:rsidRPr="00BE52E0" w:rsidRDefault="00E2600D" w:rsidP="00B527B9">
      <w:pPr>
        <w:pStyle w:val="Heading2"/>
      </w:pPr>
      <w:r w:rsidRPr="00BE52E0">
        <w:t xml:space="preserve">Comments on the </w:t>
      </w:r>
      <w:r w:rsidRPr="00BE52E0">
        <w:rPr>
          <w:rFonts w:hint="eastAsia"/>
        </w:rPr>
        <w:t>g</w:t>
      </w:r>
      <w:r w:rsidRPr="00BE52E0">
        <w:t xml:space="preserve">overnance of the GRS </w:t>
      </w:r>
    </w:p>
    <w:p w:rsidR="00E2600D" w:rsidRPr="00BE52E0" w:rsidRDefault="00E2600D" w:rsidP="00B527B9">
      <w:pPr>
        <w:rPr>
          <w:rFonts w:cs="Arial"/>
        </w:rPr>
      </w:pPr>
    </w:p>
    <w:p w:rsidR="00E2600D" w:rsidRPr="00BE52E0" w:rsidRDefault="00E2600D" w:rsidP="00B527B9">
      <w:r w:rsidRPr="00BE52E0">
        <w:t>4.2</w:t>
      </w:r>
      <w:r w:rsidRPr="00BE52E0">
        <w:tab/>
      </w:r>
      <w:r w:rsidRPr="00BE52E0">
        <w:tab/>
        <w:t>Currently, the GRS is under the auspices of the Administration Wing of the Chief Secretary for Administration</w:t>
      </w:r>
      <w:r>
        <w:t>'</w:t>
      </w:r>
      <w:r w:rsidRPr="00BE52E0">
        <w:t xml:space="preserve">s Office. </w:t>
      </w:r>
      <w:r w:rsidRPr="00BE52E0">
        <w:rPr>
          <w:rFonts w:hint="eastAsia"/>
        </w:rPr>
        <w:t xml:space="preserve"> </w:t>
      </w:r>
      <w:r w:rsidRPr="00BE52E0">
        <w:t>Institutionally, no external body provides advice to the GRS on matters such as the disposal of records or other matters relating to government records management generally.</w:t>
      </w:r>
      <w:r w:rsidRPr="00BE52E0">
        <w:rPr>
          <w:rStyle w:val="FootnoteReference"/>
          <w:rFonts w:cs="Arial"/>
        </w:rPr>
        <w:footnoteReference w:id="212"/>
      </w:r>
      <w:r w:rsidRPr="00BE52E0">
        <w:t xml:space="preserve"> </w:t>
      </w:r>
    </w:p>
    <w:p w:rsidR="00E2600D" w:rsidRPr="00BE52E0" w:rsidRDefault="00E2600D" w:rsidP="00B527B9">
      <w:pPr>
        <w:pStyle w:val="ListParagraph"/>
        <w:rPr>
          <w:rFonts w:cs="Arial"/>
        </w:rPr>
      </w:pPr>
    </w:p>
    <w:p w:rsidR="00E2600D" w:rsidRPr="00BE52E0" w:rsidRDefault="00E2600D" w:rsidP="00B527B9">
      <w:pPr>
        <w:autoSpaceDE w:val="0"/>
        <w:autoSpaceDN w:val="0"/>
        <w:ind w:hanging="1"/>
        <w:rPr>
          <w:rFonts w:cs="Arial"/>
          <w:i/>
        </w:rPr>
      </w:pPr>
      <w:r w:rsidRPr="00BE52E0">
        <w:t xml:space="preserve">4.3 </w:t>
      </w:r>
      <w:r w:rsidRPr="00BE52E0">
        <w:tab/>
      </w:r>
      <w:r w:rsidRPr="00BE52E0">
        <w:tab/>
        <w:t>Having noted that the national archives in Australia, England, and New Zealand, being a part of the government, can consult an external independent advisory body which is required to report its work to the public annually,</w:t>
      </w:r>
      <w:r w:rsidRPr="00BE52E0">
        <w:rPr>
          <w:rStyle w:val="FootnoteReference"/>
          <w:rFonts w:cs="Arial"/>
        </w:rPr>
        <w:footnoteReference w:id="213"/>
      </w:r>
      <w:r w:rsidRPr="00BE52E0">
        <w:t xml:space="preserve"> The Ombudsman has made the following observation:- </w:t>
      </w:r>
    </w:p>
    <w:p w:rsidR="00E2600D" w:rsidRPr="00BE52E0" w:rsidRDefault="00E2600D" w:rsidP="00B527B9">
      <w:pPr>
        <w:pStyle w:val="BlockText"/>
      </w:pPr>
    </w:p>
    <w:p w:rsidR="00E2600D" w:rsidRPr="00BE52E0" w:rsidRDefault="00E2600D" w:rsidP="00B527B9">
      <w:pPr>
        <w:pStyle w:val="BlockText"/>
      </w:pPr>
      <w:r w:rsidRPr="00E202C4">
        <w:rPr>
          <w:i w:val="0"/>
        </w:rPr>
        <w:t>"</w:t>
      </w:r>
      <w:r w:rsidRPr="00BE52E0">
        <w:t xml:space="preserve">GRS and Adm[inistration] Wing currently have absolute power to determine the fate of records. </w:t>
      </w:r>
      <w:r w:rsidRPr="00BE52E0">
        <w:rPr>
          <w:rFonts w:hint="eastAsia"/>
        </w:rPr>
        <w:t xml:space="preserve"> </w:t>
      </w:r>
      <w:r w:rsidRPr="00BE52E0">
        <w:t xml:space="preserve">By the time their decisions are called in question, the evidence required for verifying their decisions ie the records themselves, may have already been destroyed. </w:t>
      </w:r>
      <w:r w:rsidRPr="00BE52E0">
        <w:rPr>
          <w:rFonts w:hint="eastAsia"/>
        </w:rPr>
        <w:t xml:space="preserve"> </w:t>
      </w:r>
      <w:r w:rsidRPr="00BE52E0">
        <w:t xml:space="preserve">It is, therefore, imperative for a system to be established such that GRS regularly takes advice from an independent body. </w:t>
      </w:r>
      <w:r w:rsidRPr="00BE52E0">
        <w:rPr>
          <w:rFonts w:hint="eastAsia"/>
        </w:rPr>
        <w:t xml:space="preserve"> </w:t>
      </w:r>
      <w:r w:rsidRPr="00BE52E0">
        <w:t>The setting up of such an advisory body would enable public engagement and scrutiny, and would help command more public confidence in Hong Kong</w:t>
      </w:r>
      <w:r>
        <w:t>'</w:t>
      </w:r>
      <w:r w:rsidRPr="00BE52E0">
        <w:t>s public records management system.</w:t>
      </w:r>
      <w:r w:rsidRPr="00E202C4">
        <w:rPr>
          <w:i w:val="0"/>
        </w:rPr>
        <w:t>"</w:t>
      </w:r>
      <w:r w:rsidRPr="00BE52E0">
        <w:rPr>
          <w:spacing w:val="-20"/>
        </w:rPr>
        <w:t xml:space="preserve"> </w:t>
      </w:r>
      <w:r w:rsidRPr="00BE52E0">
        <w:rPr>
          <w:rStyle w:val="FootnoteReference"/>
          <w:rFonts w:cs="Arial"/>
        </w:rPr>
        <w:footnoteReference w:id="214"/>
      </w:r>
    </w:p>
    <w:p w:rsidR="00E2600D" w:rsidRPr="00BE52E0" w:rsidRDefault="00E2600D" w:rsidP="00B527B9">
      <w:pPr>
        <w:rPr>
          <w:rFonts w:cs="Arial"/>
        </w:rPr>
      </w:pPr>
    </w:p>
    <w:p w:rsidR="00E2600D" w:rsidRPr="00BE52E0" w:rsidRDefault="00E2600D" w:rsidP="00B527B9">
      <w:pPr>
        <w:rPr>
          <w:rFonts w:cs="Arial"/>
        </w:rPr>
      </w:pPr>
    </w:p>
    <w:p w:rsidR="00E2600D" w:rsidRPr="00BE52E0" w:rsidRDefault="00E2600D" w:rsidP="00B527B9">
      <w:pPr>
        <w:pStyle w:val="Heading2"/>
        <w:rPr>
          <w:lang w:val="en-US"/>
        </w:rPr>
      </w:pPr>
      <w:r w:rsidRPr="00BE52E0">
        <w:lastRenderedPageBreak/>
        <w:t xml:space="preserve">Other </w:t>
      </w:r>
      <w:r w:rsidRPr="00BE52E0">
        <w:rPr>
          <w:rFonts w:hint="eastAsia"/>
        </w:rPr>
        <w:t>j</w:t>
      </w:r>
      <w:r w:rsidRPr="00BE52E0">
        <w:t>urisdictions</w:t>
      </w:r>
    </w:p>
    <w:p w:rsidR="00E2600D" w:rsidRPr="00BE52E0" w:rsidRDefault="00E2600D" w:rsidP="00B527B9">
      <w:pPr>
        <w:rPr>
          <w:rFonts w:cs="Arial"/>
          <w:b/>
        </w:rPr>
      </w:pPr>
    </w:p>
    <w:p w:rsidR="00E2600D" w:rsidRPr="00BE52E0" w:rsidRDefault="00E2600D" w:rsidP="00B527B9">
      <w:pPr>
        <w:pStyle w:val="Heading3"/>
      </w:pPr>
      <w:r w:rsidRPr="00BE52E0">
        <w:t xml:space="preserve">Australia </w:t>
      </w:r>
    </w:p>
    <w:p w:rsidR="00E2600D" w:rsidRPr="00BE52E0" w:rsidRDefault="00E2600D" w:rsidP="00B527B9">
      <w:pPr>
        <w:rPr>
          <w:rFonts w:cs="Arial"/>
        </w:rPr>
      </w:pPr>
    </w:p>
    <w:p w:rsidR="00E2600D" w:rsidRPr="00BE52E0" w:rsidRDefault="00E2600D" w:rsidP="00B527B9">
      <w:r w:rsidRPr="00BE52E0">
        <w:t>4.4</w:t>
      </w:r>
      <w:r w:rsidRPr="00BE52E0">
        <w:tab/>
      </w:r>
      <w:r w:rsidRPr="00BE52E0">
        <w:tab/>
        <w:t>Established under the 1983 Act, the NAA is an executive agency</w:t>
      </w:r>
      <w:r w:rsidRPr="00BE52E0">
        <w:rPr>
          <w:rStyle w:val="FootnoteReference"/>
          <w:rFonts w:cs="Arial"/>
        </w:rPr>
        <w:footnoteReference w:id="215"/>
      </w:r>
      <w:r w:rsidRPr="00BE52E0">
        <w:t xml:space="preserve"> of the Australian government administered by the Director-General under the direction of the Minister, who is currently the Attorney General.</w:t>
      </w:r>
      <w:r w:rsidRPr="00BE52E0">
        <w:rPr>
          <w:rStyle w:val="FootnoteReference"/>
          <w:rFonts w:cs="Arial"/>
        </w:rPr>
        <w:footnoteReference w:id="216"/>
      </w:r>
      <w:r w:rsidRPr="00BE52E0">
        <w:t xml:space="preserve">   </w:t>
      </w:r>
    </w:p>
    <w:p w:rsidR="00E2600D" w:rsidRPr="00BE52E0" w:rsidRDefault="00E2600D" w:rsidP="00B527B9">
      <w:pPr>
        <w:rPr>
          <w:rFonts w:cs="Arial"/>
        </w:rPr>
      </w:pPr>
    </w:p>
    <w:p w:rsidR="00E2600D" w:rsidRPr="00BE52E0" w:rsidRDefault="00E2600D" w:rsidP="00B527B9">
      <w:r w:rsidRPr="00BE52E0">
        <w:t>4.5</w:t>
      </w:r>
      <w:r w:rsidRPr="00BE52E0">
        <w:tab/>
      </w:r>
      <w:r w:rsidRPr="00BE52E0">
        <w:tab/>
        <w:t>The 1983 Act provides for the establishment of an advisory council, namely the NAAAC (ie National Archives of Australia Advisory Council), to advise the Minister and the Director-General on matters relating to the NAA</w:t>
      </w:r>
      <w:r>
        <w:t>'</w:t>
      </w:r>
      <w:r w:rsidRPr="00BE52E0">
        <w:t>s functions either of NAAAC</w:t>
      </w:r>
      <w:r>
        <w:t>'</w:t>
      </w:r>
      <w:r w:rsidRPr="00BE52E0">
        <w:t>s own motion or upon referral by the Minister or the Director-General.</w:t>
      </w:r>
      <w:r w:rsidRPr="00BE52E0">
        <w:rPr>
          <w:rStyle w:val="FootnoteReference"/>
          <w:rFonts w:cs="Arial"/>
        </w:rPr>
        <w:footnoteReference w:id="217"/>
      </w:r>
      <w:r w:rsidRPr="00BE52E0">
        <w:t xml:space="preserve">  </w:t>
      </w:r>
    </w:p>
    <w:p w:rsidR="00E2600D" w:rsidRPr="00BE52E0" w:rsidRDefault="00E2600D" w:rsidP="00B527B9">
      <w:pPr>
        <w:rPr>
          <w:rFonts w:cs="Arial"/>
        </w:rPr>
      </w:pPr>
    </w:p>
    <w:p w:rsidR="00E2600D" w:rsidRPr="00BE52E0" w:rsidRDefault="00E2600D" w:rsidP="00B527B9">
      <w:r w:rsidRPr="00BE52E0">
        <w:t>4.6</w:t>
      </w:r>
      <w:r w:rsidRPr="00BE52E0">
        <w:tab/>
      </w:r>
      <w:r w:rsidRPr="00BE52E0">
        <w:tab/>
        <w:t>The NAAAC is required to submit annual report to the Minister, who shall cause a copy of it to be laid before each House of the Parliament.</w:t>
      </w:r>
      <w:r w:rsidRPr="00BE52E0">
        <w:rPr>
          <w:rStyle w:val="FootnoteReference"/>
          <w:rFonts w:cs="Arial"/>
        </w:rPr>
        <w:footnoteReference w:id="218"/>
      </w:r>
    </w:p>
    <w:p w:rsidR="00E2600D" w:rsidRPr="00BE52E0" w:rsidRDefault="00E2600D" w:rsidP="00B527B9">
      <w:pPr>
        <w:rPr>
          <w:rFonts w:cs="Arial"/>
        </w:rPr>
      </w:pPr>
    </w:p>
    <w:p w:rsidR="00E2600D" w:rsidRPr="00BE52E0" w:rsidRDefault="00E2600D" w:rsidP="00B527B9">
      <w:pPr>
        <w:rPr>
          <w:rFonts w:cs="Arial"/>
        </w:rPr>
      </w:pPr>
    </w:p>
    <w:p w:rsidR="00E2600D" w:rsidRPr="00BE52E0" w:rsidRDefault="00E2600D" w:rsidP="00B527B9">
      <w:pPr>
        <w:pStyle w:val="Heading3"/>
      </w:pPr>
      <w:r w:rsidRPr="00BE52E0">
        <w:t xml:space="preserve">England  </w:t>
      </w:r>
    </w:p>
    <w:p w:rsidR="00E2600D" w:rsidRPr="00BE52E0" w:rsidRDefault="00E2600D" w:rsidP="00B527B9">
      <w:pPr>
        <w:rPr>
          <w:rFonts w:cs="Arial"/>
        </w:rPr>
      </w:pPr>
    </w:p>
    <w:p w:rsidR="00E2600D" w:rsidRPr="00BE52E0" w:rsidRDefault="00E2600D" w:rsidP="00B527B9">
      <w:pPr>
        <w:keepNext/>
      </w:pPr>
      <w:r w:rsidRPr="00BE52E0">
        <w:t>4.7</w:t>
      </w:r>
      <w:r w:rsidRPr="00BE52E0">
        <w:tab/>
      </w:r>
      <w:r w:rsidRPr="00BE52E0">
        <w:tab/>
        <w:t>TNA (formed by joining the PRO with three other bodies</w:t>
      </w:r>
      <w:r w:rsidRPr="00BE52E0">
        <w:rPr>
          <w:rStyle w:val="FootnoteReference"/>
          <w:rFonts w:cs="Arial"/>
        </w:rPr>
        <w:footnoteReference w:id="219"/>
      </w:r>
      <w:r w:rsidRPr="00BE52E0">
        <w:t>) serves as the official archives.  Governed under the 1958 Act, TNA is a non-ministerial department</w:t>
      </w:r>
      <w:r w:rsidRPr="00BE52E0">
        <w:rPr>
          <w:rStyle w:val="FootnoteReference"/>
          <w:rFonts w:cs="Arial"/>
        </w:rPr>
        <w:footnoteReference w:id="220"/>
      </w:r>
      <w:r w:rsidRPr="00BE52E0">
        <w:t xml:space="preserve"> currently placed under the Secretary of State for </w:t>
      </w:r>
      <w:r w:rsidRPr="00BE52E0">
        <w:lastRenderedPageBreak/>
        <w:t>Digital, Culture, Media and Sport (</w:t>
      </w:r>
      <w:r>
        <w:t>"</w:t>
      </w:r>
      <w:r w:rsidRPr="00BE52E0">
        <w:rPr>
          <w:b/>
        </w:rPr>
        <w:t>Secretary of State</w:t>
      </w:r>
      <w:r>
        <w:t>"</w:t>
      </w:r>
      <w:r w:rsidRPr="00BE52E0">
        <w:t>).</w:t>
      </w:r>
      <w:r w:rsidRPr="00BE52E0">
        <w:rPr>
          <w:rStyle w:val="FootnoteReference"/>
          <w:rFonts w:cs="Arial"/>
        </w:rPr>
        <w:footnoteReference w:id="221"/>
      </w:r>
      <w:r w:rsidRPr="00BE52E0">
        <w:t xml:space="preserve"> </w:t>
      </w:r>
    </w:p>
    <w:p w:rsidR="00E2600D" w:rsidRPr="00BE52E0" w:rsidRDefault="00E2600D" w:rsidP="00B527B9">
      <w:pPr>
        <w:rPr>
          <w:rFonts w:cs="Arial"/>
        </w:rPr>
      </w:pPr>
    </w:p>
    <w:p w:rsidR="00E2600D" w:rsidRPr="00BE52E0" w:rsidRDefault="00E2600D" w:rsidP="00B527B9">
      <w:r w:rsidRPr="00BE52E0">
        <w:t>4.8</w:t>
      </w:r>
      <w:r w:rsidRPr="00BE52E0">
        <w:tab/>
      </w:r>
      <w:r w:rsidRPr="00BE52E0">
        <w:tab/>
        <w:t>A Keeper of Public Records is appointed by the Secretary of State under the 1958 Act to take charge under his direction of TNA and the records therein.</w:t>
      </w:r>
      <w:r w:rsidRPr="00BE52E0">
        <w:rPr>
          <w:rStyle w:val="FootnoteReference"/>
          <w:rFonts w:cs="Arial"/>
        </w:rPr>
        <w:footnoteReference w:id="222"/>
      </w:r>
    </w:p>
    <w:p w:rsidR="00E2600D" w:rsidRPr="00BE52E0" w:rsidRDefault="00E2600D" w:rsidP="00B527B9">
      <w:pPr>
        <w:rPr>
          <w:rFonts w:cs="Arial"/>
        </w:rPr>
      </w:pPr>
    </w:p>
    <w:p w:rsidR="00E2600D" w:rsidRPr="00BE52E0" w:rsidRDefault="00E2600D" w:rsidP="00B527B9">
      <w:r w:rsidRPr="00BE52E0">
        <w:t>4.9</w:t>
      </w:r>
      <w:r w:rsidRPr="00BE52E0">
        <w:tab/>
      </w:r>
      <w:r w:rsidRPr="00BE52E0">
        <w:tab/>
        <w:t>The 1958 Act also provides for the establishment of the Advisory Council on Public Records to advise the Secretary of State on matters concerning public records in general and, in particular, on those aspects of TNA</w:t>
      </w:r>
      <w:r>
        <w:t>'</w:t>
      </w:r>
      <w:r w:rsidRPr="00BE52E0">
        <w:t>s work which affect members of the public who use its facilities.  The Advisory Council on Public Records may also advise the Secretary of State on matters relating to the application of the FOIA 2000 to information contained in public records which are historical records within the meaning of Part VI of that Act.</w:t>
      </w:r>
      <w:r w:rsidRPr="00BE52E0">
        <w:rPr>
          <w:rStyle w:val="FootnoteReference"/>
          <w:rFonts w:cs="Arial"/>
        </w:rPr>
        <w:footnoteReference w:id="223"/>
      </w:r>
      <w:r w:rsidRPr="00BE52E0">
        <w:t xml:space="preserve">  </w:t>
      </w:r>
    </w:p>
    <w:p w:rsidR="00E2600D" w:rsidRPr="00BE52E0" w:rsidRDefault="00E2600D" w:rsidP="00B527B9">
      <w:pPr>
        <w:rPr>
          <w:rFonts w:cs="Arial"/>
        </w:rPr>
      </w:pPr>
    </w:p>
    <w:p w:rsidR="00E2600D" w:rsidRPr="00BE52E0" w:rsidRDefault="00E2600D" w:rsidP="00B527B9">
      <w:r w:rsidRPr="00BE52E0">
        <w:t>4.10</w:t>
      </w:r>
      <w:r w:rsidRPr="00BE52E0">
        <w:tab/>
      </w:r>
      <w:r w:rsidRPr="00BE52E0">
        <w:tab/>
        <w:t>The Advisory Council on Public Records, and another advisory council called the Advisory Council on Historical Manuscripts,</w:t>
      </w:r>
      <w:r w:rsidRPr="00BE52E0">
        <w:rPr>
          <w:rStyle w:val="FootnoteReference"/>
          <w:rFonts w:cs="Arial"/>
        </w:rPr>
        <w:footnoteReference w:id="224"/>
      </w:r>
      <w:r w:rsidRPr="00BE52E0">
        <w:rPr>
          <w:lang w:val="en-US"/>
        </w:rPr>
        <w:t xml:space="preserve"> </w:t>
      </w:r>
      <w:r w:rsidRPr="00BE52E0">
        <w:t>were subsequently subsumed under the Advisory Council on National Records and Archives (</w:t>
      </w:r>
      <w:r>
        <w:t>"</w:t>
      </w:r>
      <w:r w:rsidRPr="00BE52E0">
        <w:rPr>
          <w:b/>
        </w:rPr>
        <w:t>ACNRA</w:t>
      </w:r>
      <w:r>
        <w:t>"</w:t>
      </w:r>
      <w:r w:rsidRPr="00BE52E0">
        <w:t>) which was established in 2003.  Since then, the three Councils function as one body (ie ACNRA), chaired by the Master of the Rolls, to advise the Secretary of State as an independent advisory body.</w:t>
      </w:r>
      <w:r w:rsidRPr="00BE52E0">
        <w:rPr>
          <w:rStyle w:val="FootnoteReference"/>
          <w:rFonts w:cs="Arial"/>
        </w:rPr>
        <w:footnoteReference w:id="225"/>
      </w:r>
      <w:r w:rsidRPr="00BE52E0">
        <w:t xml:space="preserve">  </w:t>
      </w:r>
    </w:p>
    <w:p w:rsidR="00E2600D" w:rsidRPr="00BE52E0" w:rsidRDefault="00E2600D" w:rsidP="00B527B9">
      <w:pPr>
        <w:rPr>
          <w:rFonts w:cs="Arial"/>
        </w:rPr>
      </w:pPr>
    </w:p>
    <w:p w:rsidR="00E2600D" w:rsidRPr="00BE52E0" w:rsidRDefault="00E2600D" w:rsidP="00B527B9">
      <w:r w:rsidRPr="00BE52E0">
        <w:t>4.11</w:t>
      </w:r>
      <w:r w:rsidRPr="00BE52E0">
        <w:tab/>
      </w:r>
      <w:r w:rsidRPr="00BE52E0">
        <w:tab/>
        <w:t>The Secretary of State shall in every year lay before both Houses of the Parliament a report on the work of TNA, which shall include any report made to him by the ACNRA.</w:t>
      </w:r>
      <w:r w:rsidRPr="00BE52E0">
        <w:rPr>
          <w:rStyle w:val="FootnoteReference"/>
          <w:rFonts w:cs="Arial"/>
        </w:rPr>
        <w:footnoteReference w:id="226"/>
      </w:r>
    </w:p>
    <w:p w:rsidR="00E2600D" w:rsidRPr="00BE52E0" w:rsidRDefault="00E2600D" w:rsidP="00B527B9">
      <w:pPr>
        <w:rPr>
          <w:rFonts w:cs="Arial"/>
        </w:rPr>
      </w:pPr>
    </w:p>
    <w:p w:rsidR="00E2600D" w:rsidRPr="00BE52E0" w:rsidRDefault="00E2600D" w:rsidP="00B527B9">
      <w:pPr>
        <w:rPr>
          <w:rFonts w:cs="Arial"/>
        </w:rPr>
      </w:pPr>
    </w:p>
    <w:p w:rsidR="00E2600D" w:rsidRPr="00BE52E0" w:rsidRDefault="00E2600D" w:rsidP="00B527B9">
      <w:pPr>
        <w:pStyle w:val="Heading3"/>
      </w:pPr>
      <w:r w:rsidRPr="00BE52E0">
        <w:lastRenderedPageBreak/>
        <w:t>Ireland</w:t>
      </w:r>
    </w:p>
    <w:p w:rsidR="00E2600D" w:rsidRPr="00BE52E0" w:rsidRDefault="00E2600D" w:rsidP="00B527B9">
      <w:pPr>
        <w:keepNext/>
        <w:rPr>
          <w:rFonts w:cs="Arial"/>
        </w:rPr>
      </w:pPr>
    </w:p>
    <w:p w:rsidR="00E2600D" w:rsidRPr="00BE52E0" w:rsidRDefault="00E2600D" w:rsidP="00B527B9">
      <w:r w:rsidRPr="00BE52E0">
        <w:t>4.12</w:t>
      </w:r>
      <w:r w:rsidRPr="00BE52E0">
        <w:tab/>
      </w:r>
      <w:r w:rsidRPr="00BE52E0">
        <w:tab/>
        <w:t>The 1986 Act assigns ministerial responsibility for the NAI to the Taoiseach.  Currently, the NAI is placed under the Department of Arts, Heritage and the Gaeltacht.</w:t>
      </w:r>
      <w:r w:rsidRPr="00BE52E0">
        <w:rPr>
          <w:rStyle w:val="FootnoteReference"/>
          <w:rFonts w:cs="Arial"/>
        </w:rPr>
        <w:footnoteReference w:id="227"/>
      </w:r>
      <w:r w:rsidRPr="00BE52E0">
        <w:t xml:space="preserve">  </w:t>
      </w:r>
    </w:p>
    <w:p w:rsidR="00E2600D" w:rsidRPr="00BE52E0" w:rsidRDefault="00E2600D" w:rsidP="00B527B9">
      <w:pPr>
        <w:rPr>
          <w:rFonts w:cs="Arial"/>
        </w:rPr>
      </w:pPr>
    </w:p>
    <w:p w:rsidR="00E2600D" w:rsidRPr="00BE52E0" w:rsidRDefault="00E2600D" w:rsidP="00B527B9">
      <w:r w:rsidRPr="00BE52E0">
        <w:t>4.13</w:t>
      </w:r>
      <w:r w:rsidRPr="00BE52E0">
        <w:tab/>
      </w:r>
      <w:r w:rsidRPr="00BE52E0">
        <w:tab/>
        <w:t>A Director of National Archives is appointed by the Minister for Arts, Heritage and the Gaeltacht (previously by the Taoiseach) to carry out his or her functions under the Act.</w:t>
      </w:r>
      <w:r w:rsidRPr="00BE52E0">
        <w:rPr>
          <w:rStyle w:val="FootnoteReference"/>
          <w:rFonts w:cs="Arial"/>
        </w:rPr>
        <w:footnoteReference w:id="228"/>
      </w:r>
      <w:r w:rsidRPr="00BE52E0">
        <w:t xml:space="preserve"> </w:t>
      </w:r>
    </w:p>
    <w:p w:rsidR="00E2600D" w:rsidRPr="00BE52E0" w:rsidRDefault="00E2600D" w:rsidP="00B527B9">
      <w:pPr>
        <w:rPr>
          <w:rFonts w:cs="Arial"/>
        </w:rPr>
      </w:pPr>
    </w:p>
    <w:p w:rsidR="00E2600D" w:rsidRPr="00BE52E0" w:rsidRDefault="00E2600D" w:rsidP="00B527B9">
      <w:r w:rsidRPr="00BE52E0">
        <w:t>4.14</w:t>
      </w:r>
      <w:r w:rsidRPr="00BE52E0">
        <w:tab/>
      </w:r>
      <w:r w:rsidRPr="00BE52E0">
        <w:tab/>
        <w:t>A Council, known as the National Archives Advisory Council (</w:t>
      </w:r>
      <w:r>
        <w:t>"</w:t>
      </w:r>
      <w:r w:rsidRPr="00BE52E0">
        <w:rPr>
          <w:b/>
        </w:rPr>
        <w:t>Advisory Council (Ire)</w:t>
      </w:r>
      <w:r>
        <w:t>"</w:t>
      </w:r>
      <w:r w:rsidRPr="00BE52E0">
        <w:t>) is established under the 1986 Act to advise the Minister in the exercise of his statutory powers and on all matters affecting the archives and their use by the public, and to discharge the other functions conferred on the Advisory Council (Ire) by the 1986 Act.</w:t>
      </w:r>
      <w:r w:rsidRPr="00BE52E0">
        <w:rPr>
          <w:rStyle w:val="FootnoteReference"/>
          <w:rFonts w:cs="Arial"/>
        </w:rPr>
        <w:footnoteReference w:id="229"/>
      </w:r>
      <w:r w:rsidRPr="00BE52E0">
        <w:t xml:space="preserve"> </w:t>
      </w:r>
    </w:p>
    <w:p w:rsidR="00E2600D" w:rsidRPr="00BE52E0" w:rsidRDefault="00E2600D" w:rsidP="00B527B9">
      <w:pPr>
        <w:rPr>
          <w:rFonts w:cs="Arial"/>
        </w:rPr>
      </w:pPr>
    </w:p>
    <w:p w:rsidR="00E2600D" w:rsidRPr="00BE52E0" w:rsidRDefault="00E2600D" w:rsidP="00B527B9">
      <w:r w:rsidRPr="00BE52E0">
        <w:t>4.15</w:t>
      </w:r>
      <w:r w:rsidRPr="00BE52E0">
        <w:tab/>
      </w:r>
      <w:r w:rsidRPr="00BE52E0">
        <w:tab/>
        <w:t>Both the Director of National Archives and the Advisory Council (Ire) are required to submit annual reports to the Minister.  Copies of both reports shall be laid by the Minister before each House of the Oireachtas (ie National Parliament).</w:t>
      </w:r>
      <w:r w:rsidRPr="00BE52E0">
        <w:rPr>
          <w:rStyle w:val="FootnoteReference"/>
          <w:rFonts w:cs="Arial"/>
        </w:rPr>
        <w:footnoteReference w:id="230"/>
      </w:r>
      <w:r w:rsidRPr="00BE52E0">
        <w:t xml:space="preserve">  </w:t>
      </w:r>
    </w:p>
    <w:p w:rsidR="00E2600D" w:rsidRPr="00BE52E0" w:rsidRDefault="00E2600D" w:rsidP="00B527B9">
      <w:pPr>
        <w:rPr>
          <w:rFonts w:cs="Arial"/>
        </w:rPr>
      </w:pPr>
    </w:p>
    <w:p w:rsidR="00E2600D" w:rsidRPr="00BE52E0" w:rsidRDefault="00E2600D" w:rsidP="00B527B9">
      <w:pPr>
        <w:rPr>
          <w:rFonts w:cs="Arial"/>
        </w:rPr>
      </w:pPr>
    </w:p>
    <w:p w:rsidR="00E2600D" w:rsidRPr="00BE52E0" w:rsidRDefault="00E2600D" w:rsidP="00B527B9">
      <w:pPr>
        <w:pStyle w:val="Heading3"/>
      </w:pPr>
      <w:r w:rsidRPr="00BE52E0">
        <w:t>New Zealand</w:t>
      </w:r>
    </w:p>
    <w:p w:rsidR="00E2600D" w:rsidRPr="00BE52E0" w:rsidRDefault="00E2600D" w:rsidP="00B527B9">
      <w:pPr>
        <w:keepNext/>
        <w:rPr>
          <w:rFonts w:cs="Arial"/>
        </w:rPr>
      </w:pPr>
    </w:p>
    <w:p w:rsidR="00E2600D" w:rsidRPr="00BE52E0" w:rsidRDefault="00E2600D" w:rsidP="00B527B9">
      <w:r w:rsidRPr="00BE52E0">
        <w:t>4.16</w:t>
      </w:r>
      <w:r w:rsidRPr="00BE52E0">
        <w:tab/>
      </w:r>
      <w:r w:rsidRPr="00BE52E0">
        <w:tab/>
        <w:t>ANZ is placed under the Minister of Internal Affairs but under the 2005 Act, the Chief Archivist (defined in section 4) is to take a leadership role in recordkeeping in public offices and in the management of public archives in New Zealand.</w:t>
      </w:r>
      <w:r w:rsidRPr="00BE52E0">
        <w:rPr>
          <w:rStyle w:val="FootnoteReference"/>
        </w:rPr>
        <w:footnoteReference w:id="231"/>
      </w:r>
      <w:r w:rsidRPr="00BE52E0">
        <w:t xml:space="preserve">  The Chief Archivist is required to act independently in the performance of his functions and in his exercise of certain powers under the Act.</w:t>
      </w:r>
      <w:r w:rsidRPr="00BE52E0">
        <w:rPr>
          <w:rStyle w:val="FootnoteReference"/>
          <w:rFonts w:cs="Arial"/>
        </w:rPr>
        <w:footnoteReference w:id="232"/>
      </w:r>
      <w:r w:rsidRPr="00BE52E0">
        <w:t xml:space="preserve"> </w:t>
      </w:r>
    </w:p>
    <w:p w:rsidR="00E2600D" w:rsidRPr="00BE52E0" w:rsidRDefault="00E2600D" w:rsidP="00B527B9">
      <w:pPr>
        <w:rPr>
          <w:rFonts w:cs="Arial"/>
        </w:rPr>
      </w:pPr>
    </w:p>
    <w:p w:rsidR="00E2600D" w:rsidRPr="00BE52E0" w:rsidRDefault="00E2600D" w:rsidP="00B527B9">
      <w:r w:rsidRPr="00BE52E0">
        <w:t>4.17</w:t>
      </w:r>
      <w:r w:rsidRPr="00BE52E0">
        <w:tab/>
      </w:r>
      <w:r w:rsidRPr="00BE52E0">
        <w:tab/>
        <w:t>An unincorporated body called the Archives Council (</w:t>
      </w:r>
      <w:r>
        <w:t>"</w:t>
      </w:r>
      <w:r w:rsidRPr="00BE52E0">
        <w:rPr>
          <w:b/>
        </w:rPr>
        <w:t>Archives Council (NZ)</w:t>
      </w:r>
      <w:r>
        <w:t>"</w:t>
      </w:r>
      <w:r w:rsidRPr="00BE52E0">
        <w:t>)</w:t>
      </w:r>
      <w:r w:rsidRPr="00BE52E0">
        <w:rPr>
          <w:rStyle w:val="FootnoteReference"/>
          <w:rFonts w:cs="Arial"/>
        </w:rPr>
        <w:footnoteReference w:id="233"/>
      </w:r>
      <w:r w:rsidRPr="00BE52E0">
        <w:t xml:space="preserve"> is established under the 2005 Act to provide to the Minister, whether on his request or on the Archives Council (NZ)</w:t>
      </w:r>
      <w:r>
        <w:t>'</w:t>
      </w:r>
      <w:r w:rsidRPr="00BE52E0">
        <w:t>s own initiative, advice concerning recordkeeping and archives matters, as well as recommendations on appeals by public office or local authority to the Minister under the 2005 Act.</w:t>
      </w:r>
      <w:r w:rsidRPr="00BE52E0">
        <w:rPr>
          <w:rStyle w:val="FootnoteReference"/>
          <w:rFonts w:cs="Arial"/>
        </w:rPr>
        <w:footnoteReference w:id="234"/>
      </w:r>
      <w:r w:rsidRPr="00BE52E0">
        <w:t xml:space="preserve"> </w:t>
      </w:r>
    </w:p>
    <w:p w:rsidR="00E2600D" w:rsidRPr="00BE52E0" w:rsidRDefault="00E2600D" w:rsidP="00B527B9">
      <w:pPr>
        <w:rPr>
          <w:rFonts w:cs="Arial"/>
        </w:rPr>
      </w:pPr>
    </w:p>
    <w:p w:rsidR="00E2600D" w:rsidRPr="00BE52E0" w:rsidRDefault="00E2600D" w:rsidP="00B527B9">
      <w:r w:rsidRPr="00BE52E0">
        <w:t>4.18</w:t>
      </w:r>
      <w:r w:rsidRPr="00BE52E0">
        <w:tab/>
      </w:r>
      <w:r w:rsidRPr="00BE52E0">
        <w:tab/>
        <w:t>Both the Chief Archivist and the Archives Council (NZ) must submit annual reports to the Minister, who must present the reports to the House of Representatives.</w:t>
      </w:r>
      <w:r w:rsidRPr="00BE52E0">
        <w:rPr>
          <w:rStyle w:val="FootnoteReference"/>
          <w:rFonts w:cs="Arial"/>
        </w:rPr>
        <w:footnoteReference w:id="235"/>
      </w:r>
      <w:r w:rsidRPr="00BE52E0">
        <w:t xml:space="preserve">  </w:t>
      </w:r>
    </w:p>
    <w:p w:rsidR="00E2600D" w:rsidRPr="00BE52E0" w:rsidRDefault="00E2600D" w:rsidP="00B527B9">
      <w:pPr>
        <w:rPr>
          <w:rFonts w:cs="Arial"/>
        </w:rPr>
      </w:pPr>
    </w:p>
    <w:p w:rsidR="00E2600D" w:rsidRPr="00BE52E0" w:rsidRDefault="00E2600D" w:rsidP="00B527B9">
      <w:pPr>
        <w:rPr>
          <w:rFonts w:cs="Arial"/>
        </w:rPr>
      </w:pPr>
    </w:p>
    <w:p w:rsidR="00E2600D" w:rsidRPr="00456EF4" w:rsidRDefault="00E2600D" w:rsidP="00B527B9">
      <w:pPr>
        <w:pStyle w:val="Heading3"/>
        <w:rPr>
          <w:i w:val="0"/>
        </w:rPr>
      </w:pPr>
      <w:r w:rsidRPr="00BE52E0">
        <w:t>Singapore</w:t>
      </w:r>
    </w:p>
    <w:p w:rsidR="00E2600D" w:rsidRPr="00BE52E0" w:rsidRDefault="00E2600D" w:rsidP="00B527B9">
      <w:pPr>
        <w:rPr>
          <w:rFonts w:cs="Arial"/>
        </w:rPr>
      </w:pPr>
    </w:p>
    <w:p w:rsidR="00E2600D" w:rsidRPr="00BE52E0" w:rsidRDefault="00E2600D" w:rsidP="00B527B9">
      <w:r w:rsidRPr="00BE52E0">
        <w:t>4.19</w:t>
      </w:r>
      <w:r w:rsidRPr="00BE52E0">
        <w:tab/>
      </w:r>
      <w:r w:rsidRPr="00BE52E0">
        <w:tab/>
        <w:t>The NAS is an institution of the NLB which is currently placed under the Ministry of Communications and Information.</w:t>
      </w:r>
      <w:r w:rsidRPr="00BE52E0">
        <w:rPr>
          <w:rStyle w:val="FootnoteReference"/>
          <w:rFonts w:cs="Arial"/>
        </w:rPr>
        <w:footnoteReference w:id="236"/>
      </w:r>
      <w:r>
        <w:t xml:space="preserve">  </w:t>
      </w:r>
      <w:r w:rsidRPr="005771F6">
        <w:t>The Minister may give the NLB any direction as to the performance of its functions.</w:t>
      </w:r>
      <w:r>
        <w:rPr>
          <w:rStyle w:val="FootnoteReference"/>
        </w:rPr>
        <w:footnoteReference w:id="237"/>
      </w:r>
    </w:p>
    <w:p w:rsidR="00E2600D" w:rsidRPr="00BE52E0" w:rsidRDefault="00E2600D" w:rsidP="00B527B9">
      <w:pPr>
        <w:rPr>
          <w:rFonts w:cs="Arial"/>
        </w:rPr>
      </w:pPr>
    </w:p>
    <w:p w:rsidR="00E2600D" w:rsidRPr="00BE52E0" w:rsidRDefault="00E2600D" w:rsidP="00B527B9">
      <w:r w:rsidRPr="00BE52E0">
        <w:t>4.20</w:t>
      </w:r>
      <w:r w:rsidRPr="00BE52E0">
        <w:tab/>
      </w:r>
      <w:r w:rsidRPr="00BE52E0">
        <w:tab/>
        <w:t>The NLBA establishes the NLB as a statutory corporation responsible for exercising and discharging the powers and functions stipulated in the NLBA.  The NLB shall consist of a Chairman, a Deputy Chairman and not less than ten but not more than 20 other members as the Minister may appoint.</w:t>
      </w:r>
      <w:r w:rsidRPr="00BE52E0">
        <w:rPr>
          <w:rStyle w:val="FootnoteReference"/>
          <w:rFonts w:cs="Arial"/>
        </w:rPr>
        <w:footnoteReference w:id="238"/>
      </w:r>
      <w:r w:rsidRPr="00BE52E0">
        <w:t xml:space="preserve">  </w:t>
      </w:r>
      <w:r w:rsidRPr="00E9182C">
        <w:t>There must be a chief executive officer of the NLB, who is responsible for the proper administration and management of its functions and affairs.</w:t>
      </w:r>
      <w:r>
        <w:rPr>
          <w:rStyle w:val="FootnoteReference"/>
        </w:rPr>
        <w:footnoteReference w:id="239"/>
      </w:r>
      <w:r w:rsidRPr="00AD5F85">
        <w:t xml:space="preserve">  </w:t>
      </w:r>
      <w:r w:rsidRPr="00BE52E0">
        <w:t>The NLB also appoints one of its officers as the Director of the NAS, who is responsible to the NLB for the general management and control of the NAS.</w:t>
      </w:r>
      <w:r w:rsidRPr="00BE52E0">
        <w:rPr>
          <w:rStyle w:val="FootnoteReference"/>
          <w:rFonts w:cs="Arial"/>
        </w:rPr>
        <w:footnoteReference w:id="240"/>
      </w:r>
    </w:p>
    <w:p w:rsidR="00E2600D" w:rsidRPr="00BE52E0" w:rsidRDefault="00E2600D" w:rsidP="00B527B9">
      <w:pPr>
        <w:rPr>
          <w:rFonts w:cs="Arial"/>
        </w:rPr>
      </w:pPr>
    </w:p>
    <w:p w:rsidR="00E2600D" w:rsidRPr="00BE52E0" w:rsidRDefault="00E2600D" w:rsidP="00B527B9">
      <w:r w:rsidRPr="00BE52E0">
        <w:t>4.21</w:t>
      </w:r>
      <w:r w:rsidRPr="00BE52E0">
        <w:tab/>
      </w:r>
      <w:r w:rsidRPr="00BE52E0">
        <w:tab/>
        <w:t>The NLB is required to submit an annual report to the Minister, who must present a copy thereof to the Parliament.</w:t>
      </w:r>
      <w:r w:rsidRPr="00BE52E0">
        <w:rPr>
          <w:rStyle w:val="FootnoteReference"/>
          <w:rFonts w:cs="Arial"/>
        </w:rPr>
        <w:footnoteReference w:id="241"/>
      </w:r>
      <w:r w:rsidRPr="00BE52E0">
        <w:t xml:space="preserve">  </w:t>
      </w:r>
    </w:p>
    <w:p w:rsidR="00E2600D" w:rsidRPr="00BE52E0" w:rsidRDefault="00E2600D" w:rsidP="00B527B9">
      <w:pPr>
        <w:rPr>
          <w:rFonts w:cs="Arial"/>
        </w:rPr>
      </w:pPr>
    </w:p>
    <w:p w:rsidR="00E2600D" w:rsidRPr="00BE52E0" w:rsidRDefault="00E2600D" w:rsidP="00B527B9">
      <w:r w:rsidRPr="00BE52E0">
        <w:t>4.22</w:t>
      </w:r>
      <w:r w:rsidRPr="00BE52E0">
        <w:tab/>
      </w:r>
      <w:r w:rsidRPr="00BE52E0">
        <w:tab/>
        <w:t xml:space="preserve">The NLBA empowers the NLB to appoint committee(s) for purposes which, in its opinion, would be better regulated and managed by means of such committees.  The NLB may also appoint directors for the </w:t>
      </w:r>
      <w:r w:rsidRPr="00BE52E0">
        <w:lastRenderedPageBreak/>
        <w:t>management of libraries it established, as well as advisory committees to advise on the operation and services of those libraries.</w:t>
      </w:r>
      <w:r w:rsidRPr="00BE52E0">
        <w:rPr>
          <w:rStyle w:val="FootnoteReference"/>
          <w:rFonts w:cs="Arial"/>
        </w:rPr>
        <w:footnoteReference w:id="242"/>
      </w:r>
      <w:r w:rsidRPr="00BE52E0">
        <w:t xml:space="preserve"> </w:t>
      </w:r>
      <w:r w:rsidRPr="00BE52E0">
        <w:rPr>
          <w:rFonts w:hint="eastAsia"/>
        </w:rPr>
        <w:t xml:space="preserve"> </w:t>
      </w:r>
    </w:p>
    <w:p w:rsidR="00E2600D" w:rsidRPr="00BE52E0" w:rsidRDefault="00E2600D" w:rsidP="00B527B9">
      <w:pPr>
        <w:rPr>
          <w:rFonts w:cs="Arial"/>
          <w:b/>
        </w:rPr>
      </w:pPr>
    </w:p>
    <w:p w:rsidR="00E2600D" w:rsidRPr="00BE52E0" w:rsidRDefault="00E2600D" w:rsidP="00B527B9">
      <w:pPr>
        <w:rPr>
          <w:rFonts w:cs="Arial"/>
        </w:rPr>
      </w:pPr>
    </w:p>
    <w:p w:rsidR="00E2600D" w:rsidRPr="00BE52E0" w:rsidRDefault="00E2600D" w:rsidP="00B527B9">
      <w:pPr>
        <w:pStyle w:val="Heading2"/>
      </w:pPr>
      <w:r w:rsidRPr="00BE52E0">
        <w:t>Summary of approaches in other jurisdictions</w:t>
      </w:r>
    </w:p>
    <w:p w:rsidR="00E2600D" w:rsidRPr="00BE52E0" w:rsidRDefault="00E2600D" w:rsidP="00B527B9">
      <w:pPr>
        <w:keepNext/>
        <w:rPr>
          <w:rFonts w:cs="Arial"/>
        </w:rPr>
      </w:pPr>
    </w:p>
    <w:p w:rsidR="00E2600D" w:rsidRPr="00BE52E0" w:rsidRDefault="00E2600D" w:rsidP="00B527B9">
      <w:r w:rsidRPr="00BE52E0">
        <w:t>4.23</w:t>
      </w:r>
      <w:r w:rsidRPr="00BE52E0">
        <w:tab/>
      </w:r>
      <w:r w:rsidRPr="00BE52E0">
        <w:tab/>
        <w:t xml:space="preserve">As remarked in the </w:t>
      </w:r>
      <w:r w:rsidRPr="00BE52E0">
        <w:rPr>
          <w:i/>
        </w:rPr>
        <w:t>RAMP Study</w:t>
      </w:r>
      <w:r w:rsidRPr="00BE52E0">
        <w:t>, there is no universally accepted model for organisational placement of the archival authority.  While most developed jurisdictions have an archives law and place their archives under the direction or authority of a Minister,</w:t>
      </w:r>
      <w:r w:rsidRPr="00BE52E0">
        <w:rPr>
          <w:rStyle w:val="FootnoteReference"/>
          <w:rFonts w:cs="Arial"/>
        </w:rPr>
        <w:footnoteReference w:id="243"/>
      </w:r>
      <w:r w:rsidRPr="00BE52E0">
        <w:t xml:space="preserve">  the responsible Minister differs from country to country (for example, Minister responsible for culture and heritage,</w:t>
      </w:r>
      <w:r w:rsidRPr="00BE52E0">
        <w:rPr>
          <w:rStyle w:val="FootnoteReference"/>
          <w:rFonts w:cs="Arial"/>
        </w:rPr>
        <w:footnoteReference w:id="244"/>
      </w:r>
      <w:r w:rsidRPr="00BE52E0">
        <w:t xml:space="preserve"> Minister responsible for internal affairs</w:t>
      </w:r>
      <w:r w:rsidRPr="00BE52E0">
        <w:rPr>
          <w:rStyle w:val="FootnoteReference"/>
          <w:rFonts w:cs="Arial"/>
        </w:rPr>
        <w:footnoteReference w:id="245"/>
      </w:r>
      <w:r w:rsidRPr="00BE52E0">
        <w:t xml:space="preserve"> or for communications and information</w:t>
      </w:r>
      <w:r w:rsidRPr="00BE52E0">
        <w:rPr>
          <w:rStyle w:val="FootnoteReference"/>
          <w:rFonts w:cs="Arial"/>
        </w:rPr>
        <w:footnoteReference w:id="246"/>
      </w:r>
      <w:r w:rsidRPr="00BE52E0">
        <w:t>) or may even change from time to time.</w:t>
      </w:r>
    </w:p>
    <w:p w:rsidR="00E2600D" w:rsidRPr="00BE52E0" w:rsidRDefault="00E2600D" w:rsidP="00B527B9">
      <w:pPr>
        <w:rPr>
          <w:rFonts w:cs="Arial"/>
        </w:rPr>
      </w:pPr>
    </w:p>
    <w:p w:rsidR="00E2600D" w:rsidRPr="00BE52E0" w:rsidRDefault="00E2600D" w:rsidP="00B527B9">
      <w:r w:rsidRPr="00BE52E0">
        <w:t>4.24</w:t>
      </w:r>
      <w:r w:rsidRPr="00BE52E0">
        <w:tab/>
      </w:r>
      <w:r w:rsidRPr="00BE52E0">
        <w:tab/>
        <w:t>In Australia, England,</w:t>
      </w:r>
      <w:r w:rsidRPr="00BE52E0">
        <w:rPr>
          <w:rStyle w:val="FootnoteReference"/>
        </w:rPr>
        <w:footnoteReference w:id="247"/>
      </w:r>
      <w:r w:rsidRPr="00BE52E0">
        <w:t xml:space="preserve"> Ireland and Singapore, the administrative head of the archival authority is placed under a responsible Minister.  The Minister may give directions to the administrative head (or the NLB in Singapore) in relation to the latter</w:t>
      </w:r>
      <w:r>
        <w:t>'</w:t>
      </w:r>
      <w:r w:rsidRPr="00BE52E0">
        <w:t>s performance of statutory duties and functions.  The exception is New Zealand, where although the ANZ is also placed under a Minister, the 2005 Act expressly requires the Chief Archivist to act independently without being subjected to the Minister</w:t>
      </w:r>
      <w:r>
        <w:t>'</w:t>
      </w:r>
      <w:r w:rsidRPr="00BE52E0">
        <w:t xml:space="preserve">s direction. </w:t>
      </w:r>
    </w:p>
    <w:p w:rsidR="00E2600D" w:rsidRPr="00BE52E0" w:rsidRDefault="00E2600D" w:rsidP="00B527B9">
      <w:pPr>
        <w:rPr>
          <w:rFonts w:cs="Arial"/>
        </w:rPr>
      </w:pPr>
    </w:p>
    <w:p w:rsidR="00E2600D" w:rsidRPr="00BE52E0" w:rsidRDefault="00E2600D" w:rsidP="00B527B9">
      <w:r w:rsidRPr="00BE52E0">
        <w:t>4.25</w:t>
      </w:r>
      <w:r w:rsidRPr="00BE52E0">
        <w:tab/>
      </w:r>
      <w:r w:rsidRPr="00BE52E0">
        <w:tab/>
        <w:t>An advisory council is established under the archives law in Australia, England, Ireland and New Zealand (but not in Singapore).  The function of the advisory council is mainly to provide independent advice to the Minister on recordkeeping and archives matters. In Australia and New Zealand, this may be done on the advisory council</w:t>
      </w:r>
      <w:r>
        <w:t>'</w:t>
      </w:r>
      <w:r w:rsidRPr="00BE52E0">
        <w:t>s own motion or upon request by the Minister. In Australia, the advisory council also advises the Director-General of the NAA.</w:t>
      </w:r>
    </w:p>
    <w:p w:rsidR="00E2600D" w:rsidRPr="00BE52E0" w:rsidRDefault="00E2600D" w:rsidP="00B527B9">
      <w:pPr>
        <w:rPr>
          <w:rFonts w:cs="Arial"/>
        </w:rPr>
      </w:pPr>
    </w:p>
    <w:p w:rsidR="00E2600D" w:rsidRPr="00BE52E0" w:rsidRDefault="00E2600D" w:rsidP="00B527B9">
      <w:r w:rsidRPr="00BE52E0">
        <w:t>4.26</w:t>
      </w:r>
      <w:r w:rsidRPr="00BE52E0">
        <w:tab/>
      </w:r>
      <w:r w:rsidRPr="00BE52E0">
        <w:tab/>
        <w:t>The Minister is not generally obliged to consult the advisory council or bound by the council</w:t>
      </w:r>
      <w:r>
        <w:t>'</w:t>
      </w:r>
      <w:r w:rsidRPr="00BE52E0">
        <w:t xml:space="preserve">s advice, if any.  In Ireland however, the concurrence of, or prior consultation with the Advisory Council (Ire) is required on certain specific matters.  These include the lending of archives by the NAI to other archival or educational institutions, museums or galleries, and the </w:t>
      </w:r>
      <w:r w:rsidRPr="00BE52E0">
        <w:lastRenderedPageBreak/>
        <w:t>disposal of archives by the archival authority.</w:t>
      </w:r>
      <w:r w:rsidRPr="00BE52E0">
        <w:rPr>
          <w:rStyle w:val="FootnoteReference"/>
          <w:rFonts w:cs="Arial"/>
        </w:rPr>
        <w:footnoteReference w:id="248"/>
      </w:r>
      <w:r w:rsidRPr="00BE52E0">
        <w:t xml:space="preserve">  The Minister must also consult the Advisory Council (Ire) before amending the list of specified bodies to which the Act applies in the Schedule to the 1986 Act.</w:t>
      </w:r>
      <w:r w:rsidRPr="00BE52E0">
        <w:rPr>
          <w:rStyle w:val="FootnoteReference"/>
          <w:rFonts w:cs="Arial"/>
        </w:rPr>
        <w:footnoteReference w:id="249"/>
      </w:r>
      <w:r w:rsidRPr="00BE52E0">
        <w:t xml:space="preserve">  Similarly in New Zealand, when the Minister makes a recommendation to the Governor-General for a body to be declared a </w:t>
      </w:r>
      <w:r>
        <w:t>"</w:t>
      </w:r>
      <w:r w:rsidRPr="00BE52E0">
        <w:t>public office</w:t>
      </w:r>
      <w:r>
        <w:t>"</w:t>
      </w:r>
      <w:r w:rsidRPr="00BE52E0">
        <w:t>, or for varying the application of the 2005 Act, he must first have regard to the advice from the Archives Council (NZ).</w:t>
      </w:r>
      <w:r w:rsidRPr="00BE52E0">
        <w:rPr>
          <w:rStyle w:val="FootnoteReference"/>
        </w:rPr>
        <w:footnoteReference w:id="250"/>
      </w:r>
      <w:r w:rsidRPr="00BE52E0">
        <w:t xml:space="preserve"> </w:t>
      </w:r>
      <w:r w:rsidRPr="00BE52E0">
        <w:rPr>
          <w:rFonts w:hint="eastAsia"/>
        </w:rPr>
        <w:t xml:space="preserve"> </w:t>
      </w:r>
      <w:r w:rsidRPr="00BE52E0">
        <w:t>In Australia, the NAA is required to furnish to the NAAAC particulars of the practices followed or approved by (or any alteration to such practices) the NAA for disposal of Commonwealth records before implementation of these practices.  There is, however, no express requirement to seek the NAAAC</w:t>
      </w:r>
      <w:r>
        <w:t>'</w:t>
      </w:r>
      <w:r w:rsidRPr="00BE52E0">
        <w:t>s approval or consent before such implementation.</w:t>
      </w:r>
      <w:r w:rsidRPr="00BE52E0">
        <w:rPr>
          <w:rStyle w:val="FootnoteReference"/>
          <w:rFonts w:cs="Arial"/>
        </w:rPr>
        <w:footnoteReference w:id="251"/>
      </w:r>
    </w:p>
    <w:p w:rsidR="00E2600D" w:rsidRPr="00BE52E0" w:rsidRDefault="00E2600D" w:rsidP="00B527B9">
      <w:pPr>
        <w:rPr>
          <w:rFonts w:cs="Arial"/>
        </w:rPr>
      </w:pPr>
    </w:p>
    <w:p w:rsidR="00E2600D" w:rsidRPr="00BE52E0" w:rsidRDefault="00E2600D" w:rsidP="00B527B9">
      <w:r w:rsidRPr="00BE52E0">
        <w:t>4.27</w:t>
      </w:r>
      <w:r w:rsidRPr="00BE52E0">
        <w:tab/>
      </w:r>
      <w:r w:rsidRPr="00BE52E0">
        <w:tab/>
        <w:t xml:space="preserve">All in all, the functions and powers of the advisory council vary from one country to another.  As observed in the </w:t>
      </w:r>
      <w:r w:rsidRPr="00BE52E0">
        <w:rPr>
          <w:i/>
        </w:rPr>
        <w:t>RAMP Study</w:t>
      </w:r>
      <w:r w:rsidRPr="00BE52E0">
        <w:t>:-</w:t>
      </w:r>
    </w:p>
    <w:p w:rsidR="00E2600D" w:rsidRPr="00BE52E0" w:rsidRDefault="00E2600D" w:rsidP="00B527B9">
      <w:pPr>
        <w:rPr>
          <w:rFonts w:cs="Arial"/>
        </w:rPr>
      </w:pPr>
    </w:p>
    <w:p w:rsidR="00E2600D" w:rsidRPr="00BE52E0" w:rsidRDefault="00E2600D" w:rsidP="00B527B9">
      <w:pPr>
        <w:pStyle w:val="BlockText"/>
      </w:pPr>
      <w:r w:rsidRPr="00E32ED5">
        <w:rPr>
          <w:i w:val="0"/>
        </w:rPr>
        <w:t>"</w:t>
      </w:r>
      <w:r w:rsidRPr="00BE52E0">
        <w:t xml:space="preserve">The concept of an Archives Council </w:t>
      </w:r>
      <w:r>
        <w:t>'</w:t>
      </w:r>
      <w:r w:rsidRPr="00BE52E0">
        <w:t>to enlist the participation of producers and users of archives in the framing of archival policy</w:t>
      </w:r>
      <w:r>
        <w:t>'</w:t>
      </w:r>
      <w:r w:rsidRPr="00BE52E0">
        <w:rPr>
          <w:rFonts w:hint="eastAsia"/>
        </w:rPr>
        <w:t xml:space="preserve"> </w:t>
      </w:r>
      <w:r w:rsidRPr="00BE52E0">
        <w:t>is almost universally accepted.  But the key issue whether the Council should be provided with executive powers has been dealt with differently.  Too much power for the Council endangers the authority of the Archives and may even frustrate a fruitful development of a professionally and constitutionnaly (sic) responsible archival institution.  On the other hand, National Archives without any outside sounding board risk a certain introvertion and isolation.  The responsible Minister may feel the need for expert advice to counter-balance the professionally specialized National Archives. …</w:t>
      </w:r>
      <w:r w:rsidRPr="00E32ED5">
        <w:rPr>
          <w:i w:val="0"/>
        </w:rPr>
        <w:t>"</w:t>
      </w:r>
      <w:r w:rsidRPr="00BE52E0">
        <w:rPr>
          <w:rFonts w:hint="eastAsia"/>
          <w:spacing w:val="-20"/>
        </w:rPr>
        <w:t xml:space="preserve"> </w:t>
      </w:r>
      <w:r w:rsidRPr="00BE52E0">
        <w:rPr>
          <w:rStyle w:val="FootnoteReference"/>
          <w:rFonts w:cs="Arial"/>
        </w:rPr>
        <w:footnoteReference w:id="252"/>
      </w:r>
    </w:p>
    <w:p w:rsidR="00E2600D" w:rsidRPr="00BE52E0" w:rsidRDefault="00E2600D" w:rsidP="00B527B9">
      <w:pPr>
        <w:rPr>
          <w:rFonts w:cs="Arial"/>
        </w:rPr>
      </w:pPr>
    </w:p>
    <w:p w:rsidR="00E2600D" w:rsidRPr="00B527B9" w:rsidRDefault="00E2600D" w:rsidP="00B527B9">
      <w:pPr>
        <w:rPr>
          <w:color w:val="000000"/>
        </w:rPr>
      </w:pPr>
      <w:r w:rsidRPr="00BE52E0">
        <w:t>4.28</w:t>
      </w:r>
      <w:r w:rsidRPr="00BE52E0">
        <w:tab/>
      </w:r>
      <w:r w:rsidRPr="00BE52E0">
        <w:tab/>
        <w:t xml:space="preserve">In terms of composition, members of the archives council of the above jurisdictions and the NLB in Singapore consist of, </w:t>
      </w:r>
      <w:r w:rsidRPr="00BE52E0">
        <w:rPr>
          <w:i/>
        </w:rPr>
        <w:t>inter alia</w:t>
      </w:r>
      <w:r w:rsidRPr="00BE52E0">
        <w:t xml:space="preserve">, non-governmental members either appointed or chosen by the Minister.  Members are generally appointed based on their experience and ability in records management or archival research, or such other experience or qualifications useful for the work of the advisory council.  Besides, members of the ACNRA in England include </w:t>
      </w:r>
      <w:r w:rsidRPr="00B527B9">
        <w:rPr>
          <w:color w:val="000000"/>
        </w:rPr>
        <w:t xml:space="preserve">historians, archivists, information management professionals, former civil servants and journalists.  </w:t>
      </w:r>
    </w:p>
    <w:p w:rsidR="00E2600D" w:rsidRPr="00B527B9" w:rsidRDefault="00E2600D" w:rsidP="00B527B9">
      <w:pPr>
        <w:rPr>
          <w:rFonts w:cs="Arial"/>
          <w:color w:val="000000"/>
        </w:rPr>
      </w:pPr>
    </w:p>
    <w:p w:rsidR="00E2600D" w:rsidRPr="00BE52E0" w:rsidRDefault="00E2600D" w:rsidP="00B527B9">
      <w:r w:rsidRPr="00BE52E0">
        <w:t>4.29</w:t>
      </w:r>
      <w:r w:rsidRPr="00BE52E0">
        <w:tab/>
      </w:r>
      <w:r w:rsidRPr="00BE52E0">
        <w:tab/>
        <w:t xml:space="preserve">The archives law may or may not stipulate the number of appointed members and their terms of service.  In practice, the number of appointed members ranges from seven (New Zealand) to 15 (England), and the length of tenure ranges from three years (with the right to apply for </w:t>
      </w:r>
      <w:r w:rsidRPr="00BE52E0">
        <w:lastRenderedPageBreak/>
        <w:t>reappointment) in Australia and New Zealand to not more than ten years (England</w:t>
      </w:r>
      <w:r w:rsidRPr="00BE52E0">
        <w:rPr>
          <w:rStyle w:val="FootnoteReference"/>
          <w:rFonts w:cs="Arial"/>
        </w:rPr>
        <w:footnoteReference w:id="253"/>
      </w:r>
      <w:r w:rsidRPr="00BE52E0">
        <w:t xml:space="preserve">).    </w:t>
      </w:r>
    </w:p>
    <w:p w:rsidR="00E2600D" w:rsidRPr="00BE52E0" w:rsidRDefault="00E2600D" w:rsidP="00B527B9">
      <w:pPr>
        <w:rPr>
          <w:rFonts w:cs="Arial"/>
        </w:rPr>
      </w:pPr>
    </w:p>
    <w:p w:rsidR="00E2600D" w:rsidRPr="00BE52E0" w:rsidRDefault="00E2600D" w:rsidP="00B527B9">
      <w:r w:rsidRPr="00BE52E0">
        <w:t>4.30</w:t>
      </w:r>
      <w:r w:rsidRPr="00BE52E0">
        <w:tab/>
      </w:r>
      <w:r w:rsidRPr="00BE52E0">
        <w:tab/>
        <w:t xml:space="preserve">Advisory councils in </w:t>
      </w:r>
      <w:r>
        <w:t xml:space="preserve">Australia, Ireland and New Zealand and the NLB in Singapore </w:t>
      </w:r>
      <w:r w:rsidRPr="00BE52E0">
        <w:t xml:space="preserve">are required to submit to the Minister an annual report, which will ultimately be presented to the Parliament.  </w:t>
      </w:r>
    </w:p>
    <w:p w:rsidR="00E2600D" w:rsidRPr="00ED7045" w:rsidRDefault="00E2600D" w:rsidP="00B527B9">
      <w:pPr>
        <w:rPr>
          <w:rFonts w:cs="Arial"/>
          <w:sz w:val="22"/>
          <w:szCs w:val="22"/>
          <w:lang w:val="en-US"/>
        </w:rPr>
      </w:pPr>
    </w:p>
    <w:p w:rsidR="00E2600D" w:rsidRPr="00ED7045" w:rsidRDefault="00E2600D" w:rsidP="00B527B9">
      <w:pPr>
        <w:rPr>
          <w:rFonts w:cs="Arial"/>
          <w:sz w:val="22"/>
          <w:szCs w:val="22"/>
        </w:rPr>
      </w:pPr>
    </w:p>
    <w:p w:rsidR="00E2600D" w:rsidRPr="00BE52E0" w:rsidRDefault="00E2600D" w:rsidP="00B527B9">
      <w:pPr>
        <w:pStyle w:val="Heading2"/>
      </w:pPr>
      <w:r w:rsidRPr="00BE52E0">
        <w:t xml:space="preserve">Issues for </w:t>
      </w:r>
      <w:r w:rsidRPr="00BE52E0">
        <w:rPr>
          <w:rFonts w:hint="eastAsia"/>
        </w:rPr>
        <w:t>p</w:t>
      </w:r>
      <w:r w:rsidRPr="00BE52E0">
        <w:t xml:space="preserve">ublic </w:t>
      </w:r>
      <w:r w:rsidRPr="00BE52E0">
        <w:rPr>
          <w:rFonts w:hint="eastAsia"/>
        </w:rPr>
        <w:t>c</w:t>
      </w:r>
      <w:r w:rsidRPr="00BE52E0">
        <w:t>onsultation</w:t>
      </w:r>
    </w:p>
    <w:p w:rsidR="00E2600D" w:rsidRPr="00BE52E0" w:rsidRDefault="00E2600D" w:rsidP="00B527B9">
      <w:pPr>
        <w:rPr>
          <w:rFonts w:cs="Arial"/>
        </w:rPr>
      </w:pPr>
    </w:p>
    <w:p w:rsidR="00E2600D" w:rsidRPr="00BE52E0" w:rsidRDefault="00E2600D" w:rsidP="00B527B9">
      <w:r w:rsidRPr="00BE52E0">
        <w:t>4.31</w:t>
      </w:r>
      <w:r w:rsidRPr="00BE52E0">
        <w:tab/>
      </w:r>
      <w:r w:rsidRPr="00BE52E0">
        <w:tab/>
        <w:t>As can be seen from the above discussion, no one single model of placement and governance structure of the archives is universally accepted as ideal, and each jurisdiction should decide what is in its best interest.  The ultimate consideration is that the system adopted should best serve the archives, its users and the public, in the sense of facilitating achievement of the archives</w:t>
      </w:r>
      <w:r>
        <w:t>'</w:t>
      </w:r>
      <w:r w:rsidRPr="00BE52E0">
        <w:t xml:space="preserve"> mission and objective.  As remarked in the </w:t>
      </w:r>
      <w:r w:rsidRPr="00BE52E0">
        <w:rPr>
          <w:i/>
        </w:rPr>
        <w:t>Parer</w:t>
      </w:r>
      <w:r>
        <w:rPr>
          <w:i/>
        </w:rPr>
        <w:t>'</w:t>
      </w:r>
      <w:r w:rsidRPr="00BE52E0">
        <w:rPr>
          <w:i/>
        </w:rPr>
        <w:t>s Report</w:t>
      </w:r>
      <w:r w:rsidRPr="00BE52E0">
        <w:rPr>
          <w:rFonts w:hint="eastAsia"/>
          <w:i/>
        </w:rPr>
        <w:t>:-</w:t>
      </w:r>
      <w:r w:rsidRPr="00BE52E0">
        <w:rPr>
          <w:rStyle w:val="FootnoteReference"/>
          <w:i/>
        </w:rPr>
        <w:footnoteReference w:id="254"/>
      </w:r>
    </w:p>
    <w:p w:rsidR="00E2600D" w:rsidRPr="00BE52E0" w:rsidRDefault="00E2600D" w:rsidP="00B527B9">
      <w:pPr>
        <w:rPr>
          <w:rFonts w:cs="Arial"/>
        </w:rPr>
      </w:pPr>
    </w:p>
    <w:p w:rsidR="00E2600D" w:rsidRPr="00BE52E0" w:rsidRDefault="00E2600D" w:rsidP="00B527B9">
      <w:pPr>
        <w:pStyle w:val="BlockText"/>
      </w:pPr>
      <w:r w:rsidRPr="00CF6BED">
        <w:rPr>
          <w:i w:val="0"/>
        </w:rPr>
        <w:t>"</w:t>
      </w:r>
      <w:r w:rsidRPr="00BE52E0">
        <w:t>There are advantages and disadvantages inherent in each choice.  Decisions on placement may be guided by an archives</w:t>
      </w:r>
      <w:r>
        <w:t>'</w:t>
      </w:r>
      <w:r w:rsidRPr="00BE52E0">
        <w:t xml:space="preserve"> need for autonomy, or need for support or protection.  How an archives is established and administratively placed within government is strategically important.  Each country must decide what best fits its needs.</w:t>
      </w:r>
      <w:r w:rsidRPr="00CF6BED">
        <w:rPr>
          <w:i w:val="0"/>
        </w:rPr>
        <w:t>"</w:t>
      </w:r>
      <w:r w:rsidRPr="00CF6BED">
        <w:rPr>
          <w:i w:val="0"/>
          <w:spacing w:val="-20"/>
        </w:rPr>
        <w:t xml:space="preserve"> </w:t>
      </w:r>
      <w:r w:rsidRPr="00BE52E0">
        <w:rPr>
          <w:rStyle w:val="FootnoteReference"/>
          <w:rFonts w:cs="Arial"/>
          <w:i w:val="0"/>
        </w:rPr>
        <w:footnoteReference w:id="255"/>
      </w:r>
    </w:p>
    <w:p w:rsidR="00E2600D" w:rsidRPr="00BE52E0" w:rsidRDefault="00E2600D" w:rsidP="00B527B9">
      <w:pPr>
        <w:ind w:left="720" w:firstLine="720"/>
        <w:rPr>
          <w:rFonts w:cs="Arial"/>
        </w:rPr>
      </w:pPr>
    </w:p>
    <w:p w:rsidR="00E2600D" w:rsidRPr="00BE52E0" w:rsidRDefault="00E2600D" w:rsidP="00B527B9">
      <w:r w:rsidRPr="00BE52E0">
        <w:t>4.32</w:t>
      </w:r>
      <w:r w:rsidRPr="00BE52E0">
        <w:tab/>
      </w:r>
      <w:r w:rsidRPr="00BE52E0">
        <w:tab/>
        <w:t xml:space="preserve">Both the </w:t>
      </w:r>
      <w:r w:rsidRPr="00BE52E0">
        <w:rPr>
          <w:i/>
        </w:rPr>
        <w:t>RAMP Study</w:t>
      </w:r>
      <w:r w:rsidRPr="00BE52E0">
        <w:t xml:space="preserve"> and </w:t>
      </w:r>
      <w:r w:rsidRPr="00BE52E0">
        <w:rPr>
          <w:i/>
        </w:rPr>
        <w:t>Parer</w:t>
      </w:r>
      <w:r>
        <w:rPr>
          <w:i/>
        </w:rPr>
        <w:t>'</w:t>
      </w:r>
      <w:r w:rsidRPr="00BE52E0">
        <w:rPr>
          <w:i/>
        </w:rPr>
        <w:t>s Report</w:t>
      </w:r>
      <w:r w:rsidRPr="00BE52E0">
        <w:t xml:space="preserve"> emphasised that as an archives service should be involved in records management activities of all government departments, it should be placed within the government hierarchy so that it can best achieve its objectives.  As a basic consideration, the archives should be placed under the jurisdiction of an influential Minister, who can be approached directly by the head of the archives.</w:t>
      </w:r>
      <w:r w:rsidRPr="00BE52E0">
        <w:rPr>
          <w:rStyle w:val="FootnoteReference"/>
          <w:rFonts w:cs="Arial"/>
        </w:rPr>
        <w:footnoteReference w:id="256"/>
      </w:r>
      <w:r w:rsidRPr="00BE52E0">
        <w:t xml:space="preserve"> </w:t>
      </w:r>
    </w:p>
    <w:p w:rsidR="00E2600D" w:rsidRPr="00BE52E0" w:rsidRDefault="00E2600D">
      <w:pPr>
        <w:rPr>
          <w:rFonts w:cs="Arial"/>
          <w:lang w:val="en-US"/>
        </w:rPr>
      </w:pPr>
    </w:p>
    <w:p w:rsidR="00E2600D" w:rsidRPr="00BE52E0" w:rsidRDefault="00E2600D" w:rsidP="00B527B9">
      <w:r w:rsidRPr="00BE52E0">
        <w:t>4.33</w:t>
      </w:r>
      <w:r w:rsidRPr="00BE52E0">
        <w:tab/>
      </w:r>
      <w:r w:rsidRPr="00BE52E0">
        <w:tab/>
        <w:t>The archives</w:t>
      </w:r>
      <w:r>
        <w:t>'</w:t>
      </w:r>
      <w:r w:rsidRPr="00BE52E0">
        <w:t xml:space="preserve"> placement and governance structure is, in our view, fundamental to the operation of the archives which may ultimately affect the </w:t>
      </w:r>
      <w:r w:rsidRPr="00BE52E0">
        <w:lastRenderedPageBreak/>
        <w:t xml:space="preserve">quality of the public records and archives to be preserved for and made available to the community.  Various jurisdictions studied above have established an advisory council to assist and support their national archives, although these jurisdictions differ in relation to the composition, power, function and other aspects of the council.  Given the value of the archives and the desirability of engaging the public in the shaping and development of a well-structured and responsible archival authority, we invite views on a number of issues as set out below.  </w:t>
      </w:r>
    </w:p>
    <w:p w:rsidR="00E2600D" w:rsidRPr="00BE52E0" w:rsidRDefault="00E2600D">
      <w:pPr>
        <w:rPr>
          <w:rFonts w:cs="Arial"/>
          <w:b/>
        </w:rPr>
      </w:pPr>
    </w:p>
    <w:p w:rsidR="00E2600D" w:rsidRPr="00BE52E0" w:rsidRDefault="00E2600D">
      <w:pPr>
        <w:rPr>
          <w:rFonts w:cs="Arial"/>
          <w:b/>
        </w:rPr>
      </w:pPr>
    </w:p>
    <w:p w:rsidR="00E2600D" w:rsidRPr="00BE52E0" w:rsidRDefault="00E2600D" w:rsidP="00B527B9">
      <w:pPr>
        <w:pBdr>
          <w:top w:val="single" w:sz="4" w:space="8" w:color="auto"/>
          <w:left w:val="single" w:sz="4" w:space="8" w:color="auto"/>
          <w:bottom w:val="single" w:sz="4" w:space="8" w:color="auto"/>
          <w:right w:val="single" w:sz="4" w:space="8" w:color="auto"/>
        </w:pBdr>
        <w:ind w:left="1440" w:right="720" w:hanging="720"/>
        <w:rPr>
          <w:rFonts w:cs="Arial"/>
          <w:b/>
        </w:rPr>
      </w:pPr>
      <w:r w:rsidRPr="00BE52E0">
        <w:rPr>
          <w:rFonts w:cs="Arial"/>
          <w:b/>
        </w:rPr>
        <w:t>Consultation Questions 1</w:t>
      </w:r>
    </w:p>
    <w:p w:rsidR="00E2600D" w:rsidRPr="00BE52E0" w:rsidRDefault="00E2600D" w:rsidP="00B527B9">
      <w:pPr>
        <w:pBdr>
          <w:top w:val="single" w:sz="4" w:space="8" w:color="auto"/>
          <w:left w:val="single" w:sz="4" w:space="8" w:color="auto"/>
          <w:bottom w:val="single" w:sz="4" w:space="8" w:color="auto"/>
          <w:right w:val="single" w:sz="4" w:space="8" w:color="auto"/>
        </w:pBdr>
        <w:ind w:left="1440" w:right="720" w:hanging="720"/>
        <w:rPr>
          <w:rFonts w:cs="Arial"/>
          <w:b/>
        </w:rPr>
      </w:pPr>
    </w:p>
    <w:p w:rsidR="00E2600D" w:rsidRPr="00BE52E0" w:rsidRDefault="00E2600D" w:rsidP="00D86E22">
      <w:pPr>
        <w:pStyle w:val="ListParagraph"/>
        <w:widowControl/>
        <w:numPr>
          <w:ilvl w:val="0"/>
          <w:numId w:val="25"/>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BE52E0">
        <w:rPr>
          <w:rFonts w:cs="Arial"/>
          <w:b/>
        </w:rPr>
        <w:t>Should the current placement of GRS within the Government continue?</w:t>
      </w:r>
    </w:p>
    <w:p w:rsidR="00E2600D" w:rsidRPr="00BE52E0" w:rsidRDefault="00E2600D" w:rsidP="00B527B9">
      <w:pPr>
        <w:pBdr>
          <w:top w:val="single" w:sz="4" w:space="8" w:color="auto"/>
          <w:left w:val="single" w:sz="4" w:space="8" w:color="auto"/>
          <w:bottom w:val="single" w:sz="4" w:space="8" w:color="auto"/>
          <w:right w:val="single" w:sz="4" w:space="8" w:color="auto"/>
        </w:pBdr>
        <w:ind w:left="1440" w:right="720" w:hanging="720"/>
        <w:rPr>
          <w:rFonts w:cs="Arial"/>
          <w:b/>
        </w:rPr>
      </w:pPr>
    </w:p>
    <w:p w:rsidR="00E2600D" w:rsidRPr="00BE52E0" w:rsidRDefault="00E2600D" w:rsidP="00D86E22">
      <w:pPr>
        <w:pStyle w:val="ListParagraph"/>
        <w:widowControl/>
        <w:numPr>
          <w:ilvl w:val="0"/>
          <w:numId w:val="25"/>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BE52E0">
        <w:rPr>
          <w:rFonts w:cs="Arial"/>
          <w:b/>
        </w:rPr>
        <w:t>If the answer to (i) is in the negative, in what way should the GRS</w:t>
      </w:r>
      <w:r>
        <w:rPr>
          <w:rFonts w:cs="Arial"/>
          <w:b/>
        </w:rPr>
        <w:t>'</w:t>
      </w:r>
      <w:r w:rsidRPr="00BE52E0">
        <w:rPr>
          <w:rFonts w:cs="Arial"/>
          <w:b/>
        </w:rPr>
        <w:t xml:space="preserve"> placement be changed, and what are the reasons for your suggestions?</w:t>
      </w:r>
    </w:p>
    <w:p w:rsidR="00E2600D" w:rsidRPr="00BE52E0" w:rsidRDefault="00E2600D" w:rsidP="00B527B9">
      <w:pPr>
        <w:pBdr>
          <w:top w:val="single" w:sz="4" w:space="8" w:color="auto"/>
          <w:left w:val="single" w:sz="4" w:space="8" w:color="auto"/>
          <w:bottom w:val="single" w:sz="4" w:space="8" w:color="auto"/>
          <w:right w:val="single" w:sz="4" w:space="8" w:color="auto"/>
        </w:pBdr>
        <w:ind w:left="1440" w:right="720" w:hanging="720"/>
        <w:rPr>
          <w:rFonts w:cs="Arial"/>
          <w:b/>
        </w:rPr>
      </w:pPr>
    </w:p>
    <w:p w:rsidR="00E2600D" w:rsidRPr="00BE52E0" w:rsidRDefault="00E2600D" w:rsidP="00D86E22">
      <w:pPr>
        <w:pStyle w:val="ListParagraph"/>
        <w:widowControl/>
        <w:numPr>
          <w:ilvl w:val="0"/>
          <w:numId w:val="25"/>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BE52E0">
        <w:rPr>
          <w:rFonts w:cs="Arial"/>
          <w:b/>
        </w:rPr>
        <w:t>Is there a need for the appointment of an advisory body to provide advice on public records and archives management matters?</w:t>
      </w:r>
    </w:p>
    <w:p w:rsidR="00E2600D" w:rsidRPr="00BE52E0" w:rsidRDefault="00E2600D" w:rsidP="00B527B9">
      <w:pPr>
        <w:pBdr>
          <w:top w:val="single" w:sz="4" w:space="8" w:color="auto"/>
          <w:left w:val="single" w:sz="4" w:space="8" w:color="auto"/>
          <w:bottom w:val="single" w:sz="4" w:space="8" w:color="auto"/>
          <w:right w:val="single" w:sz="4" w:space="8" w:color="auto"/>
        </w:pBdr>
        <w:ind w:left="1440" w:right="720" w:hanging="720"/>
        <w:rPr>
          <w:rFonts w:cs="Arial"/>
          <w:b/>
        </w:rPr>
      </w:pPr>
    </w:p>
    <w:p w:rsidR="00E2600D" w:rsidRPr="00BE52E0" w:rsidRDefault="00E2600D" w:rsidP="00D86E22">
      <w:pPr>
        <w:pStyle w:val="ListParagraph"/>
        <w:widowControl/>
        <w:numPr>
          <w:ilvl w:val="0"/>
          <w:numId w:val="25"/>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BE52E0">
        <w:rPr>
          <w:rFonts w:cs="Arial"/>
          <w:b/>
        </w:rPr>
        <w:t>If the answer to (iii) is in the affirmative, what should the role, composition and functions of the advisory body be?</w:t>
      </w:r>
    </w:p>
    <w:p w:rsidR="00E2600D" w:rsidRPr="00BE52E0" w:rsidRDefault="00E2600D" w:rsidP="00B527B9">
      <w:pPr>
        <w:rPr>
          <w:rFonts w:cs="Arial"/>
          <w:i/>
          <w:sz w:val="18"/>
          <w:szCs w:val="18"/>
        </w:rPr>
      </w:pPr>
    </w:p>
    <w:p w:rsidR="00E2600D" w:rsidRPr="00BE52E0" w:rsidRDefault="00E2600D" w:rsidP="00B527B9">
      <w:pPr>
        <w:rPr>
          <w:rFonts w:cs="Arial"/>
          <w:i/>
          <w:sz w:val="18"/>
          <w:szCs w:val="18"/>
        </w:rPr>
      </w:pPr>
    </w:p>
    <w:p w:rsidR="00DA7492" w:rsidRDefault="00DA7492" w:rsidP="00B527B9">
      <w:pPr>
        <w:rPr>
          <w:rFonts w:cs="Arial"/>
          <w:i/>
          <w:sz w:val="18"/>
          <w:szCs w:val="18"/>
        </w:rPr>
        <w:sectPr w:rsidR="00DA7492" w:rsidSect="00B527B9">
          <w:footerReference w:type="default" r:id="rId19"/>
          <w:footnotePr>
            <w:numStart w:val="49"/>
            <w:numRestart w:val="eachSect"/>
          </w:footnotePr>
          <w:pgSz w:w="11906" w:h="16838" w:code="9"/>
          <w:pgMar w:top="1440" w:right="1800" w:bottom="1440" w:left="1800" w:header="720" w:footer="720" w:gutter="0"/>
          <w:cols w:space="425"/>
          <w:docGrid w:type="linesAndChars" w:linePitch="360"/>
        </w:sectPr>
      </w:pPr>
    </w:p>
    <w:p w:rsidR="00DA7492" w:rsidRPr="00C71F5A" w:rsidRDefault="00DA7492" w:rsidP="00DA7492">
      <w:pPr>
        <w:pStyle w:val="Heading1"/>
      </w:pPr>
      <w:r w:rsidRPr="00C71F5A">
        <w:lastRenderedPageBreak/>
        <w:t xml:space="preserve">Chapter 5 </w:t>
      </w:r>
    </w:p>
    <w:p w:rsidR="00DA7492" w:rsidRPr="00C71F5A" w:rsidRDefault="00DA7492">
      <w:pPr>
        <w:rPr>
          <w:rFonts w:cs="Arial"/>
          <w:b/>
          <w:smallCaps/>
          <w:sz w:val="36"/>
          <w:szCs w:val="36"/>
        </w:rPr>
      </w:pPr>
    </w:p>
    <w:p w:rsidR="00DA7492" w:rsidRPr="00C71F5A" w:rsidRDefault="00DA7492" w:rsidP="00DA7492">
      <w:pPr>
        <w:pStyle w:val="Heading1"/>
      </w:pPr>
      <w:r w:rsidRPr="00C71F5A">
        <w:t>Administration and operations of the GRS</w:t>
      </w:r>
    </w:p>
    <w:p w:rsidR="00DA7492" w:rsidRPr="00C76688" w:rsidRDefault="00DA7492">
      <w:pPr>
        <w:rPr>
          <w:rFonts w:cs="Arial"/>
          <w:sz w:val="36"/>
          <w:szCs w:val="36"/>
        </w:rPr>
      </w:pPr>
      <w:r w:rsidRPr="00C76688">
        <w:rPr>
          <w:rFonts w:cs="Arial"/>
          <w:sz w:val="36"/>
          <w:szCs w:val="36"/>
        </w:rPr>
        <w:t>____________________________________</w:t>
      </w:r>
    </w:p>
    <w:p w:rsidR="00DA7492" w:rsidRPr="00C71F5A" w:rsidRDefault="00DA7492">
      <w:pPr>
        <w:pStyle w:val="ListParagraph"/>
        <w:ind w:left="0"/>
        <w:rPr>
          <w:rFonts w:cs="Arial"/>
          <w:b/>
        </w:rPr>
      </w:pPr>
    </w:p>
    <w:p w:rsidR="00DA7492" w:rsidRPr="00C71F5A" w:rsidRDefault="00DA7492">
      <w:pPr>
        <w:pStyle w:val="ListParagraph"/>
        <w:ind w:left="0"/>
        <w:rPr>
          <w:rFonts w:cs="Arial"/>
          <w:b/>
        </w:rPr>
      </w:pPr>
    </w:p>
    <w:p w:rsidR="00DA7492" w:rsidRPr="00C71F5A" w:rsidRDefault="00DA7492">
      <w:pPr>
        <w:pStyle w:val="ListParagraph"/>
        <w:ind w:left="0"/>
        <w:rPr>
          <w:rFonts w:cs="Arial"/>
          <w:b/>
        </w:rPr>
      </w:pPr>
    </w:p>
    <w:p w:rsidR="00DA7492" w:rsidRPr="00C71F5A" w:rsidRDefault="00DA7492" w:rsidP="00DA7492">
      <w:pPr>
        <w:pStyle w:val="Heading2"/>
      </w:pPr>
      <w:r w:rsidRPr="00C71F5A">
        <w:t>Introduction</w:t>
      </w:r>
    </w:p>
    <w:p w:rsidR="00DA7492" w:rsidRPr="00C71F5A" w:rsidRDefault="00DA7492">
      <w:pPr>
        <w:rPr>
          <w:rFonts w:cs="Arial"/>
        </w:rPr>
      </w:pPr>
    </w:p>
    <w:p w:rsidR="00DA7492" w:rsidRPr="00C71F5A" w:rsidRDefault="00DA7492">
      <w:r w:rsidRPr="00C71F5A">
        <w:t>5.1</w:t>
      </w:r>
      <w:r w:rsidRPr="00C71F5A">
        <w:tab/>
      </w:r>
      <w:r w:rsidRPr="00C71F5A">
        <w:tab/>
      </w:r>
      <w:r w:rsidRPr="00C71F5A">
        <w:rPr>
          <w:rFonts w:hint="eastAsia"/>
        </w:rPr>
        <w:t>T</w:t>
      </w:r>
      <w:r w:rsidRPr="00C71F5A">
        <w:t>his chapter identif</w:t>
      </w:r>
      <w:r w:rsidRPr="00C71F5A">
        <w:rPr>
          <w:rFonts w:hint="eastAsia"/>
        </w:rPr>
        <w:t>ies</w:t>
      </w:r>
      <w:r w:rsidRPr="00C71F5A">
        <w:t xml:space="preserve"> various aspects of the administration and operations of the GRS over which comments have been made by concerned groups and individuals.  We will then review the improvement measures that the Government has taken to address the comments, and the applicable laws and practices in various other jurisdictions</w:t>
      </w:r>
      <w:r w:rsidRPr="00C71F5A">
        <w:rPr>
          <w:rFonts w:hint="eastAsia"/>
        </w:rPr>
        <w:t xml:space="preserve"> in respect of each of these </w:t>
      </w:r>
      <w:r w:rsidRPr="00C71F5A">
        <w:t xml:space="preserve">comments.  </w:t>
      </w:r>
      <w:r w:rsidRPr="00C71F5A">
        <w:rPr>
          <w:rFonts w:hint="eastAsia"/>
        </w:rPr>
        <w:t>We will then highlight some specific</w:t>
      </w:r>
      <w:r w:rsidRPr="00C71F5A">
        <w:t xml:space="preserve"> issues for public consultation. </w:t>
      </w:r>
    </w:p>
    <w:p w:rsidR="00DA7492" w:rsidRPr="00C71F5A" w:rsidRDefault="00DA7492">
      <w:pPr>
        <w:rPr>
          <w:rFonts w:cs="Arial"/>
        </w:rPr>
      </w:pPr>
    </w:p>
    <w:p w:rsidR="00DA7492" w:rsidRPr="00C71F5A" w:rsidRDefault="00DA7492">
      <w:pPr>
        <w:rPr>
          <w:rFonts w:cs="Arial"/>
        </w:rPr>
      </w:pPr>
    </w:p>
    <w:p w:rsidR="00DA7492" w:rsidRPr="00C71F5A" w:rsidRDefault="00DA7492" w:rsidP="00ED5CFC">
      <w:pPr>
        <w:pStyle w:val="Heading2"/>
        <w:tabs>
          <w:tab w:val="left" w:pos="720"/>
        </w:tabs>
      </w:pPr>
      <w:r w:rsidRPr="00C71F5A">
        <w:t xml:space="preserve">(I) </w:t>
      </w:r>
      <w:r w:rsidRPr="00C71F5A">
        <w:rPr>
          <w:rFonts w:hint="eastAsia"/>
        </w:rPr>
        <w:tab/>
      </w:r>
      <w:r w:rsidRPr="00C71F5A">
        <w:t xml:space="preserve">Dissemination of </w:t>
      </w:r>
      <w:r w:rsidRPr="00C71F5A">
        <w:rPr>
          <w:rFonts w:hint="eastAsia"/>
        </w:rPr>
        <w:t>i</w:t>
      </w:r>
      <w:r w:rsidRPr="00C71F5A">
        <w:t>nformation about GRS</w:t>
      </w:r>
      <w:r>
        <w:t>'</w:t>
      </w:r>
      <w:r w:rsidRPr="00C71F5A">
        <w:t xml:space="preserve"> work</w:t>
      </w:r>
    </w:p>
    <w:p w:rsidR="00DA7492" w:rsidRPr="00C71F5A" w:rsidRDefault="00DA7492">
      <w:pPr>
        <w:rPr>
          <w:rFonts w:cs="Arial"/>
          <w:b/>
          <w:sz w:val="28"/>
          <w:szCs w:val="28"/>
        </w:rPr>
      </w:pPr>
    </w:p>
    <w:p w:rsidR="00DA7492" w:rsidRPr="00C71F5A" w:rsidRDefault="00DA7492" w:rsidP="00ED5CFC">
      <w:pPr>
        <w:pStyle w:val="Heading3"/>
        <w:tabs>
          <w:tab w:val="left" w:pos="720"/>
        </w:tabs>
      </w:pPr>
      <w:r w:rsidRPr="00C71F5A">
        <w:rPr>
          <w:rFonts w:hint="eastAsia"/>
        </w:rPr>
        <w:t>(a)</w:t>
      </w:r>
      <w:r w:rsidRPr="00C71F5A">
        <w:tab/>
        <w:t>Comments</w:t>
      </w:r>
    </w:p>
    <w:p w:rsidR="00DA7492" w:rsidRPr="00C71F5A" w:rsidRDefault="00DA7492">
      <w:pPr>
        <w:rPr>
          <w:rFonts w:cs="Arial"/>
        </w:rPr>
      </w:pPr>
    </w:p>
    <w:p w:rsidR="00DA7492" w:rsidRPr="00C71F5A" w:rsidRDefault="00DA7492" w:rsidP="00DA7492">
      <w:r w:rsidRPr="00C71F5A">
        <w:t>5.2</w:t>
      </w:r>
      <w:r w:rsidRPr="00C71F5A">
        <w:tab/>
      </w:r>
      <w:r w:rsidRPr="00C71F5A">
        <w:tab/>
      </w:r>
      <w:r w:rsidRPr="00C71F5A">
        <w:rPr>
          <w:rFonts w:hint="eastAsia"/>
        </w:rPr>
        <w:t>GRS was criticised for</w:t>
      </w:r>
      <w:r w:rsidRPr="00C71F5A">
        <w:t xml:space="preserve"> lack of transparency as it did not report on its work by way of publishing annual reports.  The lack of transparency was said to persist at various stages of records management, so that the public had no way of knowing what records of B/Ds had been destroyed or archived.  Information such as the records management policy statement, disposal schedules, self-assessment surveys was not made available to the public.  B/D</w:t>
      </w:r>
      <w:r>
        <w:t>'</w:t>
      </w:r>
      <w:r w:rsidRPr="00C71F5A">
        <w:t xml:space="preserve">s compliance with GRS requirements was also not </w:t>
      </w:r>
      <w:r w:rsidRPr="00C71F5A">
        <w:rPr>
          <w:rFonts w:hint="eastAsia"/>
        </w:rPr>
        <w:t xml:space="preserve">made </w:t>
      </w:r>
      <w:r w:rsidRPr="00C71F5A">
        <w:t>known.</w:t>
      </w:r>
      <w:r w:rsidRPr="00C71F5A">
        <w:rPr>
          <w:rStyle w:val="FootnoteReference"/>
          <w:rFonts w:cs="Arial"/>
        </w:rPr>
        <w:footnoteReference w:id="257"/>
      </w:r>
    </w:p>
    <w:p w:rsidR="00DA7492" w:rsidRPr="00C71F5A" w:rsidRDefault="00DA7492">
      <w:pPr>
        <w:ind w:left="720" w:hanging="720"/>
        <w:rPr>
          <w:rFonts w:cs="Arial"/>
        </w:rPr>
      </w:pPr>
    </w:p>
    <w:p w:rsidR="00DA7492" w:rsidRPr="00C71F5A" w:rsidRDefault="00DA7492">
      <w:r w:rsidRPr="00C71F5A">
        <w:t>5.3</w:t>
      </w:r>
      <w:r w:rsidRPr="00C71F5A">
        <w:tab/>
      </w:r>
      <w:r w:rsidRPr="00C71F5A">
        <w:tab/>
        <w:t>The Ombudsman suggested that the Government should, pending legislation, regularly disseminate information about the disposal of records so as to facilitate public understanding and enable public scrutiny of the B/Ds</w:t>
      </w:r>
      <w:r>
        <w:t>'</w:t>
      </w:r>
      <w:r w:rsidRPr="00C71F5A">
        <w:t xml:space="preserve"> disposal (in particular, destruction) of records.</w:t>
      </w:r>
      <w:r w:rsidRPr="00C71F5A">
        <w:rPr>
          <w:rStyle w:val="FootnoteReference"/>
          <w:rFonts w:cs="Arial"/>
        </w:rPr>
        <w:footnoteReference w:id="258"/>
      </w:r>
    </w:p>
    <w:p w:rsidR="00DA7492" w:rsidRPr="00C71F5A" w:rsidRDefault="00DA7492">
      <w:pPr>
        <w:pStyle w:val="ListParagraph"/>
        <w:ind w:left="0"/>
        <w:rPr>
          <w:rFonts w:cs="Arial"/>
        </w:rPr>
      </w:pPr>
    </w:p>
    <w:p w:rsidR="00DA7492" w:rsidRPr="00C71F5A" w:rsidRDefault="00DA7492">
      <w:pPr>
        <w:pStyle w:val="ListParagraph"/>
        <w:rPr>
          <w:rFonts w:cs="Arial"/>
        </w:rPr>
      </w:pPr>
    </w:p>
    <w:p w:rsidR="00DA7492" w:rsidRPr="00C71F5A" w:rsidRDefault="00DA7492" w:rsidP="00E95210">
      <w:pPr>
        <w:pStyle w:val="Heading3"/>
        <w:tabs>
          <w:tab w:val="left" w:pos="720"/>
        </w:tabs>
      </w:pPr>
      <w:r w:rsidRPr="00C71F5A">
        <w:rPr>
          <w:rFonts w:hint="eastAsia"/>
        </w:rPr>
        <w:t>(b)</w:t>
      </w:r>
      <w:r w:rsidRPr="00C71F5A">
        <w:tab/>
        <w:t>Government</w:t>
      </w:r>
      <w:r>
        <w:t>'</w:t>
      </w:r>
      <w:r w:rsidRPr="00C71F5A">
        <w:t xml:space="preserve">s </w:t>
      </w:r>
      <w:r w:rsidRPr="00C71F5A">
        <w:rPr>
          <w:rFonts w:hint="eastAsia"/>
        </w:rPr>
        <w:t>s</w:t>
      </w:r>
      <w:r w:rsidRPr="00C71F5A">
        <w:t xml:space="preserve">tance or </w:t>
      </w:r>
      <w:r w:rsidRPr="00C71F5A">
        <w:rPr>
          <w:rFonts w:hint="eastAsia"/>
        </w:rPr>
        <w:t>r</w:t>
      </w:r>
      <w:r w:rsidRPr="00C71F5A">
        <w:t>esponse</w:t>
      </w:r>
    </w:p>
    <w:p w:rsidR="00DA7492" w:rsidRPr="00C71F5A" w:rsidRDefault="00DA7492">
      <w:pPr>
        <w:pStyle w:val="ListParagraph"/>
        <w:keepNext/>
        <w:rPr>
          <w:rFonts w:cs="Arial"/>
        </w:rPr>
      </w:pPr>
    </w:p>
    <w:p w:rsidR="00DA7492" w:rsidRPr="00C71F5A" w:rsidRDefault="00DA7492">
      <w:pPr>
        <w:rPr>
          <w:lang w:eastAsia="zh-HK"/>
        </w:rPr>
      </w:pPr>
      <w:r w:rsidRPr="00C71F5A">
        <w:t>5.4</w:t>
      </w:r>
      <w:r w:rsidRPr="00C71F5A">
        <w:tab/>
      </w:r>
      <w:r w:rsidRPr="00C71F5A">
        <w:tab/>
        <w:t xml:space="preserve">The GRS has since taken various measures to address the issue of transparency:-  </w:t>
      </w:r>
    </w:p>
    <w:p w:rsidR="00DA7492" w:rsidRPr="00C71F5A" w:rsidRDefault="00DA7492">
      <w:pPr>
        <w:rPr>
          <w:rFonts w:cs="Arial"/>
        </w:rPr>
      </w:pPr>
    </w:p>
    <w:p w:rsidR="00DA7492" w:rsidRPr="00C71F5A" w:rsidRDefault="00DA7492" w:rsidP="00DA7492">
      <w:pPr>
        <w:pStyle w:val="ListBullet"/>
        <w:widowControl/>
        <w:adjustRightInd/>
      </w:pPr>
      <w:r w:rsidRPr="00C71F5A">
        <w:t>In March 2015, the GRS published its first annual report on its website.  Since then, annual reports ha</w:t>
      </w:r>
      <w:r w:rsidRPr="00C71F5A">
        <w:rPr>
          <w:rFonts w:hint="eastAsia"/>
        </w:rPr>
        <w:t>ve</w:t>
      </w:r>
      <w:r w:rsidRPr="00C71F5A">
        <w:t xml:space="preserve"> been </w:t>
      </w:r>
      <w:r w:rsidRPr="00C71F5A">
        <w:rPr>
          <w:rFonts w:hint="eastAsia"/>
        </w:rPr>
        <w:lastRenderedPageBreak/>
        <w:t xml:space="preserve">published </w:t>
      </w:r>
      <w:r w:rsidRPr="00C71F5A">
        <w:t>regular</w:t>
      </w:r>
      <w:r w:rsidRPr="00C71F5A">
        <w:rPr>
          <w:rFonts w:hint="eastAsia"/>
        </w:rPr>
        <w:t>ly</w:t>
      </w:r>
      <w:r w:rsidRPr="00C71F5A">
        <w:t xml:space="preserve"> </w:t>
      </w:r>
      <w:r w:rsidRPr="00C71F5A">
        <w:rPr>
          <w:rFonts w:hint="eastAsia"/>
        </w:rPr>
        <w:t>in subsequent years</w:t>
      </w:r>
      <w:r w:rsidRPr="00C71F5A">
        <w:t>.</w:t>
      </w:r>
      <w:r w:rsidRPr="00C71F5A">
        <w:rPr>
          <w:rStyle w:val="FootnoteReference"/>
          <w:rFonts w:cs="Arial"/>
        </w:rPr>
        <w:footnoteReference w:id="259"/>
      </w:r>
      <w:r w:rsidRPr="00C71F5A">
        <w:t xml:space="preserve">  GRS</w:t>
      </w:r>
      <w:r>
        <w:t>'</w:t>
      </w:r>
      <w:r w:rsidRPr="00C71F5A">
        <w:t xml:space="preserve"> </w:t>
      </w:r>
      <w:r w:rsidRPr="00C71F5A">
        <w:rPr>
          <w:lang w:eastAsia="zh-HK"/>
        </w:rPr>
        <w:t>a</w:t>
      </w:r>
      <w:r w:rsidRPr="00C71F5A">
        <w:t xml:space="preserve">nnual </w:t>
      </w:r>
      <w:r w:rsidRPr="00C71F5A">
        <w:rPr>
          <w:lang w:eastAsia="zh-HK"/>
        </w:rPr>
        <w:t>r</w:t>
      </w:r>
      <w:r w:rsidRPr="00C71F5A">
        <w:t>eport contains vital statistics on its major functions and activities, as well as highlights of newly released records</w:t>
      </w:r>
      <w:r w:rsidRPr="00C71F5A">
        <w:rPr>
          <w:rFonts w:hint="eastAsia"/>
        </w:rPr>
        <w:t xml:space="preserve">, </w:t>
      </w:r>
      <w:r w:rsidRPr="00C71F5A">
        <w:t>s</w:t>
      </w:r>
      <w:r w:rsidRPr="00C71F5A">
        <w:rPr>
          <w:rFonts w:hint="eastAsia"/>
        </w:rPr>
        <w:t>o as</w:t>
      </w:r>
      <w:r w:rsidRPr="00C71F5A">
        <w:t xml:space="preserve"> to facilitate public understanding of the Government</w:t>
      </w:r>
      <w:r>
        <w:t>'</w:t>
      </w:r>
      <w:r w:rsidRPr="00C71F5A">
        <w:t>s records management work as well as its archival collection.</w:t>
      </w:r>
    </w:p>
    <w:p w:rsidR="00DA7492" w:rsidRPr="00ED5CFC" w:rsidRDefault="00DA7492" w:rsidP="00DA7492">
      <w:pPr>
        <w:pStyle w:val="ListParagraph"/>
        <w:ind w:left="1418" w:hanging="709"/>
        <w:rPr>
          <w:rFonts w:cs="Arial"/>
          <w:sz w:val="20"/>
          <w:szCs w:val="20"/>
        </w:rPr>
      </w:pPr>
    </w:p>
    <w:p w:rsidR="00DA7492" w:rsidRPr="00C71F5A" w:rsidRDefault="00DA7492" w:rsidP="00DA7492">
      <w:pPr>
        <w:pStyle w:val="ListBullet"/>
        <w:widowControl/>
        <w:adjustRightInd/>
      </w:pPr>
      <w:r w:rsidRPr="00C71F5A">
        <w:rPr>
          <w:rFonts w:hint="eastAsia"/>
          <w:lang w:eastAsia="zh-HK"/>
        </w:rPr>
        <w:t>In May 2015</w:t>
      </w:r>
      <w:r w:rsidRPr="00C71F5A">
        <w:t>, the GRS uploaded the GARDS onto its website for public inspection.</w:t>
      </w:r>
      <w:r w:rsidRPr="00C71F5A">
        <w:rPr>
          <w:rStyle w:val="FootnoteReference"/>
          <w:rFonts w:cs="Arial"/>
        </w:rPr>
        <w:footnoteReference w:id="260"/>
      </w:r>
    </w:p>
    <w:p w:rsidR="00DA7492" w:rsidRPr="00ED5CFC" w:rsidRDefault="00DA7492" w:rsidP="00DA7492">
      <w:pPr>
        <w:pStyle w:val="ListParagraph"/>
        <w:ind w:left="1189" w:hanging="709"/>
        <w:rPr>
          <w:rFonts w:cs="Arial"/>
          <w:sz w:val="20"/>
          <w:szCs w:val="20"/>
        </w:rPr>
      </w:pPr>
    </w:p>
    <w:p w:rsidR="00DA7492" w:rsidRPr="00C71F5A" w:rsidRDefault="00DA7492" w:rsidP="00DA7492">
      <w:pPr>
        <w:pStyle w:val="ListBullet"/>
        <w:widowControl/>
        <w:adjustRightInd/>
        <w:rPr>
          <w:lang w:eastAsia="zh-HK"/>
        </w:rPr>
      </w:pPr>
      <w:r w:rsidRPr="00C71F5A">
        <w:t>In June 2016, the GRS launched a central platform for each</w:t>
      </w:r>
      <w:r w:rsidRPr="00C71F5A">
        <w:rPr>
          <w:rFonts w:hint="eastAsia"/>
        </w:rPr>
        <w:t xml:space="preserve"> </w:t>
      </w:r>
      <w:r w:rsidRPr="00C71F5A">
        <w:t>individual B/D</w:t>
      </w:r>
      <w:r w:rsidRPr="00C71F5A">
        <w:rPr>
          <w:rFonts w:hint="eastAsia"/>
        </w:rPr>
        <w:t xml:space="preserve"> </w:t>
      </w:r>
      <w:r w:rsidRPr="00C71F5A">
        <w:t>to publish its records destruction information on an annual basis includ</w:t>
      </w:r>
      <w:r w:rsidRPr="00C71F5A">
        <w:rPr>
          <w:rFonts w:hint="eastAsia"/>
        </w:rPr>
        <w:t>ing</w:t>
      </w:r>
      <w:r w:rsidRPr="00C71F5A">
        <w:t xml:space="preserve"> the types, quantities, contents or subject matters of the records approved by GRS for destruction by individual B/Ds.</w:t>
      </w:r>
      <w:r w:rsidRPr="00C71F5A">
        <w:rPr>
          <w:rStyle w:val="FootnoteReference"/>
          <w:rFonts w:cs="Arial"/>
        </w:rPr>
        <w:footnoteReference w:id="261"/>
      </w:r>
      <w:r w:rsidRPr="00C71F5A">
        <w:rPr>
          <w:lang w:eastAsia="zh-HK"/>
        </w:rPr>
        <w:t xml:space="preserve"> </w:t>
      </w:r>
    </w:p>
    <w:p w:rsidR="00DA7492" w:rsidRPr="00ED5CFC" w:rsidRDefault="00DA7492" w:rsidP="00DA7492">
      <w:pPr>
        <w:pStyle w:val="ListParagraph"/>
        <w:ind w:left="1418" w:hanging="709"/>
        <w:rPr>
          <w:rFonts w:cs="Arial"/>
          <w:sz w:val="20"/>
          <w:szCs w:val="20"/>
          <w:lang w:eastAsia="zh-HK"/>
        </w:rPr>
      </w:pPr>
    </w:p>
    <w:p w:rsidR="00DA7492" w:rsidRPr="00C71F5A" w:rsidRDefault="00DA7492" w:rsidP="00DA7492">
      <w:pPr>
        <w:pStyle w:val="ListBullet"/>
        <w:widowControl/>
        <w:adjustRightInd/>
      </w:pPr>
      <w:r w:rsidRPr="00C71F5A">
        <w:rPr>
          <w:rFonts w:hint="eastAsia"/>
          <w:lang w:eastAsia="zh-HK"/>
        </w:rPr>
        <w:t>I</w:t>
      </w:r>
      <w:r w:rsidRPr="00C71F5A">
        <w:t xml:space="preserve">n April 2017, the GRS also uploaded the </w:t>
      </w:r>
      <w:r w:rsidRPr="00C71F5A">
        <w:rPr>
          <w:rFonts w:hint="eastAsia"/>
          <w:lang w:eastAsia="zh-HK"/>
        </w:rPr>
        <w:t xml:space="preserve">government </w:t>
      </w:r>
      <w:r w:rsidRPr="00C71F5A">
        <w:t xml:space="preserve">records management manuals, guidelines and circulars </w:t>
      </w:r>
      <w:r w:rsidRPr="00C71F5A">
        <w:rPr>
          <w:rFonts w:hint="eastAsia"/>
          <w:lang w:eastAsia="zh-HK"/>
        </w:rPr>
        <w:t>onto its website</w:t>
      </w:r>
      <w:r w:rsidRPr="00C71F5A">
        <w:t>.</w:t>
      </w:r>
      <w:r w:rsidRPr="00C71F5A">
        <w:rPr>
          <w:rStyle w:val="FootnoteReference"/>
          <w:rFonts w:cs="Arial"/>
        </w:rPr>
        <w:footnoteReference w:id="262"/>
      </w:r>
    </w:p>
    <w:p w:rsidR="00DA7492" w:rsidRPr="00ED5CFC" w:rsidRDefault="00DA7492" w:rsidP="00DA7492">
      <w:pPr>
        <w:pStyle w:val="ListParagraph"/>
        <w:rPr>
          <w:sz w:val="20"/>
          <w:szCs w:val="20"/>
          <w:lang w:eastAsia="zh-HK"/>
        </w:rPr>
      </w:pPr>
    </w:p>
    <w:p w:rsidR="00DA7492" w:rsidRPr="00C71F5A" w:rsidRDefault="00DA7492" w:rsidP="00DA7492">
      <w:pPr>
        <w:pStyle w:val="ListBullet"/>
        <w:widowControl/>
        <w:adjustRightInd/>
      </w:pPr>
      <w:r w:rsidRPr="00C71F5A">
        <w:rPr>
          <w:lang w:eastAsia="zh-HK"/>
        </w:rPr>
        <w:t>In the GRS Annual Report 2016 issued in July 2017, the GRS included the information about B/Ds</w:t>
      </w:r>
      <w:r>
        <w:rPr>
          <w:lang w:eastAsia="zh-HK"/>
        </w:rPr>
        <w:t>'</w:t>
      </w:r>
      <w:r w:rsidRPr="00C71F5A">
        <w:rPr>
          <w:lang w:eastAsia="zh-HK"/>
        </w:rPr>
        <w:t xml:space="preserve"> compliance with the mandatory records management requirements.</w:t>
      </w:r>
    </w:p>
    <w:p w:rsidR="00DA7492" w:rsidRPr="00ED5CFC" w:rsidRDefault="00DA7492" w:rsidP="00DA7492">
      <w:pPr>
        <w:pStyle w:val="ListParagraph"/>
        <w:rPr>
          <w:sz w:val="20"/>
          <w:szCs w:val="20"/>
        </w:rPr>
      </w:pPr>
    </w:p>
    <w:p w:rsidR="00DA7492" w:rsidRPr="00C71F5A" w:rsidRDefault="00DA7492" w:rsidP="00DA7492">
      <w:pPr>
        <w:pStyle w:val="ListBullet"/>
        <w:widowControl/>
        <w:adjustRightInd/>
      </w:pPr>
      <w:r w:rsidRPr="00C71F5A">
        <w:rPr>
          <w:lang w:val="en-US"/>
        </w:rPr>
        <w:t>In July 2017, GRS revamped its website to provide a more user-friendly interface for users to browse the information therein and to access the archival holdings.  To enhance the transparency of the records management system of the Government, there is a new section in the revamped website which gives an overview of the records management system in the Government and the work done by the GRS to preserve the archival holdings.  Government circulars, standards, guidelines, manuals and publications on records management are also accessible on the revamped website.</w:t>
      </w:r>
    </w:p>
    <w:p w:rsidR="00DA7492" w:rsidRPr="00ED5CFC" w:rsidRDefault="00DA7492">
      <w:pPr>
        <w:pStyle w:val="ListParagraph"/>
        <w:ind w:left="0"/>
        <w:rPr>
          <w:rFonts w:cs="Arial"/>
          <w:sz w:val="22"/>
          <w:szCs w:val="22"/>
        </w:rPr>
      </w:pPr>
    </w:p>
    <w:p w:rsidR="00DA7492" w:rsidRPr="00ED5CFC" w:rsidRDefault="00DA7492">
      <w:pPr>
        <w:pStyle w:val="ListParagraph"/>
        <w:ind w:left="0"/>
        <w:rPr>
          <w:rFonts w:cs="Arial"/>
          <w:b/>
          <w:sz w:val="22"/>
          <w:szCs w:val="22"/>
        </w:rPr>
      </w:pPr>
    </w:p>
    <w:p w:rsidR="00DA7492" w:rsidRPr="00C71F5A" w:rsidRDefault="00DA7492" w:rsidP="00ED5CFC">
      <w:pPr>
        <w:pStyle w:val="Heading3"/>
        <w:tabs>
          <w:tab w:val="left" w:pos="720"/>
        </w:tabs>
      </w:pPr>
      <w:r w:rsidRPr="00C71F5A">
        <w:t>(c)</w:t>
      </w:r>
      <w:r w:rsidRPr="00C71F5A">
        <w:tab/>
        <w:t xml:space="preserve">Other </w:t>
      </w:r>
      <w:r w:rsidRPr="00C71F5A">
        <w:rPr>
          <w:rFonts w:hint="eastAsia"/>
        </w:rPr>
        <w:t>j</w:t>
      </w:r>
      <w:r w:rsidRPr="00C71F5A">
        <w:t>urisdictions</w:t>
      </w:r>
      <w:r w:rsidRPr="00C71F5A">
        <w:rPr>
          <w:sz w:val="28"/>
          <w:szCs w:val="28"/>
        </w:rPr>
        <w:t xml:space="preserve"> </w:t>
      </w:r>
    </w:p>
    <w:p w:rsidR="00DA7492" w:rsidRPr="00C71F5A" w:rsidRDefault="00DA7492">
      <w:pPr>
        <w:pStyle w:val="ListParagraph"/>
        <w:keepNext/>
        <w:rPr>
          <w:rFonts w:cs="Arial"/>
        </w:rPr>
      </w:pPr>
    </w:p>
    <w:p w:rsidR="00DA7492" w:rsidRPr="00C71F5A" w:rsidRDefault="00DA7492">
      <w:r w:rsidRPr="00D86E22">
        <w:rPr>
          <w:shd w:val="clear" w:color="auto" w:fill="FFFFFF"/>
        </w:rPr>
        <w:t>5.5</w:t>
      </w:r>
      <w:r w:rsidRPr="00D86E22">
        <w:rPr>
          <w:shd w:val="clear" w:color="auto" w:fill="FFFFFF"/>
        </w:rPr>
        <w:tab/>
      </w:r>
      <w:r w:rsidRPr="00D86E22">
        <w:rPr>
          <w:shd w:val="clear" w:color="auto" w:fill="FFFFFF"/>
        </w:rPr>
        <w:tab/>
      </w:r>
      <w:r w:rsidRPr="00D86E22">
        <w:rPr>
          <w:rFonts w:hint="eastAsia"/>
          <w:shd w:val="clear" w:color="auto" w:fill="FFFFFF"/>
        </w:rPr>
        <w:t>D</w:t>
      </w:r>
      <w:r w:rsidRPr="00D86E22">
        <w:rPr>
          <w:shd w:val="clear" w:color="auto" w:fill="FFFFFF"/>
        </w:rPr>
        <w:t xml:space="preserve">issemination of information is achieved through different means in other jurisdictions.  </w:t>
      </w:r>
      <w:r w:rsidRPr="00C71F5A">
        <w:rPr>
          <w:rFonts w:hint="eastAsia"/>
        </w:rPr>
        <w:t>For example</w:t>
      </w:r>
      <w:r w:rsidRPr="00C71F5A">
        <w:t>, their archives laws requir</w:t>
      </w:r>
      <w:r w:rsidRPr="00C71F5A">
        <w:rPr>
          <w:rFonts w:hint="eastAsia"/>
        </w:rPr>
        <w:t>e</w:t>
      </w:r>
      <w:r w:rsidRPr="00C71F5A">
        <w:t xml:space="preserve"> the archival </w:t>
      </w:r>
      <w:r w:rsidRPr="00C71F5A">
        <w:lastRenderedPageBreak/>
        <w:t>authority and/or relevant advisory body to submit annual reports which will be presented to the legislature</w:t>
      </w:r>
      <w:r w:rsidRPr="00C71F5A">
        <w:rPr>
          <w:rFonts w:hint="eastAsia"/>
        </w:rPr>
        <w:t xml:space="preserve"> and</w:t>
      </w:r>
      <w:r w:rsidRPr="00C71F5A">
        <w:t xml:space="preserve"> uploaded to the archival authority</w:t>
      </w:r>
      <w:r>
        <w:t>'</w:t>
      </w:r>
      <w:r w:rsidRPr="00C71F5A">
        <w:t>s website.  Other documents and information commonly shared in the</w:t>
      </w:r>
      <w:r w:rsidRPr="00C71F5A">
        <w:rPr>
          <w:rFonts w:hint="eastAsia"/>
        </w:rPr>
        <w:t>ir</w:t>
      </w:r>
      <w:r w:rsidRPr="00C71F5A">
        <w:t xml:space="preserve"> archives</w:t>
      </w:r>
      <w:r>
        <w:t>'</w:t>
      </w:r>
      <w:r w:rsidRPr="00C71F5A">
        <w:t xml:space="preserve"> website</w:t>
      </w:r>
      <w:r w:rsidRPr="00C71F5A">
        <w:rPr>
          <w:rFonts w:hint="eastAsia"/>
        </w:rPr>
        <w:t>s</w:t>
      </w:r>
      <w:r w:rsidRPr="00C71F5A">
        <w:t xml:space="preserve"> include information regarding their organisation</w:t>
      </w:r>
      <w:r w:rsidRPr="00C71F5A">
        <w:rPr>
          <w:rFonts w:hint="eastAsia"/>
        </w:rPr>
        <w:t>s</w:t>
      </w:r>
      <w:r w:rsidRPr="00C71F5A">
        <w:t>, their records management policies, guidelines and advice, as well as their services, projects and action plans.</w:t>
      </w:r>
      <w:r w:rsidRPr="00C71F5A">
        <w:rPr>
          <w:rStyle w:val="FootnoteReference"/>
          <w:rFonts w:cs="Arial"/>
        </w:rPr>
        <w:footnoteReference w:id="263"/>
      </w:r>
      <w:r w:rsidRPr="00C71F5A">
        <w:t xml:space="preserve">  </w:t>
      </w:r>
    </w:p>
    <w:p w:rsidR="00DA7492" w:rsidRPr="00C71F5A" w:rsidRDefault="00DA7492" w:rsidP="00DA7492">
      <w:pPr>
        <w:pStyle w:val="ListParagraph"/>
        <w:ind w:left="480" w:hangingChars="200" w:hanging="480"/>
        <w:rPr>
          <w:rFonts w:cs="Arial"/>
        </w:rPr>
      </w:pPr>
    </w:p>
    <w:p w:rsidR="00DA7492" w:rsidRPr="00C71F5A" w:rsidRDefault="00DA7492">
      <w:r w:rsidRPr="00C71F5A">
        <w:t>5.6</w:t>
      </w:r>
      <w:r w:rsidRPr="00C71F5A">
        <w:tab/>
      </w:r>
      <w:r w:rsidRPr="00C71F5A">
        <w:tab/>
        <w:t xml:space="preserve">While the archival authorities in </w:t>
      </w:r>
      <w:r w:rsidRPr="00C71F5A">
        <w:rPr>
          <w:rFonts w:hint="eastAsia"/>
        </w:rPr>
        <w:t xml:space="preserve">Australia, </w:t>
      </w:r>
      <w:r w:rsidRPr="00C71F5A">
        <w:t xml:space="preserve">England, Ireland and Singapore have published records management policies and guidelines on their websites, this is not </w:t>
      </w:r>
      <w:r w:rsidRPr="00C71F5A">
        <w:rPr>
          <w:rFonts w:hint="eastAsia"/>
        </w:rPr>
        <w:t xml:space="preserve">required </w:t>
      </w:r>
      <w:r w:rsidRPr="00C71F5A">
        <w:t xml:space="preserve">by their laws which generally simply impose upon them, </w:t>
      </w:r>
      <w:r w:rsidRPr="00C71F5A">
        <w:rPr>
          <w:i/>
        </w:rPr>
        <w:t>inter alia</w:t>
      </w:r>
      <w:r w:rsidRPr="00C71F5A">
        <w:t>, the broad responsibility to provide advice to public authorities on record management</w:t>
      </w:r>
      <w:r w:rsidRPr="00C71F5A">
        <w:rPr>
          <w:rFonts w:hint="eastAsia"/>
        </w:rPr>
        <w:t xml:space="preserve"> matters</w:t>
      </w:r>
      <w:r w:rsidRPr="00C71F5A">
        <w:t>.</w:t>
      </w:r>
      <w:r w:rsidRPr="00C71F5A">
        <w:rPr>
          <w:rStyle w:val="FootnoteReference"/>
          <w:rFonts w:cs="Arial"/>
        </w:rPr>
        <w:footnoteReference w:id="264"/>
      </w:r>
    </w:p>
    <w:p w:rsidR="00DA7492" w:rsidRPr="00C71F5A" w:rsidRDefault="00DA7492">
      <w:pPr>
        <w:pStyle w:val="ListParagraph"/>
        <w:rPr>
          <w:rFonts w:cs="Arial"/>
        </w:rPr>
      </w:pPr>
    </w:p>
    <w:p w:rsidR="00DA7492" w:rsidRPr="00C71F5A" w:rsidRDefault="00DA7492">
      <w:r w:rsidRPr="00C71F5A">
        <w:t>5.7</w:t>
      </w:r>
      <w:r w:rsidRPr="00C71F5A">
        <w:tab/>
      </w:r>
      <w:r w:rsidRPr="00C71F5A">
        <w:tab/>
        <w:t xml:space="preserve">Uniquely, </w:t>
      </w:r>
      <w:r w:rsidRPr="00C71F5A">
        <w:rPr>
          <w:rFonts w:hint="eastAsia"/>
        </w:rPr>
        <w:t xml:space="preserve">the 2005 Act </w:t>
      </w:r>
      <w:r w:rsidRPr="00C71F5A">
        <w:t xml:space="preserve">in New Zealand not only empowers the Chief Archivist to advise public authorities by issuing </w:t>
      </w:r>
      <w:r w:rsidRPr="00C71F5A">
        <w:rPr>
          <w:rFonts w:hint="eastAsia"/>
        </w:rPr>
        <w:t xml:space="preserve">records management </w:t>
      </w:r>
      <w:r w:rsidRPr="00C71F5A">
        <w:t xml:space="preserve">standards, it </w:t>
      </w:r>
      <w:r w:rsidRPr="00C71F5A">
        <w:rPr>
          <w:rFonts w:hint="eastAsia"/>
        </w:rPr>
        <w:t xml:space="preserve">also requires </w:t>
      </w:r>
      <w:r w:rsidRPr="00C71F5A">
        <w:t xml:space="preserve">him to </w:t>
      </w:r>
      <w:r w:rsidRPr="00C71F5A">
        <w:rPr>
          <w:i/>
        </w:rPr>
        <w:t>publish</w:t>
      </w:r>
      <w:r w:rsidRPr="00C71F5A">
        <w:t xml:space="preserve"> such standards.</w:t>
      </w:r>
      <w:r w:rsidRPr="00C71F5A">
        <w:rPr>
          <w:rStyle w:val="FootnoteReference"/>
          <w:rFonts w:cs="Arial"/>
        </w:rPr>
        <w:footnoteReference w:id="265"/>
      </w:r>
      <w:r w:rsidRPr="00C71F5A">
        <w:t xml:space="preserve">  </w:t>
      </w:r>
    </w:p>
    <w:p w:rsidR="00DA7492" w:rsidRPr="00C71F5A" w:rsidRDefault="00DA7492">
      <w:pPr>
        <w:pStyle w:val="ListParagraph"/>
        <w:rPr>
          <w:rFonts w:cs="Arial"/>
        </w:rPr>
      </w:pPr>
    </w:p>
    <w:p w:rsidR="00DA7492" w:rsidRPr="00D86E22" w:rsidRDefault="00DA7492">
      <w:pPr>
        <w:rPr>
          <w:color w:val="333333"/>
          <w:sz w:val="25"/>
          <w:szCs w:val="25"/>
          <w:shd w:val="clear" w:color="auto" w:fill="FFFFFF"/>
          <w:lang w:val="en-NZ"/>
        </w:rPr>
      </w:pPr>
      <w:r w:rsidRPr="00D86E22">
        <w:rPr>
          <w:shd w:val="clear" w:color="auto" w:fill="FFFFFF"/>
        </w:rPr>
        <w:t>5.8</w:t>
      </w:r>
      <w:r w:rsidRPr="00D86E22">
        <w:rPr>
          <w:shd w:val="clear" w:color="auto" w:fill="FFFFFF"/>
        </w:rPr>
        <w:tab/>
      </w:r>
      <w:r w:rsidRPr="00D86E22">
        <w:rPr>
          <w:shd w:val="clear" w:color="auto" w:fill="FFFFFF"/>
        </w:rPr>
        <w:tab/>
        <w:t>Keeping registers available for public inspection is another way to enhance</w:t>
      </w:r>
      <w:r w:rsidRPr="00D86E22">
        <w:rPr>
          <w:rFonts w:hint="eastAsia"/>
          <w:shd w:val="clear" w:color="auto" w:fill="FFFFFF"/>
        </w:rPr>
        <w:t xml:space="preserve"> transparency</w:t>
      </w:r>
      <w:r w:rsidRPr="00D86E22">
        <w:rPr>
          <w:shd w:val="clear" w:color="auto" w:fill="FFFFFF"/>
        </w:rPr>
        <w:t xml:space="preserve">.  </w:t>
      </w:r>
      <w:r w:rsidRPr="00D86E22">
        <w:rPr>
          <w:rFonts w:hint="eastAsia"/>
          <w:shd w:val="clear" w:color="auto" w:fill="FFFFFF"/>
        </w:rPr>
        <w:t>T</w:t>
      </w:r>
      <w:r w:rsidRPr="00D86E22">
        <w:rPr>
          <w:shd w:val="clear" w:color="auto" w:fill="FFFFFF"/>
        </w:rPr>
        <w:t>he</w:t>
      </w:r>
      <w:r w:rsidRPr="00C71F5A">
        <w:t xml:space="preserve"> </w:t>
      </w:r>
      <w:r w:rsidRPr="00C71F5A">
        <w:rPr>
          <w:rFonts w:hint="eastAsia"/>
        </w:rPr>
        <w:t>2005 Act</w:t>
      </w:r>
      <w:r w:rsidRPr="00C71F5A">
        <w:t xml:space="preserve"> in New Zealand requires the Chief Archivist </w:t>
      </w:r>
      <w:r w:rsidRPr="00C71F5A">
        <w:rPr>
          <w:rFonts w:hint="eastAsia"/>
        </w:rPr>
        <w:t xml:space="preserve">to </w:t>
      </w:r>
      <w:r w:rsidRPr="00C71F5A">
        <w:t>keep various registers, including a register of deferral of transfer of records and a register of different types of records, and make them available for public inspection.</w:t>
      </w:r>
      <w:r w:rsidRPr="00D86E22">
        <w:rPr>
          <w:rStyle w:val="FootnoteReference"/>
          <w:rFonts w:cs="Arial"/>
          <w:shd w:val="clear" w:color="auto" w:fill="FFFFFF"/>
        </w:rPr>
        <w:footnoteReference w:id="266"/>
      </w:r>
      <w:r w:rsidRPr="00D86E22">
        <w:rPr>
          <w:shd w:val="clear" w:color="auto" w:fill="FFFFFF"/>
        </w:rPr>
        <w:t xml:space="preserve"> </w:t>
      </w:r>
      <w:r w:rsidRPr="00D86E22">
        <w:rPr>
          <w:rFonts w:hint="eastAsia"/>
          <w:shd w:val="clear" w:color="auto" w:fill="FFFFFF"/>
        </w:rPr>
        <w:t xml:space="preserve"> </w:t>
      </w:r>
      <w:r w:rsidRPr="00D86E22">
        <w:rPr>
          <w:shd w:val="clear" w:color="auto" w:fill="FFFFFF"/>
        </w:rPr>
        <w:t>Similarly, the NAA in Australia is also required to maintain the Australian National Register of Records, the Australian National Guide to Archival Material and the Australian National Register of Research Involving Archives, with the latter two opened for public inspection.</w:t>
      </w:r>
      <w:r w:rsidRPr="00D86E22">
        <w:rPr>
          <w:rStyle w:val="FootnoteReference"/>
          <w:rFonts w:cs="Arial"/>
          <w:shd w:val="clear" w:color="auto" w:fill="FFFFFF"/>
        </w:rPr>
        <w:footnoteReference w:id="267"/>
      </w:r>
      <w:r w:rsidRPr="00D86E22">
        <w:rPr>
          <w:shd w:val="clear" w:color="auto" w:fill="FFFFFF"/>
        </w:rPr>
        <w:t xml:space="preserve"> </w:t>
      </w:r>
      <w:r w:rsidRPr="00D86E22">
        <w:rPr>
          <w:rFonts w:hint="eastAsia"/>
          <w:shd w:val="clear" w:color="auto" w:fill="FFFFFF"/>
        </w:rPr>
        <w:t xml:space="preserve"> </w:t>
      </w:r>
      <w:r w:rsidRPr="00D86E22">
        <w:rPr>
          <w:shd w:val="clear" w:color="auto" w:fill="FFFFFF"/>
        </w:rPr>
        <w:t>No such specific obligation is found in the archives law in England, Ireland or Singapore, where comparable provisions are more open-ended and provide that the archival authority may compile and make available lists of records held in their custody and preservation.</w:t>
      </w:r>
      <w:r w:rsidRPr="00D86E22">
        <w:rPr>
          <w:rStyle w:val="FootnoteReference"/>
          <w:rFonts w:cs="Arial"/>
          <w:shd w:val="clear" w:color="auto" w:fill="FFFFFF"/>
        </w:rPr>
        <w:footnoteReference w:id="268"/>
      </w:r>
      <w:r w:rsidRPr="00D86E22">
        <w:rPr>
          <w:shd w:val="clear" w:color="auto" w:fill="FFFFFF"/>
        </w:rPr>
        <w:t xml:space="preserve"> </w:t>
      </w:r>
    </w:p>
    <w:p w:rsidR="00DA7492" w:rsidRPr="00D86E22" w:rsidRDefault="00DA7492" w:rsidP="00E95210">
      <w:pPr>
        <w:pStyle w:val="subprov1"/>
        <w:shd w:val="clear" w:color="auto" w:fill="FFFFFF"/>
        <w:spacing w:before="0" w:after="0" w:line="240" w:lineRule="auto"/>
        <w:rPr>
          <w:rFonts w:ascii="Arial" w:hAnsi="Arial" w:cs="Arial"/>
          <w:color w:val="333333"/>
          <w:kern w:val="2"/>
          <w:sz w:val="25"/>
          <w:szCs w:val="25"/>
          <w:lang w:val="en-NZ"/>
        </w:rPr>
      </w:pPr>
    </w:p>
    <w:p w:rsidR="00DA7492" w:rsidRPr="00D86E22" w:rsidRDefault="00DA7492">
      <w:pPr>
        <w:pStyle w:val="subprov1"/>
        <w:shd w:val="clear" w:color="auto" w:fill="FFFFFF"/>
        <w:spacing w:before="0" w:after="0" w:line="240" w:lineRule="auto"/>
        <w:ind w:leftChars="-5" w:left="-2" w:hangingChars="4" w:hanging="10"/>
        <w:rPr>
          <w:rFonts w:ascii="Arial" w:hAnsi="Arial" w:cs="Arial"/>
          <w:b/>
          <w:color w:val="333333"/>
          <w:kern w:val="2"/>
          <w:sz w:val="25"/>
          <w:szCs w:val="25"/>
          <w:lang w:val="en-NZ"/>
        </w:rPr>
      </w:pPr>
    </w:p>
    <w:p w:rsidR="00DA7492" w:rsidRPr="00C71F5A" w:rsidRDefault="00DA7492">
      <w:pPr>
        <w:pStyle w:val="Heading2"/>
      </w:pPr>
      <w:r w:rsidRPr="00C71F5A">
        <w:rPr>
          <w:lang w:val="en-NZ"/>
        </w:rPr>
        <w:t xml:space="preserve">Issues for </w:t>
      </w:r>
      <w:r w:rsidRPr="00C71F5A">
        <w:rPr>
          <w:rFonts w:hint="eastAsia"/>
          <w:lang w:val="en-NZ"/>
        </w:rPr>
        <w:t>p</w:t>
      </w:r>
      <w:r w:rsidRPr="00C71F5A">
        <w:rPr>
          <w:lang w:val="en-NZ"/>
        </w:rPr>
        <w:t xml:space="preserve">ublic </w:t>
      </w:r>
      <w:r w:rsidRPr="00C71F5A">
        <w:rPr>
          <w:rFonts w:hint="eastAsia"/>
          <w:lang w:val="en-NZ"/>
        </w:rPr>
        <w:t>c</w:t>
      </w:r>
      <w:r w:rsidRPr="00C71F5A">
        <w:rPr>
          <w:lang w:val="en-NZ"/>
        </w:rPr>
        <w:t xml:space="preserve">onsultation </w:t>
      </w:r>
    </w:p>
    <w:p w:rsidR="00DA7492" w:rsidRPr="00C71F5A" w:rsidRDefault="00DA7492">
      <w:pPr>
        <w:pStyle w:val="subprov1"/>
        <w:shd w:val="clear" w:color="auto" w:fill="FFFFFF"/>
        <w:spacing w:before="0" w:after="0" w:line="240" w:lineRule="auto"/>
        <w:ind w:leftChars="100" w:left="240"/>
        <w:rPr>
          <w:rFonts w:ascii="Arial" w:hAnsi="Arial" w:cs="Arial"/>
          <w:b/>
        </w:rPr>
      </w:pPr>
    </w:p>
    <w:p w:rsidR="00DA7492" w:rsidRPr="00C71F5A" w:rsidRDefault="00DA7492">
      <w:r w:rsidRPr="00C71F5A">
        <w:t>5.9</w:t>
      </w:r>
      <w:r w:rsidRPr="00C71F5A">
        <w:tab/>
      </w:r>
      <w:r w:rsidRPr="00C71F5A">
        <w:tab/>
        <w:t>Currently</w:t>
      </w:r>
      <w:r w:rsidRPr="00C71F5A">
        <w:rPr>
          <w:rFonts w:hint="eastAsia"/>
        </w:rPr>
        <w:t>,</w:t>
      </w:r>
      <w:r w:rsidRPr="00C71F5A">
        <w:t xml:space="preserve"> GRS </w:t>
      </w:r>
      <w:r w:rsidRPr="00C71F5A">
        <w:rPr>
          <w:rFonts w:hint="eastAsia"/>
        </w:rPr>
        <w:t xml:space="preserve">has no statutory duty </w:t>
      </w:r>
      <w:r w:rsidRPr="00C71F5A">
        <w:t>to regularly publish reports o</w:t>
      </w:r>
      <w:r w:rsidRPr="00C71F5A">
        <w:rPr>
          <w:rFonts w:hint="eastAsia"/>
        </w:rPr>
        <w:t>n</w:t>
      </w:r>
      <w:r w:rsidRPr="00C71F5A">
        <w:t xml:space="preserve"> its work, or </w:t>
      </w:r>
      <w:r w:rsidRPr="00C71F5A">
        <w:rPr>
          <w:rFonts w:hint="eastAsia"/>
        </w:rPr>
        <w:t xml:space="preserve">its </w:t>
      </w:r>
      <w:r w:rsidRPr="00C71F5A">
        <w:t xml:space="preserve">standards and guidelines issued.  </w:t>
      </w:r>
    </w:p>
    <w:p w:rsidR="00DA7492" w:rsidRPr="00C71F5A" w:rsidRDefault="00DA7492" w:rsidP="00DA7492">
      <w:pPr>
        <w:pStyle w:val="ListParagraph"/>
        <w:ind w:left="480" w:hangingChars="200" w:hanging="480"/>
        <w:rPr>
          <w:rFonts w:cs="Arial"/>
        </w:rPr>
      </w:pPr>
    </w:p>
    <w:p w:rsidR="00DA7492" w:rsidRPr="00C71F5A" w:rsidRDefault="00DA7492">
      <w:r w:rsidRPr="00C71F5A">
        <w:lastRenderedPageBreak/>
        <w:t>5.10</w:t>
      </w:r>
      <w:r w:rsidRPr="00C71F5A">
        <w:tab/>
      </w:r>
      <w:r w:rsidRPr="00C71F5A">
        <w:tab/>
        <w:t xml:space="preserve">Legislation aside, </w:t>
      </w:r>
      <w:r w:rsidRPr="00C71F5A">
        <w:rPr>
          <w:rFonts w:hint="eastAsia"/>
        </w:rPr>
        <w:t xml:space="preserve">we </w:t>
      </w:r>
      <w:r w:rsidRPr="00C71F5A">
        <w:t xml:space="preserve">note that the Government has in recent years been </w:t>
      </w:r>
      <w:r w:rsidRPr="00C71F5A">
        <w:rPr>
          <w:rFonts w:hint="eastAsia"/>
        </w:rPr>
        <w:t xml:space="preserve">proactively </w:t>
      </w:r>
      <w:r w:rsidRPr="00C71F5A">
        <w:t>promoting public understanding of the GRS</w:t>
      </w:r>
      <w:r>
        <w:t>'</w:t>
      </w:r>
      <w:r w:rsidRPr="00C71F5A">
        <w:t xml:space="preserve"> work and B/Ds</w:t>
      </w:r>
      <w:r>
        <w:t>'</w:t>
      </w:r>
      <w:r w:rsidRPr="00C71F5A">
        <w:t xml:space="preserve"> records management activities</w:t>
      </w:r>
      <w:r w:rsidRPr="00C71F5A">
        <w:rPr>
          <w:rFonts w:hint="eastAsia"/>
        </w:rPr>
        <w:t xml:space="preserve"> as set out under the heading </w:t>
      </w:r>
      <w:r>
        <w:t>"</w:t>
      </w:r>
      <w:r w:rsidRPr="00C71F5A">
        <w:rPr>
          <w:rFonts w:hint="eastAsia"/>
        </w:rPr>
        <w:t>(b)</w:t>
      </w:r>
      <w:r w:rsidRPr="00C71F5A">
        <w:rPr>
          <w:lang w:val="en-US"/>
        </w:rPr>
        <w:t> </w:t>
      </w:r>
      <w:r w:rsidRPr="00C71F5A">
        <w:rPr>
          <w:rFonts w:hint="eastAsia"/>
        </w:rPr>
        <w:t>Government</w:t>
      </w:r>
      <w:r>
        <w:t>'</w:t>
      </w:r>
      <w:r w:rsidRPr="00C71F5A">
        <w:rPr>
          <w:rFonts w:hint="eastAsia"/>
        </w:rPr>
        <w:t>s Stance o</w:t>
      </w:r>
      <w:r w:rsidRPr="00C71F5A">
        <w:t>r</w:t>
      </w:r>
      <w:r w:rsidRPr="00C71F5A">
        <w:rPr>
          <w:rFonts w:hint="eastAsia"/>
        </w:rPr>
        <w:t xml:space="preserve"> Response</w:t>
      </w:r>
      <w:r>
        <w:t>"</w:t>
      </w:r>
      <w:r w:rsidRPr="00C71F5A">
        <w:rPr>
          <w:rFonts w:hint="eastAsia"/>
        </w:rPr>
        <w:t xml:space="preserve"> above</w:t>
      </w:r>
      <w:r w:rsidRPr="00C71F5A">
        <w:t xml:space="preserve">.  In particular, </w:t>
      </w:r>
      <w:r w:rsidRPr="00C71F5A">
        <w:rPr>
          <w:rFonts w:hint="eastAsia"/>
        </w:rPr>
        <w:t xml:space="preserve">publishing its </w:t>
      </w:r>
      <w:r w:rsidRPr="00C71F5A">
        <w:t xml:space="preserve">annual reports since 2015 </w:t>
      </w:r>
      <w:r w:rsidRPr="00C71F5A">
        <w:rPr>
          <w:rFonts w:hint="eastAsia"/>
        </w:rPr>
        <w:t>is</w:t>
      </w:r>
      <w:r w:rsidRPr="00C71F5A">
        <w:t xml:space="preserve"> a big step forward in enhancing the transparency.  </w:t>
      </w:r>
    </w:p>
    <w:p w:rsidR="00DA7492" w:rsidRPr="00C71F5A" w:rsidRDefault="00DA7492">
      <w:pPr>
        <w:pStyle w:val="ListParagraph"/>
        <w:ind w:leftChars="-1" w:left="-2"/>
        <w:rPr>
          <w:rFonts w:cs="Arial"/>
        </w:rPr>
      </w:pPr>
      <w:r w:rsidRPr="00C71F5A">
        <w:rPr>
          <w:rFonts w:cs="Arial"/>
        </w:rPr>
        <w:t xml:space="preserve"> </w:t>
      </w:r>
    </w:p>
    <w:p w:rsidR="00DA7492" w:rsidRPr="00C71F5A" w:rsidRDefault="00DA7492">
      <w:r w:rsidRPr="00C71F5A">
        <w:t>5.11</w:t>
      </w:r>
      <w:r w:rsidRPr="00C71F5A">
        <w:tab/>
      </w:r>
      <w:r w:rsidRPr="00C71F5A">
        <w:tab/>
        <w:t>In the light of the</w:t>
      </w:r>
      <w:r w:rsidRPr="00C71F5A">
        <w:rPr>
          <w:rFonts w:hint="eastAsia"/>
        </w:rPr>
        <w:t>se</w:t>
      </w:r>
      <w:r w:rsidRPr="00C71F5A">
        <w:t xml:space="preserve"> latest </w:t>
      </w:r>
      <w:r w:rsidRPr="00C71F5A">
        <w:rPr>
          <w:rFonts w:hint="eastAsia"/>
        </w:rPr>
        <w:t>measures</w:t>
      </w:r>
      <w:r w:rsidRPr="00C71F5A">
        <w:t xml:space="preserve">, the Sub-committee would like to gauge the views of the public on </w:t>
      </w:r>
      <w:r w:rsidRPr="00C71F5A">
        <w:rPr>
          <w:rFonts w:hint="eastAsia"/>
        </w:rPr>
        <w:t xml:space="preserve">a number of </w:t>
      </w:r>
      <w:r w:rsidRPr="00C71F5A">
        <w:t>issues</w:t>
      </w:r>
      <w:r w:rsidRPr="00C71F5A">
        <w:rPr>
          <w:rFonts w:hint="eastAsia"/>
        </w:rPr>
        <w:t xml:space="preserve"> before considering the appropriate recommendation(s), if any, for enhancing the transparency of the Government</w:t>
      </w:r>
      <w:r>
        <w:t>'</w:t>
      </w:r>
      <w:r w:rsidRPr="00C71F5A">
        <w:rPr>
          <w:rFonts w:hint="eastAsia"/>
        </w:rPr>
        <w:t>s records management work</w:t>
      </w:r>
      <w:r w:rsidRPr="00C71F5A">
        <w:t>.</w:t>
      </w:r>
    </w:p>
    <w:p w:rsidR="00DA7492" w:rsidRPr="00C71F5A" w:rsidRDefault="00DA7492">
      <w:pPr>
        <w:pStyle w:val="subprov1"/>
        <w:shd w:val="clear" w:color="auto" w:fill="FFFFFF"/>
        <w:spacing w:before="0" w:after="0" w:line="240" w:lineRule="auto"/>
        <w:ind w:left="-24" w:hanging="50"/>
        <w:rPr>
          <w:rFonts w:ascii="Arial" w:hAnsi="Arial" w:cs="Arial"/>
        </w:rPr>
      </w:pPr>
    </w:p>
    <w:p w:rsidR="00DA7492" w:rsidRPr="00C71F5A" w:rsidRDefault="00DA7492">
      <w:pPr>
        <w:rPr>
          <w:rFonts w:cs="Arial"/>
          <w:b/>
        </w:rPr>
      </w:pPr>
    </w:p>
    <w:p w:rsidR="00DA7492" w:rsidRPr="00D86E22" w:rsidRDefault="00DA7492">
      <w:pPr>
        <w:pBdr>
          <w:top w:val="single" w:sz="4" w:space="8" w:color="auto"/>
          <w:left w:val="single" w:sz="4" w:space="8" w:color="auto"/>
          <w:bottom w:val="single" w:sz="4" w:space="8" w:color="auto"/>
          <w:right w:val="single" w:sz="4" w:space="8" w:color="auto"/>
        </w:pBdr>
        <w:ind w:left="1440" w:right="720" w:hanging="720"/>
        <w:rPr>
          <w:rFonts w:ascii="Calibri" w:hAnsi="Calibri" w:cs="Calibri"/>
          <w:b/>
          <w:lang w:val="en-US"/>
        </w:rPr>
      </w:pPr>
      <w:r w:rsidRPr="00D86E22">
        <w:rPr>
          <w:rFonts w:ascii="Calibri" w:hAnsi="Calibri" w:cs="Calibri"/>
          <w:b/>
          <w:lang w:val="en-US"/>
        </w:rPr>
        <w:t>Consultation Questions 2</w:t>
      </w:r>
    </w:p>
    <w:p w:rsidR="00DA7492" w:rsidRPr="00C71F5A" w:rsidRDefault="00DA7492">
      <w:pPr>
        <w:pBdr>
          <w:top w:val="single" w:sz="4" w:space="8" w:color="auto"/>
          <w:left w:val="single" w:sz="4" w:space="8" w:color="auto"/>
          <w:bottom w:val="single" w:sz="4" w:space="8" w:color="auto"/>
          <w:right w:val="single" w:sz="4" w:space="8" w:color="auto"/>
        </w:pBdr>
        <w:ind w:left="1440" w:right="720" w:hanging="720"/>
        <w:rPr>
          <w:rFonts w:cs="Arial"/>
          <w:b/>
          <w:lang w:val="en-US"/>
        </w:rPr>
      </w:pPr>
    </w:p>
    <w:p w:rsidR="00DA7492" w:rsidRPr="00C71F5A" w:rsidRDefault="00DA7492" w:rsidP="00D86E22">
      <w:pPr>
        <w:pStyle w:val="ListParagraph"/>
        <w:widowControl/>
        <w:numPr>
          <w:ilvl w:val="0"/>
          <w:numId w:val="37"/>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C71F5A">
        <w:rPr>
          <w:rFonts w:cs="Arial"/>
          <w:b/>
        </w:rPr>
        <w:t>Are the documents and information currently published on the GRS</w:t>
      </w:r>
      <w:r>
        <w:rPr>
          <w:rFonts w:cs="Arial"/>
          <w:b/>
        </w:rPr>
        <w:t>'</w:t>
      </w:r>
      <w:r w:rsidRPr="00C71F5A">
        <w:rPr>
          <w:rFonts w:cs="Arial"/>
          <w:b/>
        </w:rPr>
        <w:t xml:space="preserve"> website sufficient (paragraph 5.4)?</w:t>
      </w:r>
    </w:p>
    <w:p w:rsidR="00DA7492" w:rsidRPr="00C71F5A" w:rsidRDefault="00DA7492" w:rsidP="00DA7492">
      <w:pPr>
        <w:pBdr>
          <w:top w:val="single" w:sz="4" w:space="8" w:color="auto"/>
          <w:left w:val="single" w:sz="4" w:space="8" w:color="auto"/>
          <w:bottom w:val="single" w:sz="4" w:space="8" w:color="auto"/>
          <w:right w:val="single" w:sz="4" w:space="8" w:color="auto"/>
        </w:pBdr>
        <w:ind w:left="1560" w:right="720" w:hanging="840"/>
        <w:rPr>
          <w:rFonts w:cs="Arial"/>
          <w:b/>
        </w:rPr>
      </w:pPr>
    </w:p>
    <w:p w:rsidR="00DA7492" w:rsidRPr="00C71F5A" w:rsidRDefault="00DA7492" w:rsidP="00D86E22">
      <w:pPr>
        <w:pStyle w:val="ListParagraph"/>
        <w:widowControl/>
        <w:numPr>
          <w:ilvl w:val="0"/>
          <w:numId w:val="37"/>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C71F5A">
        <w:rPr>
          <w:rFonts w:cs="Arial"/>
          <w:b/>
        </w:rPr>
        <w:t>If the answer to (i) is in the negative, what other documents and information should the GRS disseminate and what are the reasons for your suggestions?</w:t>
      </w:r>
    </w:p>
    <w:p w:rsidR="00DA7492" w:rsidRPr="00C71F5A" w:rsidRDefault="00DA7492">
      <w:pPr>
        <w:rPr>
          <w:rFonts w:cs="Arial"/>
        </w:rPr>
      </w:pPr>
    </w:p>
    <w:p w:rsidR="00DA7492" w:rsidRPr="00C71F5A" w:rsidRDefault="00DA7492">
      <w:pPr>
        <w:pStyle w:val="ListParagraph"/>
        <w:ind w:left="0"/>
        <w:rPr>
          <w:rFonts w:cs="Arial"/>
          <w:u w:val="single"/>
        </w:rPr>
      </w:pPr>
    </w:p>
    <w:p w:rsidR="00DA7492" w:rsidRPr="00C71F5A" w:rsidRDefault="00DA7492" w:rsidP="001C1A21">
      <w:pPr>
        <w:pStyle w:val="Heading2"/>
        <w:tabs>
          <w:tab w:val="left" w:pos="720"/>
        </w:tabs>
      </w:pPr>
      <w:r w:rsidRPr="00C71F5A">
        <w:t xml:space="preserve">(II) </w:t>
      </w:r>
      <w:r w:rsidRPr="00C71F5A">
        <w:rPr>
          <w:rFonts w:hint="eastAsia"/>
        </w:rPr>
        <w:tab/>
      </w:r>
      <w:r w:rsidRPr="00C71F5A">
        <w:t xml:space="preserve">Creation of </w:t>
      </w:r>
      <w:r w:rsidRPr="00C71F5A">
        <w:rPr>
          <w:rFonts w:hint="eastAsia"/>
        </w:rPr>
        <w:t>r</w:t>
      </w:r>
      <w:r w:rsidRPr="00C71F5A">
        <w:t xml:space="preserve">ecords </w:t>
      </w:r>
    </w:p>
    <w:p w:rsidR="00DA7492" w:rsidRPr="00C71F5A" w:rsidRDefault="00DA7492">
      <w:pPr>
        <w:pStyle w:val="ListParagraph"/>
        <w:keepNext/>
        <w:ind w:hanging="720"/>
        <w:rPr>
          <w:rFonts w:cs="Arial"/>
        </w:rPr>
      </w:pPr>
    </w:p>
    <w:p w:rsidR="00DA7492" w:rsidRPr="00C71F5A" w:rsidRDefault="00DA7492" w:rsidP="001C1A21">
      <w:pPr>
        <w:pStyle w:val="Heading3"/>
        <w:tabs>
          <w:tab w:val="left" w:pos="720"/>
        </w:tabs>
      </w:pPr>
      <w:r w:rsidRPr="00C71F5A">
        <w:t>(a)</w:t>
      </w:r>
      <w:r w:rsidRPr="00C71F5A">
        <w:rPr>
          <w:rFonts w:hint="eastAsia"/>
        </w:rPr>
        <w:tab/>
      </w:r>
      <w:r w:rsidRPr="00C71F5A">
        <w:t>Comments</w:t>
      </w:r>
    </w:p>
    <w:p w:rsidR="00DA7492" w:rsidRPr="00C71F5A" w:rsidRDefault="00DA7492">
      <w:pPr>
        <w:pStyle w:val="ListParagraph"/>
        <w:ind w:hanging="720"/>
        <w:rPr>
          <w:rFonts w:cs="Arial"/>
        </w:rPr>
      </w:pPr>
    </w:p>
    <w:p w:rsidR="00DA7492" w:rsidRPr="00C71F5A" w:rsidRDefault="00DA7492">
      <w:r w:rsidRPr="00C71F5A">
        <w:t>5.12</w:t>
      </w:r>
      <w:r w:rsidRPr="00C71F5A">
        <w:tab/>
      </w:r>
      <w:r w:rsidRPr="00C71F5A">
        <w:tab/>
        <w:t xml:space="preserve">Another comment was the lack of clear obligation on </w:t>
      </w:r>
      <w:r w:rsidRPr="00C71F5A">
        <w:rPr>
          <w:rFonts w:hint="eastAsia"/>
        </w:rPr>
        <w:t>B/Ds</w:t>
      </w:r>
      <w:r w:rsidRPr="00C71F5A">
        <w:t xml:space="preserve"> to create records.  </w:t>
      </w:r>
      <w:r w:rsidRPr="00C71F5A">
        <w:rPr>
          <w:rFonts w:hint="eastAsia"/>
        </w:rPr>
        <w:t>The Audit Commission</w:t>
      </w:r>
      <w:r>
        <w:t>'</w:t>
      </w:r>
      <w:r w:rsidRPr="00C71F5A">
        <w:rPr>
          <w:rFonts w:hint="eastAsia"/>
        </w:rPr>
        <w:t>s Report</w:t>
      </w:r>
      <w:r w:rsidRPr="00C71F5A">
        <w:t xml:space="preserve"> observed that GC09, which imposed mandatory requirements on record</w:t>
      </w:r>
      <w:r w:rsidRPr="00C71F5A">
        <w:rPr>
          <w:rFonts w:hint="eastAsia"/>
          <w:lang w:eastAsia="zh-HK"/>
        </w:rPr>
        <w:t>s</w:t>
      </w:r>
      <w:r w:rsidRPr="00C71F5A">
        <w:t xml:space="preserve"> management, contained </w:t>
      </w:r>
      <w:r w:rsidRPr="00C71F5A">
        <w:rPr>
          <w:rFonts w:hint="eastAsia"/>
        </w:rPr>
        <w:t>no</w:t>
      </w:r>
      <w:r w:rsidRPr="00C71F5A">
        <w:t xml:space="preserve"> provision</w:t>
      </w:r>
      <w:r w:rsidRPr="00C71F5A">
        <w:rPr>
          <w:rFonts w:hint="eastAsia"/>
        </w:rPr>
        <w:t xml:space="preserve"> </w:t>
      </w:r>
      <w:r w:rsidRPr="00C71F5A">
        <w:t>o</w:t>
      </w:r>
      <w:r w:rsidRPr="00C71F5A">
        <w:rPr>
          <w:rFonts w:hint="eastAsia"/>
        </w:rPr>
        <w:t>n</w:t>
      </w:r>
      <w:r w:rsidRPr="00C71F5A">
        <w:t xml:space="preserve"> records creation.</w:t>
      </w:r>
      <w:r w:rsidRPr="00C71F5A">
        <w:rPr>
          <w:rStyle w:val="FootnoteReference"/>
          <w:rFonts w:cs="Arial"/>
        </w:rPr>
        <w:footnoteReference w:id="269"/>
      </w:r>
      <w:r w:rsidRPr="00C71F5A">
        <w:t xml:space="preserve"> </w:t>
      </w:r>
      <w:r w:rsidRPr="00C71F5A">
        <w:rPr>
          <w:rFonts w:hint="eastAsia"/>
        </w:rPr>
        <w:t xml:space="preserve"> </w:t>
      </w:r>
      <w:r w:rsidRPr="00C71F5A">
        <w:t xml:space="preserve">The </w:t>
      </w:r>
      <w:r w:rsidRPr="00C71F5A">
        <w:rPr>
          <w:rFonts w:hint="eastAsia"/>
        </w:rPr>
        <w:t xml:space="preserve">2011 </w:t>
      </w:r>
      <w:r w:rsidRPr="00C71F5A">
        <w:t xml:space="preserve">Civic Exchange </w:t>
      </w:r>
      <w:r w:rsidRPr="00C71F5A">
        <w:rPr>
          <w:rFonts w:hint="eastAsia"/>
        </w:rPr>
        <w:t xml:space="preserve">Report </w:t>
      </w:r>
      <w:r w:rsidRPr="00C71F5A">
        <w:t xml:space="preserve">also identified a number of incidents in which concerns had been raised in </w:t>
      </w:r>
      <w:r w:rsidRPr="00C71F5A">
        <w:rPr>
          <w:rFonts w:hint="eastAsia"/>
        </w:rPr>
        <w:t xml:space="preserve">relation to </w:t>
      </w:r>
      <w:r w:rsidRPr="00C71F5A">
        <w:t>the Government</w:t>
      </w:r>
      <w:r>
        <w:t>'</w:t>
      </w:r>
      <w:r w:rsidRPr="00C71F5A">
        <w:t>s creation of records.</w:t>
      </w:r>
      <w:r w:rsidRPr="00C71F5A">
        <w:rPr>
          <w:rStyle w:val="FootnoteReference"/>
          <w:rFonts w:cs="Arial"/>
        </w:rPr>
        <w:footnoteReference w:id="270"/>
      </w:r>
      <w:r w:rsidRPr="00C71F5A">
        <w:t xml:space="preserve"> </w:t>
      </w:r>
    </w:p>
    <w:p w:rsidR="00DA7492" w:rsidRPr="00C71F5A" w:rsidRDefault="00DA7492">
      <w:pPr>
        <w:pStyle w:val="ListParagraph"/>
        <w:ind w:leftChars="-300" w:left="0" w:hangingChars="300" w:hanging="720"/>
        <w:rPr>
          <w:rFonts w:cs="Arial"/>
        </w:rPr>
      </w:pPr>
    </w:p>
    <w:p w:rsidR="00DA7492" w:rsidRPr="00C71F5A" w:rsidRDefault="00DA7492">
      <w:r w:rsidRPr="00C71F5A">
        <w:t>5.13</w:t>
      </w:r>
      <w:r w:rsidRPr="00C71F5A">
        <w:tab/>
      </w:r>
      <w:r w:rsidRPr="00C71F5A">
        <w:tab/>
        <w:t xml:space="preserve">The Audit Commission recommended that the Government </w:t>
      </w:r>
      <w:r w:rsidRPr="00C71F5A">
        <w:rPr>
          <w:rFonts w:hint="eastAsia"/>
        </w:rPr>
        <w:t xml:space="preserve">should </w:t>
      </w:r>
      <w:r w:rsidRPr="00C71F5A">
        <w:t>consider setting mandatory requirements on records creation</w:t>
      </w:r>
      <w:r w:rsidRPr="00C71F5A">
        <w:rPr>
          <w:rFonts w:hint="eastAsia"/>
        </w:rPr>
        <w:t>,</w:t>
      </w:r>
      <w:r w:rsidRPr="00C71F5A">
        <w:t xml:space="preserve"> to ensur</w:t>
      </w:r>
      <w:r w:rsidRPr="00C71F5A">
        <w:rPr>
          <w:rFonts w:hint="eastAsia"/>
        </w:rPr>
        <w:t>e</w:t>
      </w:r>
      <w:r w:rsidRPr="00C71F5A">
        <w:t xml:space="preserve"> that B/Ds create adequate, but not excessive, records.</w:t>
      </w:r>
      <w:r w:rsidRPr="00C71F5A">
        <w:rPr>
          <w:rStyle w:val="FootnoteReference"/>
          <w:rFonts w:cs="Arial"/>
        </w:rPr>
        <w:footnoteReference w:id="271"/>
      </w:r>
    </w:p>
    <w:p w:rsidR="00DA7492" w:rsidRPr="00C71F5A" w:rsidRDefault="00DA7492">
      <w:pPr>
        <w:pStyle w:val="ListParagraph"/>
        <w:ind w:hanging="720"/>
        <w:rPr>
          <w:rFonts w:cs="Arial"/>
          <w:i/>
        </w:rPr>
      </w:pPr>
    </w:p>
    <w:p w:rsidR="00DA7492" w:rsidRPr="00C71F5A" w:rsidRDefault="00DA7492">
      <w:pPr>
        <w:pStyle w:val="ListParagraph"/>
        <w:ind w:hanging="720"/>
        <w:rPr>
          <w:rFonts w:cs="Arial"/>
          <w:i/>
        </w:rPr>
      </w:pPr>
    </w:p>
    <w:p w:rsidR="00DA7492" w:rsidRPr="00C71F5A" w:rsidRDefault="00DA7492" w:rsidP="001C1A21">
      <w:pPr>
        <w:pStyle w:val="Heading3"/>
        <w:tabs>
          <w:tab w:val="left" w:pos="720"/>
        </w:tabs>
      </w:pPr>
      <w:r w:rsidRPr="00C71F5A">
        <w:rPr>
          <w:rFonts w:hint="eastAsia"/>
        </w:rPr>
        <w:t>(b)</w:t>
      </w:r>
      <w:r w:rsidRPr="00C71F5A">
        <w:tab/>
        <w:t>Government</w:t>
      </w:r>
      <w:r>
        <w:t>'</w:t>
      </w:r>
      <w:r w:rsidRPr="00C71F5A">
        <w:t xml:space="preserve">s </w:t>
      </w:r>
      <w:r w:rsidRPr="00C71F5A">
        <w:rPr>
          <w:rFonts w:hint="eastAsia"/>
        </w:rPr>
        <w:t>s</w:t>
      </w:r>
      <w:r w:rsidRPr="00C71F5A">
        <w:t xml:space="preserve">tance or </w:t>
      </w:r>
      <w:r w:rsidRPr="00C71F5A">
        <w:rPr>
          <w:rFonts w:hint="eastAsia"/>
        </w:rPr>
        <w:t>r</w:t>
      </w:r>
      <w:r w:rsidRPr="00C71F5A">
        <w:t>esponse</w:t>
      </w:r>
    </w:p>
    <w:p w:rsidR="00DA7492" w:rsidRPr="00C71F5A" w:rsidRDefault="00DA7492" w:rsidP="00DA7492">
      <w:pPr>
        <w:keepNext/>
        <w:ind w:left="720" w:hanging="720"/>
        <w:rPr>
          <w:rFonts w:cs="Arial"/>
        </w:rPr>
      </w:pPr>
    </w:p>
    <w:p w:rsidR="00DA7492" w:rsidRPr="00C71F5A" w:rsidRDefault="00DA7492">
      <w:pPr>
        <w:rPr>
          <w:lang w:eastAsia="zh-HK"/>
        </w:rPr>
      </w:pPr>
      <w:r w:rsidRPr="00C71F5A">
        <w:rPr>
          <w:lang w:eastAsia="zh-HK"/>
        </w:rPr>
        <w:t>5.14</w:t>
      </w:r>
      <w:r w:rsidRPr="00C71F5A">
        <w:rPr>
          <w:lang w:eastAsia="zh-HK"/>
        </w:rPr>
        <w:tab/>
      </w:r>
      <w:r w:rsidRPr="00C71F5A">
        <w:rPr>
          <w:lang w:eastAsia="zh-HK"/>
        </w:rPr>
        <w:tab/>
        <w:t xml:space="preserve">The Government said that it fully recognised the importance of records management and was committed to identifying and preserving government records having archival value.  </w:t>
      </w:r>
    </w:p>
    <w:p w:rsidR="00DA7492" w:rsidRPr="00C71F5A" w:rsidRDefault="00DA7492">
      <w:pPr>
        <w:rPr>
          <w:rFonts w:cs="Arial"/>
          <w:lang w:eastAsia="zh-HK"/>
        </w:rPr>
      </w:pPr>
    </w:p>
    <w:p w:rsidR="00DA7492" w:rsidRPr="00C71F5A" w:rsidRDefault="00DA7492">
      <w:pPr>
        <w:rPr>
          <w:rFonts w:cs="Arial"/>
        </w:rPr>
      </w:pPr>
      <w:r w:rsidRPr="00C71F5A">
        <w:rPr>
          <w:rFonts w:cs="Arial"/>
          <w:lang w:eastAsia="zh-HK"/>
        </w:rPr>
        <w:t>5.15</w:t>
      </w:r>
      <w:r w:rsidRPr="00C71F5A">
        <w:rPr>
          <w:rFonts w:cs="Arial"/>
          <w:lang w:eastAsia="zh-HK"/>
        </w:rPr>
        <w:tab/>
      </w:r>
      <w:r w:rsidRPr="00C71F5A">
        <w:rPr>
          <w:rFonts w:cs="Arial"/>
          <w:lang w:eastAsia="zh-HK"/>
        </w:rPr>
        <w:tab/>
      </w:r>
      <w:r w:rsidRPr="00C71F5A">
        <w:rPr>
          <w:rFonts w:cs="Arial" w:hint="eastAsia"/>
          <w:lang w:eastAsia="zh-HK"/>
        </w:rPr>
        <w:t>One of t</w:t>
      </w:r>
      <w:r w:rsidRPr="00C71F5A">
        <w:rPr>
          <w:rFonts w:cs="Arial"/>
          <w:lang w:eastAsia="zh-HK"/>
        </w:rPr>
        <w:t xml:space="preserve">he goals of the </w:t>
      </w:r>
      <w:r w:rsidRPr="00C71F5A">
        <w:rPr>
          <w:rFonts w:cs="Arial" w:hint="eastAsia"/>
          <w:lang w:eastAsia="zh-HK"/>
        </w:rPr>
        <w:t>RMM is to ensure</w:t>
      </w:r>
      <w:r w:rsidRPr="00C71F5A">
        <w:rPr>
          <w:rFonts w:cs="Arial"/>
          <w:lang w:eastAsia="zh-HK"/>
        </w:rPr>
        <w:t xml:space="preserve"> </w:t>
      </w:r>
      <w:r>
        <w:rPr>
          <w:rFonts w:cs="Arial"/>
          <w:lang w:eastAsia="zh-HK"/>
        </w:rPr>
        <w:t>"</w:t>
      </w:r>
      <w:r w:rsidRPr="00C71F5A">
        <w:rPr>
          <w:rFonts w:cs="Arial"/>
          <w:i/>
          <w:lang w:eastAsia="zh-HK"/>
        </w:rPr>
        <w:t>accurate and complete documentation of the policies, procedures, decisions, functions, activities and transactions of the Government</w:t>
      </w:r>
      <w:r>
        <w:rPr>
          <w:rFonts w:cs="Arial"/>
          <w:lang w:eastAsia="zh-HK"/>
        </w:rPr>
        <w:t>"</w:t>
      </w:r>
      <w:r w:rsidRPr="00C71F5A">
        <w:rPr>
          <w:rFonts w:cs="Arial"/>
          <w:lang w:eastAsia="zh-HK"/>
        </w:rPr>
        <w:t xml:space="preserve"> </w:t>
      </w:r>
      <w:r w:rsidRPr="00C71F5A">
        <w:rPr>
          <w:rFonts w:cs="Arial" w:hint="eastAsia"/>
          <w:lang w:eastAsia="zh-HK"/>
        </w:rPr>
        <w:t xml:space="preserve">by way of, </w:t>
      </w:r>
      <w:r w:rsidRPr="00C71F5A">
        <w:rPr>
          <w:rFonts w:cs="Arial"/>
          <w:i/>
          <w:lang w:eastAsia="zh-HK"/>
        </w:rPr>
        <w:t>inter alia</w:t>
      </w:r>
      <w:r w:rsidRPr="00C71F5A">
        <w:rPr>
          <w:rFonts w:cs="Arial" w:hint="eastAsia"/>
          <w:lang w:eastAsia="zh-HK"/>
        </w:rPr>
        <w:t xml:space="preserve">, requiring the </w:t>
      </w:r>
      <w:r>
        <w:rPr>
          <w:rFonts w:cs="Arial"/>
          <w:lang w:eastAsia="zh-HK"/>
        </w:rPr>
        <w:t>"</w:t>
      </w:r>
      <w:r w:rsidRPr="00C71F5A">
        <w:rPr>
          <w:rFonts w:cs="Arial"/>
          <w:i/>
          <w:lang w:eastAsia="zh-HK"/>
        </w:rPr>
        <w:t xml:space="preserve">making and keeping </w:t>
      </w:r>
      <w:r w:rsidRPr="00C71F5A">
        <w:rPr>
          <w:rFonts w:cs="Arial" w:hint="eastAsia"/>
          <w:i/>
          <w:lang w:eastAsia="zh-HK"/>
        </w:rPr>
        <w:t xml:space="preserve">[of] </w:t>
      </w:r>
      <w:r w:rsidRPr="00C71F5A">
        <w:rPr>
          <w:rFonts w:cs="Arial"/>
          <w:i/>
          <w:lang w:eastAsia="zh-HK"/>
        </w:rPr>
        <w:t>full and accurate records of its official functions and activities</w:t>
      </w:r>
      <w:r>
        <w:rPr>
          <w:rFonts w:cs="Arial"/>
          <w:lang w:eastAsia="zh-HK"/>
        </w:rPr>
        <w:t>"</w:t>
      </w:r>
      <w:r w:rsidRPr="00C71F5A">
        <w:rPr>
          <w:rFonts w:cs="Arial" w:hint="eastAsia"/>
          <w:lang w:eastAsia="zh-HK"/>
        </w:rPr>
        <w:t>.</w:t>
      </w:r>
      <w:r w:rsidRPr="00C71F5A">
        <w:rPr>
          <w:rStyle w:val="FootnoteReference"/>
          <w:rFonts w:cs="Arial"/>
          <w:lang w:eastAsia="zh-HK"/>
        </w:rPr>
        <w:footnoteReference w:id="272"/>
      </w:r>
      <w:r w:rsidRPr="00C71F5A">
        <w:rPr>
          <w:rFonts w:cs="Arial" w:hint="eastAsia"/>
          <w:lang w:eastAsia="zh-HK"/>
        </w:rPr>
        <w:t xml:space="preserve">  Although the mandatory requirements in GC09 do not </w:t>
      </w:r>
      <w:r w:rsidRPr="00C71F5A">
        <w:rPr>
          <w:rFonts w:cs="Arial"/>
          <w:lang w:eastAsia="zh-HK"/>
        </w:rPr>
        <w:t xml:space="preserve">specifically refer to </w:t>
      </w:r>
      <w:r w:rsidRPr="00C71F5A">
        <w:rPr>
          <w:rFonts w:cs="Arial" w:hint="eastAsia"/>
          <w:lang w:eastAsia="zh-HK"/>
        </w:rPr>
        <w:t>records creation, GC09 require</w:t>
      </w:r>
      <w:r w:rsidRPr="00C71F5A">
        <w:rPr>
          <w:rFonts w:cs="Arial"/>
          <w:lang w:eastAsia="zh-HK"/>
        </w:rPr>
        <w:t>s</w:t>
      </w:r>
      <w:r w:rsidRPr="00C71F5A">
        <w:rPr>
          <w:rFonts w:cs="Arial" w:hint="eastAsia"/>
          <w:lang w:eastAsia="zh-HK"/>
        </w:rPr>
        <w:t xml:space="preserve"> h</w:t>
      </w:r>
      <w:r w:rsidRPr="00C71F5A">
        <w:rPr>
          <w:rFonts w:cs="Arial"/>
          <w:lang w:eastAsia="zh-HK"/>
        </w:rPr>
        <w:t xml:space="preserve">eads of </w:t>
      </w:r>
      <w:r w:rsidRPr="00C71F5A">
        <w:rPr>
          <w:rFonts w:cs="Arial" w:hint="eastAsia"/>
          <w:lang w:eastAsia="zh-HK"/>
        </w:rPr>
        <w:t xml:space="preserve">B/Ds to accord </w:t>
      </w:r>
      <w:r w:rsidRPr="00C71F5A">
        <w:rPr>
          <w:rFonts w:cs="Arial"/>
          <w:lang w:eastAsia="zh-HK"/>
        </w:rPr>
        <w:t>appropriate priority and resources to implement a proper records management programme.</w:t>
      </w:r>
      <w:r w:rsidRPr="00C71F5A">
        <w:rPr>
          <w:rFonts w:cs="Arial" w:hint="eastAsia"/>
          <w:lang w:eastAsia="zh-HK"/>
        </w:rPr>
        <w:t xml:space="preserve"> </w:t>
      </w:r>
    </w:p>
    <w:p w:rsidR="00DA7492" w:rsidRPr="00C71F5A" w:rsidRDefault="00DA7492" w:rsidP="00DA7492">
      <w:pPr>
        <w:rPr>
          <w:rFonts w:cs="Arial"/>
          <w:lang w:eastAsia="zh-HK"/>
        </w:rPr>
      </w:pPr>
    </w:p>
    <w:p w:rsidR="00DA7492" w:rsidRPr="00C71F5A" w:rsidRDefault="00DA7492">
      <w:pPr>
        <w:rPr>
          <w:lang w:eastAsia="zh-HK"/>
        </w:rPr>
      </w:pPr>
      <w:r w:rsidRPr="00C71F5A">
        <w:rPr>
          <w:lang w:eastAsia="zh-HK"/>
        </w:rPr>
        <w:t>5.16</w:t>
      </w:r>
      <w:r w:rsidRPr="00C71F5A">
        <w:rPr>
          <w:lang w:eastAsia="zh-HK"/>
        </w:rPr>
        <w:tab/>
      </w:r>
      <w:r w:rsidRPr="00C71F5A">
        <w:rPr>
          <w:lang w:eastAsia="zh-HK"/>
        </w:rPr>
        <w:tab/>
      </w:r>
      <w:r w:rsidRPr="00C71F5A">
        <w:rPr>
          <w:rFonts w:hint="eastAsia"/>
          <w:lang w:eastAsia="zh-HK"/>
        </w:rPr>
        <w:t xml:space="preserve">In response to </w:t>
      </w:r>
      <w:r>
        <w:rPr>
          <w:lang w:eastAsia="zh-HK"/>
        </w:rPr>
        <w:t xml:space="preserve">the </w:t>
      </w:r>
      <w:r w:rsidRPr="00C71F5A">
        <w:rPr>
          <w:rFonts w:hint="eastAsia"/>
          <w:lang w:eastAsia="zh-HK"/>
        </w:rPr>
        <w:t>Audit Commission</w:t>
      </w:r>
      <w:r>
        <w:rPr>
          <w:lang w:eastAsia="zh-HK"/>
        </w:rPr>
        <w:t>'</w:t>
      </w:r>
      <w:r w:rsidRPr="00C71F5A">
        <w:rPr>
          <w:rFonts w:hint="eastAsia"/>
          <w:lang w:eastAsia="zh-HK"/>
        </w:rPr>
        <w:t>s Report, the then Director of Administration stated that, a</w:t>
      </w:r>
      <w:r w:rsidRPr="00C71F5A">
        <w:rPr>
          <w:lang w:eastAsia="zh-HK"/>
        </w:rPr>
        <w:t xml:space="preserve">s an </w:t>
      </w:r>
      <w:r w:rsidRPr="00C71F5A">
        <w:t xml:space="preserve">established practice, B/Ds </w:t>
      </w:r>
      <w:r w:rsidRPr="00C71F5A">
        <w:rPr>
          <w:rFonts w:hint="eastAsia"/>
          <w:lang w:eastAsia="zh-HK"/>
        </w:rPr>
        <w:t>would</w:t>
      </w:r>
      <w:r w:rsidRPr="00C71F5A">
        <w:rPr>
          <w:rFonts w:hint="eastAsia"/>
        </w:rPr>
        <w:t>,</w:t>
      </w:r>
      <w:r w:rsidRPr="00C71F5A">
        <w:t xml:space="preserve"> </w:t>
      </w:r>
      <w:r w:rsidRPr="00C71F5A">
        <w:rPr>
          <w:rFonts w:hint="eastAsia"/>
        </w:rPr>
        <w:t>in following the GRS guidelines,</w:t>
      </w:r>
      <w:r w:rsidRPr="00C71F5A">
        <w:t xml:space="preserve"> identify their business functions and assess their information needs so as to create and capture adequate but not excessive records.  The GRS will review </w:t>
      </w:r>
      <w:r w:rsidRPr="00C71F5A">
        <w:rPr>
          <w:rFonts w:hint="eastAsia"/>
        </w:rPr>
        <w:t xml:space="preserve">and improve such </w:t>
      </w:r>
      <w:r w:rsidRPr="00C71F5A">
        <w:t>guidelines where necessary.</w:t>
      </w:r>
      <w:r w:rsidRPr="00C71F5A">
        <w:rPr>
          <w:rStyle w:val="FootnoteReference"/>
          <w:rFonts w:cs="Arial"/>
        </w:rPr>
        <w:footnoteReference w:id="273"/>
      </w:r>
    </w:p>
    <w:p w:rsidR="00DA7492" w:rsidRPr="00C71F5A" w:rsidRDefault="00DA7492">
      <w:pPr>
        <w:rPr>
          <w:rFonts w:cs="Arial"/>
        </w:rPr>
      </w:pPr>
    </w:p>
    <w:p w:rsidR="00DA7492" w:rsidRPr="00C71F5A" w:rsidRDefault="00DA7492">
      <w:r w:rsidRPr="00C71F5A">
        <w:rPr>
          <w:lang w:eastAsia="zh-HK"/>
        </w:rPr>
        <w:t>5.17</w:t>
      </w:r>
      <w:r w:rsidRPr="00C71F5A">
        <w:rPr>
          <w:lang w:eastAsia="zh-HK"/>
        </w:rPr>
        <w:tab/>
      </w:r>
      <w:r w:rsidRPr="00C71F5A">
        <w:rPr>
          <w:lang w:eastAsia="zh-HK"/>
        </w:rPr>
        <w:tab/>
      </w:r>
      <w:r w:rsidRPr="00C71F5A">
        <w:rPr>
          <w:rFonts w:hint="eastAsia"/>
          <w:lang w:eastAsia="zh-HK"/>
        </w:rPr>
        <w:t xml:space="preserve">Subsequently, GRS promulgated GCCR in 2012 to assist B/Ds to create and collect records.  </w:t>
      </w:r>
      <w:r w:rsidRPr="00C71F5A">
        <w:rPr>
          <w:lang w:eastAsia="zh-HK"/>
        </w:rPr>
        <w:t>Under the GCCR, all</w:t>
      </w:r>
      <w:r w:rsidRPr="00C71F5A">
        <w:t xml:space="preserve"> </w:t>
      </w:r>
      <w:r w:rsidRPr="00C71F5A">
        <w:rPr>
          <w:lang w:eastAsia="zh-HK"/>
        </w:rPr>
        <w:t xml:space="preserve">B/Ds </w:t>
      </w:r>
      <w:r w:rsidRPr="00C71F5A">
        <w:t xml:space="preserve">are required to </w:t>
      </w:r>
      <w:r w:rsidRPr="00C71F5A">
        <w:rPr>
          <w:lang w:eastAsia="zh-HK"/>
        </w:rPr>
        <w:t>develop business rules to document decisions as to what records are to be created and kept by B/Ds, covering</w:t>
      </w:r>
      <w:r w:rsidRPr="00C71F5A">
        <w:t xml:space="preserve"> all</w:t>
      </w:r>
      <w:r w:rsidRPr="00C71F5A">
        <w:rPr>
          <w:lang w:eastAsia="zh-HK"/>
        </w:rPr>
        <w:t xml:space="preserve"> their business functions and activities</w:t>
      </w:r>
      <w:r w:rsidRPr="00C71F5A">
        <w:rPr>
          <w:rFonts w:hint="eastAsia"/>
          <w:lang w:eastAsia="zh-HK"/>
        </w:rPr>
        <w:t xml:space="preserve"> </w:t>
      </w:r>
      <w:r w:rsidRPr="00C71F5A">
        <w:rPr>
          <w:lang w:eastAsia="zh-HK"/>
        </w:rPr>
        <w:t xml:space="preserve">by the end of 2015.  </w:t>
      </w:r>
      <w:r w:rsidRPr="00C71F5A">
        <w:rPr>
          <w:rFonts w:hint="eastAsia"/>
          <w:lang w:eastAsia="zh-HK"/>
        </w:rPr>
        <w:t xml:space="preserve">According to </w:t>
      </w:r>
      <w:r w:rsidRPr="00C71F5A">
        <w:rPr>
          <w:lang w:eastAsia="zh-HK"/>
        </w:rPr>
        <w:t>the GRS</w:t>
      </w:r>
      <w:r w:rsidRPr="00C71F5A">
        <w:rPr>
          <w:rFonts w:hint="eastAsia"/>
          <w:lang w:eastAsia="zh-HK"/>
        </w:rPr>
        <w:t xml:space="preserve">, B/Ds </w:t>
      </w:r>
      <w:r w:rsidRPr="00C71F5A">
        <w:rPr>
          <w:lang w:eastAsia="zh-HK"/>
        </w:rPr>
        <w:t xml:space="preserve">have </w:t>
      </w:r>
      <w:r w:rsidRPr="00C71F5A">
        <w:rPr>
          <w:rFonts w:hint="eastAsia"/>
          <w:lang w:eastAsia="zh-HK"/>
        </w:rPr>
        <w:t>established over 33,500 business rules to cover all their business functions and activities by the deadline.</w:t>
      </w:r>
    </w:p>
    <w:p w:rsidR="00DA7492" w:rsidRPr="00C71F5A" w:rsidRDefault="00DA7492">
      <w:pPr>
        <w:pStyle w:val="ListParagraph"/>
        <w:ind w:hanging="720"/>
        <w:rPr>
          <w:rFonts w:cs="Arial"/>
          <w:lang w:eastAsia="zh-HK"/>
        </w:rPr>
      </w:pPr>
    </w:p>
    <w:p w:rsidR="00DA7492" w:rsidRPr="00C71F5A" w:rsidRDefault="00DA7492">
      <w:pPr>
        <w:rPr>
          <w:i/>
          <w:lang w:eastAsia="zh-HK"/>
        </w:rPr>
      </w:pPr>
      <w:r w:rsidRPr="00C71F5A">
        <w:rPr>
          <w:lang w:eastAsia="zh-HK"/>
        </w:rPr>
        <w:t>5.18</w:t>
      </w:r>
      <w:r w:rsidRPr="00C71F5A">
        <w:rPr>
          <w:lang w:eastAsia="zh-HK"/>
        </w:rPr>
        <w:tab/>
      </w:r>
      <w:r w:rsidRPr="00C71F5A">
        <w:rPr>
          <w:lang w:eastAsia="zh-HK"/>
        </w:rPr>
        <w:tab/>
      </w:r>
      <w:r w:rsidRPr="00C71F5A">
        <w:rPr>
          <w:rFonts w:hint="eastAsia"/>
          <w:lang w:eastAsia="zh-HK"/>
        </w:rPr>
        <w:t>Besides</w:t>
      </w:r>
      <w:r w:rsidRPr="00C71F5A">
        <w:rPr>
          <w:lang w:eastAsia="zh-HK"/>
        </w:rPr>
        <w:t xml:space="preserve">, the GMEM </w:t>
      </w:r>
      <w:r w:rsidRPr="00C71F5A">
        <w:rPr>
          <w:rFonts w:hint="eastAsia"/>
          <w:lang w:eastAsia="zh-HK"/>
        </w:rPr>
        <w:t xml:space="preserve">was promulgated </w:t>
      </w:r>
      <w:r w:rsidRPr="00C71F5A">
        <w:rPr>
          <w:lang w:eastAsia="zh-HK"/>
        </w:rPr>
        <w:t xml:space="preserve">to help </w:t>
      </w:r>
      <w:r w:rsidRPr="00C71F5A">
        <w:rPr>
          <w:rFonts w:hint="eastAsia"/>
          <w:lang w:eastAsia="zh-HK"/>
        </w:rPr>
        <w:t xml:space="preserve">B/Ds </w:t>
      </w:r>
      <w:r w:rsidRPr="00C71F5A">
        <w:rPr>
          <w:lang w:eastAsia="zh-HK"/>
        </w:rPr>
        <w:t>identify, create,</w:t>
      </w:r>
      <w:r w:rsidRPr="00C71F5A">
        <w:rPr>
          <w:rFonts w:hint="eastAsia"/>
          <w:lang w:eastAsia="zh-HK"/>
        </w:rPr>
        <w:t xml:space="preserve"> </w:t>
      </w:r>
      <w:r w:rsidRPr="00C71F5A">
        <w:rPr>
          <w:lang w:eastAsia="zh-HK"/>
        </w:rPr>
        <w:t>file and manage e-mail records</w:t>
      </w:r>
      <w:r w:rsidRPr="00C71F5A">
        <w:rPr>
          <w:rFonts w:hint="eastAsia"/>
          <w:lang w:eastAsia="zh-HK"/>
        </w:rPr>
        <w:t>.  P</w:t>
      </w:r>
      <w:r w:rsidRPr="00C71F5A">
        <w:rPr>
          <w:lang w:eastAsia="zh-HK"/>
        </w:rPr>
        <w:t xml:space="preserve">ending the implementation of ERKS for keeping electronic records, all B/Ds are required to meet the </w:t>
      </w:r>
      <w:r>
        <w:rPr>
          <w:lang w:eastAsia="zh-HK"/>
        </w:rPr>
        <w:t>"</w:t>
      </w:r>
      <w:r w:rsidRPr="00C71F5A">
        <w:rPr>
          <w:lang w:eastAsia="zh-HK"/>
        </w:rPr>
        <w:t>print-and-file</w:t>
      </w:r>
      <w:r>
        <w:rPr>
          <w:lang w:eastAsia="zh-HK"/>
        </w:rPr>
        <w:t>"</w:t>
      </w:r>
      <w:r w:rsidRPr="00C71F5A">
        <w:rPr>
          <w:lang w:eastAsia="zh-HK"/>
        </w:rPr>
        <w:t xml:space="preserve"> requirements for their e-mail correspondence.</w:t>
      </w:r>
    </w:p>
    <w:p w:rsidR="00DA7492" w:rsidRPr="00C71F5A" w:rsidRDefault="00DA7492">
      <w:pPr>
        <w:pStyle w:val="ListParagraph"/>
        <w:ind w:hanging="720"/>
        <w:rPr>
          <w:rFonts w:cs="Arial"/>
          <w:lang w:eastAsia="zh-HK"/>
        </w:rPr>
      </w:pPr>
    </w:p>
    <w:p w:rsidR="00DA7492" w:rsidRPr="00C71F5A" w:rsidRDefault="00DA7492">
      <w:pPr>
        <w:rPr>
          <w:i/>
          <w:color w:val="FF0000"/>
          <w:lang w:eastAsia="zh-HK"/>
        </w:rPr>
      </w:pPr>
      <w:r w:rsidRPr="00C71F5A">
        <w:rPr>
          <w:lang w:eastAsia="zh-HK"/>
        </w:rPr>
        <w:t>5.19</w:t>
      </w:r>
      <w:r w:rsidRPr="00C71F5A">
        <w:rPr>
          <w:lang w:eastAsia="zh-HK"/>
        </w:rPr>
        <w:tab/>
      </w:r>
      <w:r w:rsidRPr="00C71F5A">
        <w:rPr>
          <w:lang w:eastAsia="zh-HK"/>
        </w:rPr>
        <w:tab/>
        <w:t xml:space="preserve">According to the GRS, </w:t>
      </w:r>
      <w:r w:rsidRPr="00C71F5A">
        <w:rPr>
          <w:rFonts w:hint="eastAsia"/>
          <w:lang w:eastAsia="zh-HK"/>
        </w:rPr>
        <w:t xml:space="preserve">its </w:t>
      </w:r>
      <w:r w:rsidRPr="00C71F5A">
        <w:rPr>
          <w:lang w:eastAsia="zh-HK"/>
        </w:rPr>
        <w:t xml:space="preserve">random checks in the past few years indicated that the </w:t>
      </w:r>
      <w:r>
        <w:rPr>
          <w:lang w:eastAsia="zh-HK"/>
        </w:rPr>
        <w:t>"</w:t>
      </w:r>
      <w:r w:rsidRPr="00C71F5A">
        <w:rPr>
          <w:lang w:eastAsia="zh-HK"/>
        </w:rPr>
        <w:t>print-and-file</w:t>
      </w:r>
      <w:r>
        <w:rPr>
          <w:lang w:eastAsia="zh-HK"/>
        </w:rPr>
        <w:t>"</w:t>
      </w:r>
      <w:r w:rsidRPr="00C71F5A">
        <w:rPr>
          <w:lang w:eastAsia="zh-HK"/>
        </w:rPr>
        <w:t xml:space="preserve"> requirement has been generally observed</w:t>
      </w:r>
      <w:r w:rsidRPr="00C71F5A">
        <w:rPr>
          <w:rFonts w:hint="eastAsia"/>
          <w:lang w:eastAsia="zh-HK"/>
        </w:rPr>
        <w:t>, with only</w:t>
      </w:r>
      <w:r w:rsidRPr="00C71F5A">
        <w:rPr>
          <w:lang w:eastAsia="zh-HK"/>
        </w:rPr>
        <w:t xml:space="preserve"> </w:t>
      </w:r>
      <w:r w:rsidRPr="00C71F5A">
        <w:rPr>
          <w:rFonts w:hint="eastAsia"/>
          <w:lang w:eastAsia="zh-HK"/>
        </w:rPr>
        <w:t xml:space="preserve">a few </w:t>
      </w:r>
      <w:r w:rsidRPr="00C71F5A">
        <w:rPr>
          <w:lang w:eastAsia="zh-HK"/>
        </w:rPr>
        <w:t xml:space="preserve">non-compliance cases </w:t>
      </w:r>
      <w:r w:rsidRPr="00C71F5A">
        <w:rPr>
          <w:rFonts w:hint="eastAsia"/>
          <w:lang w:eastAsia="zh-HK"/>
        </w:rPr>
        <w:t xml:space="preserve">in one B/D which </w:t>
      </w:r>
      <w:r w:rsidRPr="00C71F5A">
        <w:rPr>
          <w:lang w:eastAsia="zh-HK"/>
        </w:rPr>
        <w:t xml:space="preserve">has since taken </w:t>
      </w:r>
      <w:r w:rsidRPr="00C71F5A">
        <w:rPr>
          <w:rFonts w:hint="eastAsia"/>
          <w:lang w:eastAsia="zh-HK"/>
        </w:rPr>
        <w:t>preventive</w:t>
      </w:r>
      <w:r w:rsidRPr="00C71F5A">
        <w:rPr>
          <w:lang w:eastAsia="zh-HK"/>
        </w:rPr>
        <w:t xml:space="preserve"> measures.</w:t>
      </w:r>
      <w:r w:rsidRPr="00C71F5A">
        <w:rPr>
          <w:rStyle w:val="FootnoteReference"/>
          <w:rFonts w:cs="Arial"/>
          <w:lang w:eastAsia="zh-HK"/>
        </w:rPr>
        <w:footnoteReference w:id="274"/>
      </w:r>
      <w:r w:rsidRPr="00C71F5A">
        <w:rPr>
          <w:i/>
        </w:rPr>
        <w:t xml:space="preserve"> </w:t>
      </w:r>
      <w:r w:rsidRPr="00C71F5A">
        <w:rPr>
          <w:rFonts w:hint="eastAsia"/>
          <w:i/>
        </w:rPr>
        <w:t xml:space="preserve"> </w:t>
      </w:r>
    </w:p>
    <w:p w:rsidR="00DA7492" w:rsidRPr="00C71F5A" w:rsidRDefault="00DA7492">
      <w:pPr>
        <w:ind w:left="720" w:hanging="720"/>
        <w:rPr>
          <w:rFonts w:cs="Arial"/>
          <w:lang w:eastAsia="zh-HK"/>
        </w:rPr>
      </w:pPr>
    </w:p>
    <w:p w:rsidR="00DA7492" w:rsidRPr="00C71F5A" w:rsidRDefault="00DA7492" w:rsidP="001C1A21">
      <w:pPr>
        <w:pStyle w:val="Heading3"/>
        <w:tabs>
          <w:tab w:val="left" w:pos="720"/>
        </w:tabs>
      </w:pPr>
      <w:r w:rsidRPr="00C71F5A">
        <w:rPr>
          <w:rFonts w:hint="eastAsia"/>
        </w:rPr>
        <w:lastRenderedPageBreak/>
        <w:t>(c)</w:t>
      </w:r>
      <w:r w:rsidRPr="00C71F5A">
        <w:tab/>
        <w:t xml:space="preserve">Other </w:t>
      </w:r>
      <w:r w:rsidRPr="00C71F5A">
        <w:rPr>
          <w:rFonts w:hint="eastAsia"/>
        </w:rPr>
        <w:t>j</w:t>
      </w:r>
      <w:r w:rsidRPr="00C71F5A">
        <w:t>urisdictions</w:t>
      </w:r>
    </w:p>
    <w:p w:rsidR="00DA7492" w:rsidRPr="00C71F5A" w:rsidRDefault="00DA7492">
      <w:pPr>
        <w:keepNext/>
        <w:rPr>
          <w:rFonts w:cs="Arial"/>
        </w:rPr>
      </w:pPr>
    </w:p>
    <w:p w:rsidR="00DA7492" w:rsidRPr="00C71F5A" w:rsidRDefault="00DA7492">
      <w:pPr>
        <w:rPr>
          <w:lang w:val="en-NZ"/>
        </w:rPr>
      </w:pPr>
      <w:r w:rsidRPr="00D86E22">
        <w:rPr>
          <w:shd w:val="clear" w:color="auto" w:fill="FFFFFF"/>
        </w:rPr>
        <w:t>5.20</w:t>
      </w:r>
      <w:r w:rsidRPr="00D86E22">
        <w:rPr>
          <w:shd w:val="clear" w:color="auto" w:fill="FFFFFF"/>
        </w:rPr>
        <w:tab/>
      </w:r>
      <w:r w:rsidRPr="00D86E22">
        <w:rPr>
          <w:shd w:val="clear" w:color="auto" w:fill="FFFFFF"/>
        </w:rPr>
        <w:tab/>
        <w:t>I</w:t>
      </w:r>
      <w:r w:rsidRPr="00C71F5A">
        <w:t>n Australia, the statutory functions of the NAA under the 1983 Act include:-</w:t>
      </w:r>
    </w:p>
    <w:p w:rsidR="00DA7492" w:rsidRPr="001C1A21" w:rsidRDefault="00DA7492">
      <w:pPr>
        <w:pStyle w:val="ListParagraph"/>
        <w:ind w:hanging="720"/>
        <w:rPr>
          <w:rFonts w:cs="Arial"/>
          <w:sz w:val="20"/>
          <w:szCs w:val="20"/>
          <w:lang w:val="en-NZ"/>
        </w:rPr>
      </w:pPr>
    </w:p>
    <w:p w:rsidR="00DA7492" w:rsidRPr="00C71F5A" w:rsidRDefault="00DA7492">
      <w:pPr>
        <w:pStyle w:val="BlockText"/>
      </w:pPr>
      <w:r w:rsidRPr="00A7055D">
        <w:rPr>
          <w:i w:val="0"/>
          <w:lang w:val="en-NZ"/>
        </w:rPr>
        <w:t>"</w:t>
      </w:r>
      <w:r w:rsidRPr="00C71F5A">
        <w:t xml:space="preserve">to promote, by providing advice and other assistance to Commonwealth institutions, the </w:t>
      </w:r>
      <w:r w:rsidRPr="00C71F5A">
        <w:rPr>
          <w:bCs/>
          <w:u w:val="single"/>
        </w:rPr>
        <w:t>creation</w:t>
      </w:r>
      <w:r w:rsidRPr="00C71F5A">
        <w:t>, keeping and management of current Commonwealth records in an efficient and economical manner and in a manner that will facilitate their use as part of the archival resources of the Commonwealth;</w:t>
      </w:r>
      <w:r w:rsidRPr="00A7055D">
        <w:rPr>
          <w:i w:val="0"/>
        </w:rPr>
        <w:t>"</w:t>
      </w:r>
      <w:r>
        <w:t xml:space="preserve"> </w:t>
      </w:r>
      <w:r w:rsidRPr="00C71F5A">
        <w:t>(emphasis added)</w:t>
      </w:r>
      <w:r w:rsidRPr="00C71F5A">
        <w:rPr>
          <w:rStyle w:val="FootnoteReference"/>
          <w:rFonts w:cs="Arial"/>
          <w:i w:val="0"/>
        </w:rPr>
        <w:footnoteReference w:id="275"/>
      </w:r>
    </w:p>
    <w:p w:rsidR="00DA7492" w:rsidRPr="00C71F5A" w:rsidRDefault="00DA7492">
      <w:pPr>
        <w:pStyle w:val="ListParagraph"/>
        <w:ind w:hanging="720"/>
        <w:rPr>
          <w:rFonts w:cs="Arial"/>
        </w:rPr>
      </w:pPr>
    </w:p>
    <w:p w:rsidR="00DA7492" w:rsidRPr="00D86E22" w:rsidRDefault="00DA7492">
      <w:pPr>
        <w:rPr>
          <w:shd w:val="clear" w:color="auto" w:fill="FFFFFF"/>
        </w:rPr>
      </w:pPr>
      <w:r w:rsidRPr="00D86E22">
        <w:rPr>
          <w:shd w:val="clear" w:color="auto" w:fill="FFFFFF"/>
        </w:rPr>
        <w:t>5.21</w:t>
      </w:r>
      <w:r w:rsidRPr="00D86E22">
        <w:rPr>
          <w:shd w:val="clear" w:color="auto" w:fill="FFFFFF"/>
        </w:rPr>
        <w:tab/>
      </w:r>
      <w:r w:rsidRPr="00D86E22">
        <w:rPr>
          <w:shd w:val="clear" w:color="auto" w:fill="FFFFFF"/>
        </w:rPr>
        <w:tab/>
      </w:r>
      <w:r w:rsidRPr="00D86E22">
        <w:rPr>
          <w:rFonts w:hint="eastAsia"/>
          <w:shd w:val="clear" w:color="auto" w:fill="FFFFFF"/>
        </w:rPr>
        <w:t>S</w:t>
      </w:r>
      <w:r w:rsidRPr="00D86E22">
        <w:rPr>
          <w:shd w:val="clear" w:color="auto" w:fill="FFFFFF"/>
        </w:rPr>
        <w:t>imilar</w:t>
      </w:r>
      <w:r w:rsidRPr="00D86E22">
        <w:rPr>
          <w:rFonts w:hint="eastAsia"/>
          <w:shd w:val="clear" w:color="auto" w:fill="FFFFFF"/>
        </w:rPr>
        <w:t>ly</w:t>
      </w:r>
      <w:r w:rsidRPr="00D86E22">
        <w:rPr>
          <w:shd w:val="clear" w:color="auto" w:fill="FFFFFF"/>
        </w:rPr>
        <w:t xml:space="preserve"> NLB in Singapore, amongst other things,  </w:t>
      </w:r>
    </w:p>
    <w:p w:rsidR="00DA7492" w:rsidRPr="001C1A21" w:rsidRDefault="00DA7492">
      <w:pPr>
        <w:ind w:leftChars="299" w:left="1416" w:hanging="698"/>
        <w:rPr>
          <w:rFonts w:cs="Arial"/>
          <w:i/>
          <w:sz w:val="20"/>
          <w:szCs w:val="20"/>
          <w:shd w:val="clear" w:color="auto" w:fill="FFFFFF"/>
        </w:rPr>
      </w:pPr>
    </w:p>
    <w:p w:rsidR="00DA7492" w:rsidRPr="00D86E22" w:rsidRDefault="00DA7492">
      <w:pPr>
        <w:pStyle w:val="BlockText"/>
        <w:rPr>
          <w:shd w:val="clear" w:color="auto" w:fill="FFFFFF"/>
        </w:rPr>
      </w:pPr>
      <w:r w:rsidRPr="00A7055D">
        <w:rPr>
          <w:i w:val="0"/>
        </w:rPr>
        <w:t>"</w:t>
      </w:r>
      <w:r w:rsidRPr="00C71F5A">
        <w:t>shall conduct a records management programme for the</w:t>
      </w:r>
      <w:r w:rsidRPr="00D86E22">
        <w:rPr>
          <w:shd w:val="clear" w:color="auto" w:fill="FFFFFF"/>
        </w:rPr>
        <w:t xml:space="preserve"> efficient </w:t>
      </w:r>
      <w:r w:rsidRPr="00D86E22">
        <w:rPr>
          <w:u w:val="single"/>
          <w:shd w:val="clear" w:color="auto" w:fill="FFFFFF"/>
        </w:rPr>
        <w:t>creation</w:t>
      </w:r>
      <w:r w:rsidRPr="00D86E22">
        <w:rPr>
          <w:shd w:val="clear" w:color="auto" w:fill="FFFFFF"/>
        </w:rPr>
        <w:t>, utilisation, maintenance, retention, preservation and disposal of public records;</w:t>
      </w:r>
      <w:r w:rsidRPr="00D86E22">
        <w:rPr>
          <w:i w:val="0"/>
          <w:shd w:val="clear" w:color="auto" w:fill="FFFFFF"/>
        </w:rPr>
        <w:t>"</w:t>
      </w:r>
      <w:r w:rsidRPr="00D86E22">
        <w:rPr>
          <w:rStyle w:val="FootnoteReference"/>
          <w:rFonts w:cs="Arial"/>
          <w:i w:val="0"/>
          <w:shd w:val="clear" w:color="auto" w:fill="FFFFFF"/>
        </w:rPr>
        <w:footnoteReference w:id="276"/>
      </w:r>
      <w:r w:rsidRPr="00D86E22">
        <w:rPr>
          <w:shd w:val="clear" w:color="auto" w:fill="FFFFFF"/>
        </w:rPr>
        <w:t xml:space="preserve"> (emphasis added)</w:t>
      </w:r>
    </w:p>
    <w:p w:rsidR="00DA7492" w:rsidRPr="00D86E22" w:rsidRDefault="00DA7492">
      <w:pPr>
        <w:pStyle w:val="ListParagraph"/>
        <w:rPr>
          <w:rFonts w:cs="Arial"/>
          <w:shd w:val="clear" w:color="auto" w:fill="FFFFFF"/>
        </w:rPr>
      </w:pPr>
    </w:p>
    <w:p w:rsidR="00DA7492" w:rsidRPr="00C71F5A" w:rsidRDefault="00DA7492" w:rsidP="00DA7492">
      <w:r w:rsidRPr="00D86E22">
        <w:rPr>
          <w:shd w:val="clear" w:color="auto" w:fill="FFFFFF"/>
        </w:rPr>
        <w:t>5.22</w:t>
      </w:r>
      <w:r w:rsidRPr="00D86E22">
        <w:rPr>
          <w:shd w:val="clear" w:color="auto" w:fill="FFFFFF"/>
        </w:rPr>
        <w:tab/>
      </w:r>
      <w:r w:rsidRPr="00D86E22">
        <w:rPr>
          <w:shd w:val="clear" w:color="auto" w:fill="FFFFFF"/>
        </w:rPr>
        <w:tab/>
        <w:t xml:space="preserve">The 1958 Act in England and the 1986 Act in Ireland contain no provision that imposes a specific obligation on records creation.  Nevertheless, TNA in England has promulgated guidelines on proper creation of records, so have the NAA in Australia and ANZ in New Zealand.  </w:t>
      </w:r>
      <w:r w:rsidRPr="00C71F5A">
        <w:t xml:space="preserve">A common feature of these guidelines is that they require government agencies to decide themselves what records they need to keep, having regard to, </w:t>
      </w:r>
      <w:r w:rsidRPr="00C71F5A">
        <w:rPr>
          <w:i/>
        </w:rPr>
        <w:t>inter alia</w:t>
      </w:r>
      <w:r w:rsidRPr="00C71F5A">
        <w:t>, their own purposes and functions, and the legal and regulatory environment.</w:t>
      </w:r>
      <w:r w:rsidRPr="00C71F5A">
        <w:rPr>
          <w:rStyle w:val="FootnoteReference"/>
          <w:rFonts w:cs="Arial"/>
          <w:lang w:eastAsia="zh-HK"/>
        </w:rPr>
        <w:footnoteReference w:id="277"/>
      </w:r>
    </w:p>
    <w:p w:rsidR="00DA7492" w:rsidRPr="00C71F5A" w:rsidRDefault="00DA7492">
      <w:pPr>
        <w:pStyle w:val="ListParagraph"/>
        <w:ind w:left="0"/>
        <w:rPr>
          <w:rFonts w:cs="Arial"/>
        </w:rPr>
      </w:pPr>
    </w:p>
    <w:p w:rsidR="00DA7492" w:rsidRPr="00C71F5A" w:rsidRDefault="00DA7492">
      <w:pPr>
        <w:rPr>
          <w:lang w:val="en-NZ"/>
        </w:rPr>
      </w:pPr>
      <w:r w:rsidRPr="00D86E22">
        <w:rPr>
          <w:shd w:val="clear" w:color="auto" w:fill="FFFFFF"/>
        </w:rPr>
        <w:t>5.23</w:t>
      </w:r>
      <w:r w:rsidRPr="00D86E22">
        <w:rPr>
          <w:shd w:val="clear" w:color="auto" w:fill="FFFFFF"/>
        </w:rPr>
        <w:tab/>
      </w:r>
      <w:r w:rsidRPr="00D86E22">
        <w:rPr>
          <w:shd w:val="clear" w:color="auto" w:fill="FFFFFF"/>
        </w:rPr>
        <w:tab/>
        <w:t>Apart from citing records creation as one of the purposes, the 2005 Act in New Zealand also creates a specific legal obligation to create records:-</w:t>
      </w:r>
      <w:r w:rsidRPr="00C71F5A">
        <w:t xml:space="preserve"> </w:t>
      </w:r>
    </w:p>
    <w:p w:rsidR="00DA7492" w:rsidRPr="001C1A21" w:rsidRDefault="00DA7492">
      <w:pPr>
        <w:ind w:left="720" w:hanging="720"/>
        <w:rPr>
          <w:rFonts w:cs="Arial"/>
          <w:sz w:val="20"/>
          <w:szCs w:val="20"/>
          <w:lang w:val="en-NZ"/>
        </w:rPr>
      </w:pPr>
      <w:r w:rsidRPr="00C71F5A">
        <w:rPr>
          <w:rFonts w:cs="Arial"/>
          <w:lang w:val="en-NZ"/>
        </w:rPr>
        <w:tab/>
      </w:r>
    </w:p>
    <w:p w:rsidR="00DA7492" w:rsidRPr="00C71F5A" w:rsidRDefault="00DA7492">
      <w:pPr>
        <w:pStyle w:val="BlockText"/>
        <w:rPr>
          <w:lang w:val="en-NZ"/>
        </w:rPr>
      </w:pPr>
      <w:r w:rsidRPr="00C04E85">
        <w:rPr>
          <w:i w:val="0"/>
          <w:lang w:val="en-NZ"/>
        </w:rPr>
        <w:t>"</w:t>
      </w:r>
      <w:r w:rsidRPr="00C71F5A">
        <w:rPr>
          <w:lang w:val="en-NZ"/>
        </w:rPr>
        <w:t xml:space="preserve">Every public office and local authority must create and maintain full and accurate records of its affairs, in accordance with normal, </w:t>
      </w:r>
      <w:r w:rsidRPr="00C71F5A">
        <w:rPr>
          <w:lang w:val="en-NZ"/>
        </w:rPr>
        <w:lastRenderedPageBreak/>
        <w:t>prudent business practice, including the records of any matter that is contracted out to an independent contractor.</w:t>
      </w:r>
      <w:r w:rsidRPr="00C04E85">
        <w:rPr>
          <w:i w:val="0"/>
          <w:lang w:val="en-NZ"/>
        </w:rPr>
        <w:t>"</w:t>
      </w:r>
      <w:r w:rsidRPr="00C71F5A">
        <w:rPr>
          <w:rFonts w:hint="eastAsia"/>
          <w:spacing w:val="-20"/>
          <w:lang w:val="en-NZ"/>
        </w:rPr>
        <w:t xml:space="preserve"> </w:t>
      </w:r>
      <w:r w:rsidRPr="00C71F5A">
        <w:rPr>
          <w:rStyle w:val="FootnoteReference"/>
          <w:rFonts w:eastAsia="Times New Roman" w:cs="Arial"/>
          <w:i w:val="0"/>
          <w:lang w:val="en-NZ"/>
        </w:rPr>
        <w:footnoteReference w:id="278"/>
      </w:r>
    </w:p>
    <w:p w:rsidR="00DA7492" w:rsidRPr="00C71F5A" w:rsidRDefault="00DA7492">
      <w:pPr>
        <w:ind w:left="720" w:hanging="720"/>
        <w:rPr>
          <w:rFonts w:cs="Arial"/>
          <w:lang w:val="en-NZ"/>
        </w:rPr>
      </w:pPr>
    </w:p>
    <w:p w:rsidR="00DA7492" w:rsidRPr="00C71F5A" w:rsidRDefault="00DA7492">
      <w:r w:rsidRPr="00C71F5A">
        <w:t>5.24</w:t>
      </w:r>
      <w:r w:rsidRPr="00C71F5A">
        <w:tab/>
      </w:r>
      <w:r w:rsidRPr="00C71F5A">
        <w:tab/>
        <w:t>A breach of this obligation, like non-compliance with any other provision in the 2005 Act wilfully or negligently, is a criminal offence.</w:t>
      </w:r>
      <w:r w:rsidRPr="00C71F5A">
        <w:rPr>
          <w:rStyle w:val="FootnoteReference"/>
          <w:rFonts w:cs="Arial"/>
        </w:rPr>
        <w:footnoteReference w:id="279"/>
      </w:r>
      <w:r w:rsidRPr="00C71F5A">
        <w:t xml:space="preserve"> </w:t>
      </w:r>
      <w:r w:rsidRPr="00C71F5A">
        <w:rPr>
          <w:rFonts w:hint="eastAsia"/>
        </w:rPr>
        <w:t xml:space="preserve"> </w:t>
      </w:r>
      <w:r w:rsidRPr="00C71F5A">
        <w:t xml:space="preserve">Section 27 of the 2005 Act also empowers the Chief Archivist to issue standards, whether mandatory or discretionary, in relation to the creation of records.  An example is the </w:t>
      </w:r>
      <w:r>
        <w:t>"</w:t>
      </w:r>
      <w:r w:rsidRPr="00C71F5A">
        <w:rPr>
          <w:i/>
        </w:rPr>
        <w:t>Information and Records Management Standard</w:t>
      </w:r>
      <w:r w:rsidRPr="00C04E85">
        <w:t>"</w:t>
      </w:r>
      <w:r w:rsidRPr="00C71F5A">
        <w:t>.</w:t>
      </w:r>
      <w:r w:rsidRPr="00C71F5A">
        <w:rPr>
          <w:rStyle w:val="FootnoteReference"/>
          <w:rFonts w:cs="Arial"/>
        </w:rPr>
        <w:footnoteReference w:id="280"/>
      </w:r>
      <w:r w:rsidRPr="00C71F5A">
        <w:t xml:space="preserve">  However, the consequence of non-compliance with a standard is unclear.  </w:t>
      </w:r>
    </w:p>
    <w:p w:rsidR="00DA7492" w:rsidRPr="00C71F5A" w:rsidRDefault="00DA7492">
      <w:pPr>
        <w:pStyle w:val="ListParagraph"/>
        <w:rPr>
          <w:rFonts w:cs="Arial"/>
        </w:rPr>
      </w:pPr>
    </w:p>
    <w:p w:rsidR="00DA7492" w:rsidRPr="00C71F5A" w:rsidRDefault="00DA7492">
      <w:pPr>
        <w:pStyle w:val="ListParagraph"/>
        <w:rPr>
          <w:rFonts w:cs="Arial"/>
        </w:rPr>
      </w:pPr>
    </w:p>
    <w:p w:rsidR="00DA7492" w:rsidRPr="00D86E22" w:rsidRDefault="00DA7492">
      <w:pPr>
        <w:pStyle w:val="Heading2"/>
        <w:rPr>
          <w:shd w:val="clear" w:color="auto" w:fill="FFFFFF"/>
        </w:rPr>
      </w:pPr>
      <w:r w:rsidRPr="00D86E22">
        <w:rPr>
          <w:shd w:val="clear" w:color="auto" w:fill="FFFFFF"/>
        </w:rPr>
        <w:t xml:space="preserve">Issues for </w:t>
      </w:r>
      <w:r w:rsidRPr="00D86E22">
        <w:rPr>
          <w:rFonts w:hint="eastAsia"/>
          <w:shd w:val="clear" w:color="auto" w:fill="FFFFFF"/>
        </w:rPr>
        <w:t>p</w:t>
      </w:r>
      <w:r w:rsidRPr="00D86E22">
        <w:rPr>
          <w:shd w:val="clear" w:color="auto" w:fill="FFFFFF"/>
        </w:rPr>
        <w:t>ublic</w:t>
      </w:r>
      <w:r w:rsidRPr="00C71F5A">
        <w:rPr>
          <w:rStyle w:val="Heading2Char"/>
        </w:rPr>
        <w:t xml:space="preserve"> </w:t>
      </w:r>
      <w:r w:rsidRPr="00D86E22">
        <w:rPr>
          <w:rFonts w:hint="eastAsia"/>
          <w:shd w:val="clear" w:color="auto" w:fill="FFFFFF"/>
        </w:rPr>
        <w:t>c</w:t>
      </w:r>
      <w:r w:rsidRPr="00D86E22">
        <w:rPr>
          <w:shd w:val="clear" w:color="auto" w:fill="FFFFFF"/>
        </w:rPr>
        <w:t xml:space="preserve">onsultation </w:t>
      </w:r>
    </w:p>
    <w:p w:rsidR="00DA7492" w:rsidRPr="00D86E22" w:rsidRDefault="00DA7492">
      <w:pPr>
        <w:pStyle w:val="ListParagraph"/>
        <w:keepNext/>
        <w:ind w:leftChars="-6" w:left="-4" w:hangingChars="4" w:hanging="10"/>
        <w:rPr>
          <w:rFonts w:cs="Arial"/>
          <w:shd w:val="clear" w:color="auto" w:fill="FFFFFF"/>
        </w:rPr>
      </w:pPr>
    </w:p>
    <w:p w:rsidR="00DA7492" w:rsidRPr="00D86E22" w:rsidRDefault="00DA7492">
      <w:pPr>
        <w:rPr>
          <w:shd w:val="clear" w:color="auto" w:fill="FFFFFF"/>
        </w:rPr>
      </w:pPr>
      <w:r w:rsidRPr="00D86E22">
        <w:rPr>
          <w:shd w:val="clear" w:color="auto" w:fill="FFFFFF"/>
        </w:rPr>
        <w:t>5.25</w:t>
      </w:r>
      <w:r w:rsidRPr="00D86E22">
        <w:rPr>
          <w:shd w:val="clear" w:color="auto" w:fill="FFFFFF"/>
        </w:rPr>
        <w:tab/>
      </w:r>
      <w:r w:rsidRPr="00D86E22">
        <w:rPr>
          <w:shd w:val="clear" w:color="auto" w:fill="FFFFFF"/>
        </w:rPr>
        <w:tab/>
        <w:t>Proper creation of records is not only fundamental to the ability of public agencies to meet requirements for evidence of business activity, but is also crucial to an open and accountable government, and the preservation of the documentary heritage of the community.</w:t>
      </w:r>
      <w:r w:rsidRPr="00D86E22">
        <w:rPr>
          <w:rStyle w:val="FootnoteReference"/>
          <w:rFonts w:cs="Arial"/>
          <w:shd w:val="clear" w:color="auto" w:fill="FFFFFF"/>
        </w:rPr>
        <w:footnoteReference w:id="281"/>
      </w:r>
      <w:r w:rsidRPr="00D86E22">
        <w:rPr>
          <w:shd w:val="clear" w:color="auto" w:fill="FFFFFF"/>
        </w:rPr>
        <w:t xml:space="preserve">    </w:t>
      </w:r>
    </w:p>
    <w:p w:rsidR="00DA7492" w:rsidRPr="00D86E22" w:rsidRDefault="00DA7492">
      <w:pPr>
        <w:pStyle w:val="ListParagraph"/>
        <w:rPr>
          <w:rFonts w:cs="Arial"/>
          <w:shd w:val="clear" w:color="auto" w:fill="FFFFFF"/>
        </w:rPr>
      </w:pPr>
    </w:p>
    <w:p w:rsidR="00DA7492" w:rsidRPr="00D86E22" w:rsidRDefault="00DA7492">
      <w:pPr>
        <w:rPr>
          <w:shd w:val="clear" w:color="auto" w:fill="FFFFFF"/>
        </w:rPr>
      </w:pPr>
      <w:r w:rsidRPr="00D86E22">
        <w:rPr>
          <w:shd w:val="clear" w:color="auto" w:fill="FFFFFF"/>
        </w:rPr>
        <w:t xml:space="preserve">5.26 </w:t>
      </w:r>
      <w:r w:rsidRPr="00D86E22">
        <w:rPr>
          <w:shd w:val="clear" w:color="auto" w:fill="FFFFFF"/>
        </w:rPr>
        <w:tab/>
      </w:r>
      <w:r w:rsidRPr="00D86E22">
        <w:rPr>
          <w:shd w:val="clear" w:color="auto" w:fill="FFFFFF"/>
        </w:rPr>
        <w:tab/>
        <w:t>In Australia and Singapore, promoting the creation of records is featured as one of the functions of the NAA and NLB.  New Zealand is the strictest, in that it imposes a positive legal duty upon public office or local authority to create records, the wilful or negligent breach of which constitutes a criminal offence.</w:t>
      </w:r>
      <w:r w:rsidRPr="00D86E22">
        <w:rPr>
          <w:rStyle w:val="FootnoteReference"/>
          <w:rFonts w:cs="Arial"/>
          <w:shd w:val="clear" w:color="auto" w:fill="FFFFFF"/>
        </w:rPr>
        <w:footnoteReference w:id="282"/>
      </w:r>
      <w:r w:rsidRPr="00D86E22">
        <w:rPr>
          <w:shd w:val="clear" w:color="auto" w:fill="FFFFFF"/>
        </w:rPr>
        <w:t xml:space="preserve">  The 1958 Act in England and the 1986 Act in Ireland are both silent on the duty to create records, although TNA in England has promulgated guidelines in this respect.  Apart from New Zealand, the archives laws of the other jurisdictions reviewed do not contain provisions imposing specific obligation upon public authorities or their staff to create records.  Failure to create records, </w:t>
      </w:r>
      <w:r w:rsidRPr="00D86E22">
        <w:rPr>
          <w:i/>
          <w:shd w:val="clear" w:color="auto" w:fill="FFFFFF"/>
        </w:rPr>
        <w:t>per se</w:t>
      </w:r>
      <w:r w:rsidRPr="00D86E22">
        <w:rPr>
          <w:shd w:val="clear" w:color="auto" w:fill="FFFFFF"/>
        </w:rPr>
        <w:t xml:space="preserve">, is also not made a criminal offence in such other jurisdictions. </w:t>
      </w:r>
    </w:p>
    <w:p w:rsidR="00DA7492" w:rsidRPr="00D86E22" w:rsidRDefault="00DA7492">
      <w:pPr>
        <w:pStyle w:val="ListParagraph"/>
        <w:rPr>
          <w:rFonts w:cs="Arial"/>
          <w:shd w:val="clear" w:color="auto" w:fill="FFFFFF"/>
        </w:rPr>
      </w:pPr>
    </w:p>
    <w:p w:rsidR="00DA7492" w:rsidRPr="00D86E22" w:rsidRDefault="00DA7492">
      <w:pPr>
        <w:rPr>
          <w:shd w:val="clear" w:color="auto" w:fill="FFFFFF"/>
        </w:rPr>
      </w:pPr>
      <w:r w:rsidRPr="00D86E22">
        <w:rPr>
          <w:shd w:val="clear" w:color="auto" w:fill="FFFFFF"/>
        </w:rPr>
        <w:t>5.27</w:t>
      </w:r>
      <w:r w:rsidRPr="00D86E22">
        <w:rPr>
          <w:shd w:val="clear" w:color="auto" w:fill="FFFFFF"/>
        </w:rPr>
        <w:tab/>
      </w:r>
      <w:r w:rsidRPr="00D86E22">
        <w:rPr>
          <w:shd w:val="clear" w:color="auto" w:fill="FFFFFF"/>
        </w:rPr>
        <w:tab/>
        <w:t xml:space="preserve">In Hong Kong, although the requirement to create records is not specified in GC09 as a mandatory requirement, public officers are duty bound </w:t>
      </w:r>
      <w:r w:rsidRPr="00D86E22">
        <w:rPr>
          <w:shd w:val="clear" w:color="auto" w:fill="FFFFFF"/>
        </w:rPr>
        <w:lastRenderedPageBreak/>
        <w:t xml:space="preserve">to </w:t>
      </w:r>
      <w:r w:rsidRPr="00D86E22">
        <w:rPr>
          <w:shd w:val="clear" w:color="auto" w:fill="FFFFFF"/>
          <w:lang w:eastAsia="zh-HK"/>
        </w:rPr>
        <w:t>create and capture adequate but not excessive records, failing which disciplinary sanction may follow.</w:t>
      </w:r>
    </w:p>
    <w:p w:rsidR="00DA7492" w:rsidRPr="00D86E22" w:rsidRDefault="00DA7492">
      <w:pPr>
        <w:pStyle w:val="ListParagraph"/>
        <w:rPr>
          <w:rFonts w:cs="Arial"/>
          <w:shd w:val="clear" w:color="auto" w:fill="FFFFFF"/>
        </w:rPr>
      </w:pPr>
    </w:p>
    <w:p w:rsidR="00DA7492" w:rsidRPr="00D86E22" w:rsidRDefault="00DA7492">
      <w:pPr>
        <w:rPr>
          <w:shd w:val="clear" w:color="auto" w:fill="FFFFFF"/>
        </w:rPr>
      </w:pPr>
      <w:r w:rsidRPr="00D86E22">
        <w:rPr>
          <w:shd w:val="clear" w:color="auto" w:fill="FFFFFF"/>
        </w:rPr>
        <w:t>5.28</w:t>
      </w:r>
      <w:r w:rsidRPr="00D86E22">
        <w:rPr>
          <w:shd w:val="clear" w:color="auto" w:fill="FFFFFF"/>
        </w:rPr>
        <w:tab/>
      </w:r>
      <w:r w:rsidRPr="00D86E22">
        <w:rPr>
          <w:shd w:val="clear" w:color="auto" w:fill="FFFFFF"/>
        </w:rPr>
        <w:tab/>
        <w:t>While we are acutely aware of the importance of proper creation of public records, we are mindful of the need to balance other relevant factors, including the nature of the obligation, proportionality of sanction for failure of compliance and the impact on staff morale.</w:t>
      </w:r>
    </w:p>
    <w:p w:rsidR="00DA7492" w:rsidRPr="00D86E22" w:rsidRDefault="00DA7492">
      <w:pPr>
        <w:pStyle w:val="ListParagraph"/>
        <w:ind w:left="0"/>
        <w:rPr>
          <w:rFonts w:cs="Arial"/>
          <w:shd w:val="clear" w:color="auto" w:fill="FFFFFF"/>
        </w:rPr>
      </w:pPr>
    </w:p>
    <w:p w:rsidR="00DA7492" w:rsidRPr="00D86E22" w:rsidRDefault="00DA7492">
      <w:pPr>
        <w:rPr>
          <w:shd w:val="clear" w:color="auto" w:fill="FFFFFF"/>
        </w:rPr>
      </w:pPr>
      <w:r w:rsidRPr="00D86E22">
        <w:rPr>
          <w:shd w:val="clear" w:color="auto" w:fill="FFFFFF"/>
        </w:rPr>
        <w:t>5.29</w:t>
      </w:r>
      <w:r w:rsidRPr="00D86E22">
        <w:rPr>
          <w:shd w:val="clear" w:color="auto" w:fill="FFFFFF"/>
        </w:rPr>
        <w:tab/>
      </w:r>
      <w:r w:rsidRPr="00D86E22">
        <w:rPr>
          <w:shd w:val="clear" w:color="auto" w:fill="FFFFFF"/>
        </w:rPr>
        <w:tab/>
        <w:t xml:space="preserve">Given the importance of the issue, we believe it appropriate and necessary to gauge the views of the community at large before considering the appropriate recommendation(s) (if any) to be made. </w:t>
      </w:r>
    </w:p>
    <w:p w:rsidR="00DA7492" w:rsidRPr="00D86E22" w:rsidRDefault="00DA7492">
      <w:pPr>
        <w:pStyle w:val="ListParagraph"/>
        <w:rPr>
          <w:rFonts w:cs="Arial"/>
          <w:shd w:val="clear" w:color="auto" w:fill="FFFFFF"/>
        </w:rPr>
      </w:pPr>
    </w:p>
    <w:p w:rsidR="00DA7492" w:rsidRPr="00D86E22" w:rsidRDefault="00DA7492">
      <w:pPr>
        <w:pStyle w:val="ListParagraph"/>
        <w:rPr>
          <w:rFonts w:cs="Arial"/>
          <w:shd w:val="clear" w:color="auto" w:fill="FFFFFF"/>
        </w:rPr>
      </w:pPr>
    </w:p>
    <w:p w:rsidR="00DA7492" w:rsidRPr="001C1A21"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1C1A21">
        <w:rPr>
          <w:rFonts w:cs="Arial"/>
          <w:b/>
          <w:shd w:val="clear" w:color="auto" w:fill="FFFFFF"/>
          <w:lang w:val="en-US"/>
        </w:rPr>
        <w:t>Consultation Questions 3</w:t>
      </w:r>
    </w:p>
    <w:p w:rsidR="00DA7492" w:rsidRPr="001C1A21"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1C1A21" w:rsidRDefault="00DA7492" w:rsidP="00D86E22">
      <w:pPr>
        <w:pStyle w:val="ListParagraph"/>
        <w:widowControl/>
        <w:numPr>
          <w:ilvl w:val="0"/>
          <w:numId w:val="38"/>
        </w:numPr>
        <w:pBdr>
          <w:top w:val="single" w:sz="4" w:space="8" w:color="auto"/>
          <w:left w:val="single" w:sz="4" w:space="8" w:color="auto"/>
          <w:bottom w:val="single" w:sz="4" w:space="8" w:color="auto"/>
          <w:right w:val="single" w:sz="4" w:space="8" w:color="auto"/>
        </w:pBdr>
        <w:ind w:left="1418" w:right="720" w:hanging="698"/>
        <w:contextualSpacing w:val="0"/>
        <w:rPr>
          <w:rFonts w:cs="Arial"/>
          <w:b/>
          <w:shd w:val="clear" w:color="auto" w:fill="FFFFFF"/>
        </w:rPr>
      </w:pPr>
      <w:r w:rsidRPr="001C1A21">
        <w:rPr>
          <w:rFonts w:cs="Arial"/>
          <w:b/>
          <w:shd w:val="clear" w:color="auto" w:fill="FFFFFF"/>
        </w:rPr>
        <w:t>Is the current obligation for the creation of public records, which is subject to the civil service general regulations in conjunction with the guidelines on creation and collection, adequate in ensuring the proper creation of records?</w:t>
      </w:r>
    </w:p>
    <w:p w:rsidR="00DA7492" w:rsidRPr="001C1A21" w:rsidRDefault="00DA7492" w:rsidP="00DA7492">
      <w:pPr>
        <w:pBdr>
          <w:top w:val="single" w:sz="4" w:space="8" w:color="auto"/>
          <w:left w:val="single" w:sz="4" w:space="8" w:color="auto"/>
          <w:bottom w:val="single" w:sz="4" w:space="8" w:color="auto"/>
          <w:right w:val="single" w:sz="4" w:space="8" w:color="auto"/>
        </w:pBdr>
        <w:ind w:left="1418" w:right="720" w:hanging="698"/>
        <w:rPr>
          <w:rFonts w:cs="Arial"/>
          <w:b/>
          <w:shd w:val="clear" w:color="auto" w:fill="FFFFFF"/>
        </w:rPr>
      </w:pPr>
    </w:p>
    <w:p w:rsidR="00DA7492" w:rsidRPr="001C1A21" w:rsidRDefault="00DA7492" w:rsidP="00D86E22">
      <w:pPr>
        <w:pStyle w:val="ListParagraph"/>
        <w:widowControl/>
        <w:numPr>
          <w:ilvl w:val="0"/>
          <w:numId w:val="38"/>
        </w:numPr>
        <w:pBdr>
          <w:top w:val="single" w:sz="4" w:space="8" w:color="auto"/>
          <w:left w:val="single" w:sz="4" w:space="8" w:color="auto"/>
          <w:bottom w:val="single" w:sz="4" w:space="8" w:color="auto"/>
          <w:right w:val="single" w:sz="4" w:space="8" w:color="auto"/>
        </w:pBdr>
        <w:ind w:left="1418" w:right="720" w:hanging="698"/>
        <w:contextualSpacing w:val="0"/>
        <w:rPr>
          <w:rFonts w:cs="Arial"/>
          <w:b/>
          <w:shd w:val="clear" w:color="auto" w:fill="FFFFFF"/>
          <w:lang w:val="en-US"/>
        </w:rPr>
      </w:pPr>
      <w:r w:rsidRPr="001C1A21">
        <w:rPr>
          <w:rFonts w:cs="Arial"/>
          <w:b/>
          <w:shd w:val="clear" w:color="auto" w:fill="FFFFFF"/>
        </w:rPr>
        <w:t>If the answer to (i) is in the negative, in what way can the current obligation be improved and what are the reasons for your suggestions?</w:t>
      </w:r>
    </w:p>
    <w:p w:rsidR="00DA7492" w:rsidRPr="00C71F5A" w:rsidRDefault="00DA7492">
      <w:pPr>
        <w:rPr>
          <w:rFonts w:cs="Arial"/>
        </w:rPr>
      </w:pPr>
    </w:p>
    <w:p w:rsidR="00DA7492" w:rsidRPr="00C71F5A" w:rsidRDefault="00DA7492">
      <w:pPr>
        <w:rPr>
          <w:rFonts w:cs="Arial"/>
        </w:rPr>
      </w:pPr>
    </w:p>
    <w:p w:rsidR="00DA7492" w:rsidRPr="00C71F5A" w:rsidRDefault="00DA7492" w:rsidP="001C1A21">
      <w:pPr>
        <w:pStyle w:val="Heading2"/>
        <w:tabs>
          <w:tab w:val="left" w:pos="720"/>
        </w:tabs>
      </w:pPr>
      <w:r w:rsidRPr="00C71F5A">
        <w:t xml:space="preserve">(III) </w:t>
      </w:r>
      <w:r w:rsidRPr="00C71F5A">
        <w:rPr>
          <w:rFonts w:hint="eastAsia"/>
        </w:rPr>
        <w:tab/>
      </w:r>
      <w:r w:rsidRPr="00C71F5A">
        <w:t>Reviews of disposal schedules</w:t>
      </w:r>
    </w:p>
    <w:p w:rsidR="00DA7492" w:rsidRPr="00C71F5A" w:rsidRDefault="00DA7492">
      <w:pPr>
        <w:ind w:left="720" w:hanging="720"/>
        <w:rPr>
          <w:rFonts w:cs="Arial"/>
          <w:b/>
          <w:sz w:val="28"/>
          <w:szCs w:val="28"/>
        </w:rPr>
      </w:pPr>
    </w:p>
    <w:p w:rsidR="00DA7492" w:rsidRPr="00C71F5A" w:rsidRDefault="00DA7492" w:rsidP="001C1A21">
      <w:pPr>
        <w:pStyle w:val="Heading3"/>
        <w:tabs>
          <w:tab w:val="left" w:pos="720"/>
        </w:tabs>
      </w:pPr>
      <w:r w:rsidRPr="00C71F5A">
        <w:rPr>
          <w:rFonts w:hint="eastAsia"/>
        </w:rPr>
        <w:t>(a)</w:t>
      </w:r>
      <w:r w:rsidRPr="00C71F5A">
        <w:tab/>
        <w:t>Comments</w:t>
      </w:r>
    </w:p>
    <w:p w:rsidR="00DA7492" w:rsidRPr="00C71F5A" w:rsidRDefault="00DA7492">
      <w:pPr>
        <w:pStyle w:val="ListParagraph"/>
        <w:ind w:hanging="720"/>
        <w:rPr>
          <w:rFonts w:cs="Arial"/>
        </w:rPr>
      </w:pPr>
    </w:p>
    <w:p w:rsidR="00DA7492" w:rsidRPr="00C71F5A" w:rsidRDefault="00DA7492" w:rsidP="00DA7492">
      <w:r w:rsidRPr="00C71F5A">
        <w:t>5.30</w:t>
      </w:r>
      <w:r w:rsidRPr="00C71F5A">
        <w:tab/>
      </w:r>
      <w:r w:rsidRPr="00C71F5A">
        <w:tab/>
        <w:t>Under the current regime, B/Ds are required to dispose of their records in accordance with disposal schedules stipulated or approved by the GRS, which assumes overall responsibility for authorising the disposal of records.</w:t>
      </w:r>
      <w:r w:rsidRPr="00C71F5A">
        <w:rPr>
          <w:rStyle w:val="FootnoteReference"/>
          <w:rFonts w:cs="Arial"/>
        </w:rPr>
        <w:footnoteReference w:id="283"/>
      </w:r>
      <w:r w:rsidRPr="00C71F5A">
        <w:t xml:space="preserve"> </w:t>
      </w:r>
      <w:r w:rsidRPr="00C71F5A">
        <w:rPr>
          <w:rFonts w:hint="eastAsia"/>
        </w:rPr>
        <w:t xml:space="preserve"> </w:t>
      </w:r>
      <w:r w:rsidRPr="00C71F5A">
        <w:t>B/Ds are also required to review the disposal schedules for their programme records at least every five years (or more often if necessary) according to guidelines provided by the GRS.</w:t>
      </w:r>
      <w:r w:rsidRPr="00C71F5A">
        <w:rPr>
          <w:rStyle w:val="FootnoteReference"/>
          <w:rFonts w:cs="Arial"/>
        </w:rPr>
        <w:footnoteReference w:id="284"/>
      </w:r>
      <w:r w:rsidRPr="00C71F5A">
        <w:t xml:space="preserve"> </w:t>
      </w:r>
      <w:r w:rsidRPr="00C71F5A">
        <w:rPr>
          <w:rFonts w:hint="eastAsia"/>
        </w:rPr>
        <w:t xml:space="preserve"> </w:t>
      </w:r>
      <w:r w:rsidRPr="00C71F5A">
        <w:t>The problem identified by The Ombudsman was that such guidelines lacked specific guidance on the issues to be considered in a review of disposal schedules.  This has caused some B/Ds to overlook important fact</w:t>
      </w:r>
      <w:r>
        <w:t>or</w:t>
      </w:r>
      <w:r w:rsidRPr="00C71F5A">
        <w:t>s when determining the length of retention period of records.</w:t>
      </w:r>
      <w:r w:rsidRPr="00C71F5A">
        <w:rPr>
          <w:rStyle w:val="FootnoteReference"/>
          <w:rFonts w:cs="Arial"/>
        </w:rPr>
        <w:footnoteReference w:id="285"/>
      </w:r>
    </w:p>
    <w:p w:rsidR="00DA7492" w:rsidRPr="00C71F5A" w:rsidRDefault="00DA7492">
      <w:pPr>
        <w:pStyle w:val="ListParagraph"/>
        <w:rPr>
          <w:rFonts w:cs="Arial"/>
          <w:i/>
        </w:rPr>
      </w:pPr>
    </w:p>
    <w:p w:rsidR="00DA7492" w:rsidRPr="00C71F5A" w:rsidRDefault="00DA7492">
      <w:r w:rsidRPr="00C71F5A">
        <w:t>5.31</w:t>
      </w:r>
      <w:r w:rsidRPr="00C71F5A">
        <w:tab/>
      </w:r>
      <w:r w:rsidRPr="00C71F5A">
        <w:rPr>
          <w:i/>
        </w:rPr>
        <w:tab/>
      </w:r>
      <w:r w:rsidRPr="00C71F5A">
        <w:rPr>
          <w:lang w:eastAsia="zh-HK"/>
        </w:rPr>
        <w:t>In particular, The Ombudsman cited a case in which the Court of Appeal criticised a B/D</w:t>
      </w:r>
      <w:r>
        <w:rPr>
          <w:lang w:eastAsia="zh-HK"/>
        </w:rPr>
        <w:t>'</w:t>
      </w:r>
      <w:r w:rsidRPr="00C71F5A">
        <w:rPr>
          <w:lang w:eastAsia="zh-HK"/>
        </w:rPr>
        <w:t xml:space="preserve">s practice of destroying relevant documents before the </w:t>
      </w:r>
      <w:r w:rsidRPr="00C71F5A">
        <w:rPr>
          <w:lang w:eastAsia="zh-HK"/>
        </w:rPr>
        <w:lastRenderedPageBreak/>
        <w:t>expiry of time for seeking judicial review.</w:t>
      </w:r>
      <w:r w:rsidRPr="00C71F5A">
        <w:rPr>
          <w:rStyle w:val="FootnoteReference"/>
          <w:lang w:eastAsia="zh-HK"/>
        </w:rPr>
        <w:footnoteReference w:id="286"/>
      </w:r>
      <w:r w:rsidRPr="00C71F5A">
        <w:rPr>
          <w:lang w:eastAsia="zh-HK"/>
        </w:rPr>
        <w:t xml:space="preserve">  </w:t>
      </w:r>
      <w:r w:rsidRPr="00C71F5A">
        <w:t>The Ombudsman suggested that the Government should, pending legislation, review the requirements on disposal schedules to determine whether there was a need for a longer retention period of certain kinds of records, and to provide specific guidelines to B/Ds on how to carry out reviews of disposal schedules.</w:t>
      </w:r>
      <w:r w:rsidRPr="00C71F5A">
        <w:rPr>
          <w:rStyle w:val="FootnoteReference"/>
          <w:rFonts w:cs="Arial"/>
        </w:rPr>
        <w:footnoteReference w:id="287"/>
      </w:r>
    </w:p>
    <w:p w:rsidR="00DA7492" w:rsidRPr="00C71F5A" w:rsidRDefault="00DA7492">
      <w:pPr>
        <w:ind w:left="720" w:hanging="720"/>
        <w:rPr>
          <w:rFonts w:cs="Arial"/>
          <w:b/>
        </w:rPr>
      </w:pPr>
    </w:p>
    <w:p w:rsidR="00DA7492" w:rsidRPr="00C71F5A" w:rsidRDefault="00DA7492">
      <w:pPr>
        <w:ind w:left="720" w:hanging="720"/>
        <w:rPr>
          <w:rFonts w:cs="Arial"/>
          <w:b/>
        </w:rPr>
      </w:pPr>
    </w:p>
    <w:p w:rsidR="00DA7492" w:rsidRPr="00C71F5A" w:rsidRDefault="00DA7492" w:rsidP="00AD7758">
      <w:pPr>
        <w:pStyle w:val="Heading3"/>
        <w:tabs>
          <w:tab w:val="left" w:pos="720"/>
        </w:tabs>
      </w:pPr>
      <w:r w:rsidRPr="00C71F5A">
        <w:rPr>
          <w:rFonts w:hint="eastAsia"/>
        </w:rPr>
        <w:t>(b)</w:t>
      </w:r>
      <w:r w:rsidRPr="00C71F5A">
        <w:tab/>
        <w:t>Government</w:t>
      </w:r>
      <w:r>
        <w:t>'</w:t>
      </w:r>
      <w:r w:rsidRPr="00C71F5A">
        <w:t xml:space="preserve">s </w:t>
      </w:r>
      <w:r w:rsidRPr="00C71F5A">
        <w:rPr>
          <w:rFonts w:hint="eastAsia"/>
        </w:rPr>
        <w:t>s</w:t>
      </w:r>
      <w:r w:rsidRPr="00C71F5A">
        <w:t xml:space="preserve">tance or </w:t>
      </w:r>
      <w:r w:rsidRPr="00C71F5A">
        <w:rPr>
          <w:rFonts w:hint="eastAsia"/>
        </w:rPr>
        <w:t>r</w:t>
      </w:r>
      <w:r w:rsidRPr="00C71F5A">
        <w:t>esponse</w:t>
      </w:r>
    </w:p>
    <w:p w:rsidR="00DA7492" w:rsidRPr="00C71F5A" w:rsidRDefault="00DA7492">
      <w:pPr>
        <w:pStyle w:val="ListParagraph"/>
        <w:ind w:hanging="720"/>
        <w:rPr>
          <w:rFonts w:cs="Arial"/>
          <w:i/>
        </w:rPr>
      </w:pPr>
    </w:p>
    <w:p w:rsidR="00DA7492" w:rsidRPr="00C71F5A" w:rsidRDefault="00DA7492">
      <w:r w:rsidRPr="00C71F5A">
        <w:t>5.32</w:t>
      </w:r>
      <w:r w:rsidRPr="00C71F5A">
        <w:tab/>
      </w:r>
      <w:r w:rsidRPr="00C71F5A">
        <w:tab/>
        <w:t xml:space="preserve">The GRS has responded to these comments by taking various initiatives to encourage B/Ds to review their disposal schedules of their records at least once every five years to determine whether amendments are required.  </w:t>
      </w:r>
    </w:p>
    <w:p w:rsidR="00DA7492" w:rsidRPr="00C71F5A" w:rsidRDefault="00DA7492">
      <w:pPr>
        <w:pStyle w:val="ListParagraph"/>
        <w:ind w:left="0" w:firstLineChars="200" w:firstLine="480"/>
        <w:rPr>
          <w:rFonts w:cs="Arial"/>
        </w:rPr>
      </w:pPr>
    </w:p>
    <w:p w:rsidR="00DA7492" w:rsidRPr="00C71F5A" w:rsidRDefault="00DA7492">
      <w:r w:rsidRPr="00C71F5A">
        <w:t>5.33</w:t>
      </w:r>
      <w:r w:rsidRPr="00C71F5A">
        <w:tab/>
      </w:r>
      <w:r w:rsidRPr="00C71F5A">
        <w:tab/>
      </w:r>
      <w:r w:rsidRPr="00C71F5A">
        <w:rPr>
          <w:lang w:eastAsia="zh-HK"/>
        </w:rPr>
        <w:t>In March 2015, the GRS issued a</w:t>
      </w:r>
      <w:r w:rsidRPr="00C71F5A">
        <w:t xml:space="preserve"> new </w:t>
      </w:r>
      <w:r w:rsidRPr="00C71F5A">
        <w:rPr>
          <w:i/>
        </w:rPr>
        <w:t>Guideline cum Checklist for Review of Records Retention and Disposal Schedules</w:t>
      </w:r>
      <w:r w:rsidRPr="00C71F5A">
        <w:t xml:space="preserve"> (</w:t>
      </w:r>
      <w:r>
        <w:t>"</w:t>
      </w:r>
      <w:r w:rsidRPr="00C71F5A">
        <w:rPr>
          <w:b/>
        </w:rPr>
        <w:t>Guideline cum Checklist</w:t>
      </w:r>
      <w:r>
        <w:t>"</w:t>
      </w:r>
      <w:r w:rsidRPr="00C71F5A">
        <w:t>) to facilitate B/Ds to set the length of the retention period to balance the need to meet the operational, policy, legal and fiscal requirements, and to transfer records with archival value to GRS expeditiously.</w:t>
      </w:r>
      <w:r w:rsidRPr="00C71F5A">
        <w:rPr>
          <w:rFonts w:hint="eastAsia"/>
        </w:rPr>
        <w:t xml:space="preserve">  </w:t>
      </w:r>
      <w:r w:rsidRPr="00C71F5A">
        <w:t xml:space="preserve">To this end, the Guideline cum Checklist sets out </w:t>
      </w:r>
      <w:r w:rsidRPr="00D86E22">
        <w:rPr>
          <w:shd w:val="clear" w:color="auto" w:fill="FFFFFF"/>
        </w:rPr>
        <w:t xml:space="preserve">a list of </w:t>
      </w:r>
      <w:r w:rsidRPr="00D86E22">
        <w:rPr>
          <w:rFonts w:hint="eastAsia"/>
          <w:shd w:val="clear" w:color="auto" w:fill="FFFFFF"/>
          <w:lang w:eastAsia="zh-HK"/>
        </w:rPr>
        <w:t xml:space="preserve">28 </w:t>
      </w:r>
      <w:r w:rsidRPr="00D86E22">
        <w:rPr>
          <w:shd w:val="clear" w:color="auto" w:fill="FFFFFF"/>
        </w:rPr>
        <w:t>questions</w:t>
      </w:r>
      <w:r w:rsidRPr="00D86E22">
        <w:rPr>
          <w:rFonts w:hint="eastAsia"/>
          <w:shd w:val="clear" w:color="auto" w:fill="FFFFFF"/>
          <w:lang w:eastAsia="zh-HK"/>
        </w:rPr>
        <w:t xml:space="preserve"> on eight major aspects</w:t>
      </w:r>
      <w:r w:rsidRPr="00D86E22">
        <w:rPr>
          <w:rStyle w:val="FootnoteReference"/>
          <w:rFonts w:cs="Arial"/>
          <w:shd w:val="clear" w:color="auto" w:fill="FFFFFF"/>
        </w:rPr>
        <w:footnoteReference w:id="288"/>
      </w:r>
      <w:r w:rsidRPr="00D86E22">
        <w:rPr>
          <w:shd w:val="clear" w:color="auto" w:fill="FFFFFF"/>
        </w:rPr>
        <w:t xml:space="preserve"> that</w:t>
      </w:r>
      <w:r w:rsidRPr="00C71F5A">
        <w:t xml:space="preserve"> B/Ds should take into account when reviewing their disposal schedules, for example, in relation to records on decisions which may still be appealed against or the time allowed for seeking appeal or judicial review has yet to expire.</w:t>
      </w:r>
    </w:p>
    <w:p w:rsidR="00DA7492" w:rsidRPr="00C71F5A" w:rsidRDefault="00DA7492">
      <w:pPr>
        <w:pStyle w:val="ListParagraph"/>
        <w:ind w:hanging="720"/>
        <w:rPr>
          <w:rFonts w:cs="Arial"/>
          <w:lang w:val="en-US"/>
        </w:rPr>
      </w:pPr>
    </w:p>
    <w:p w:rsidR="00DA7492" w:rsidRPr="00C71F5A" w:rsidRDefault="00DA7492">
      <w:pPr>
        <w:pStyle w:val="ListParagraph"/>
        <w:ind w:hanging="720"/>
        <w:rPr>
          <w:rFonts w:cs="Arial"/>
          <w:lang w:val="en-US"/>
        </w:rPr>
      </w:pPr>
    </w:p>
    <w:p w:rsidR="00DA7492" w:rsidRPr="00C71F5A" w:rsidRDefault="00DA7492" w:rsidP="00AD7758">
      <w:pPr>
        <w:pStyle w:val="Heading3"/>
        <w:tabs>
          <w:tab w:val="left" w:pos="720"/>
        </w:tabs>
      </w:pPr>
      <w:r w:rsidRPr="00C71F5A">
        <w:rPr>
          <w:rFonts w:hint="eastAsia"/>
        </w:rPr>
        <w:t>(c)</w:t>
      </w:r>
      <w:r w:rsidRPr="00C71F5A">
        <w:tab/>
        <w:t xml:space="preserve">Other </w:t>
      </w:r>
      <w:r w:rsidRPr="00C71F5A">
        <w:rPr>
          <w:rFonts w:hint="eastAsia"/>
        </w:rPr>
        <w:t>j</w:t>
      </w:r>
      <w:r w:rsidRPr="00C71F5A">
        <w:t>urisdictions</w:t>
      </w:r>
    </w:p>
    <w:p w:rsidR="00DA7492" w:rsidRPr="00C71F5A" w:rsidRDefault="00DA7492">
      <w:pPr>
        <w:pStyle w:val="ListParagraph"/>
        <w:ind w:hanging="720"/>
        <w:rPr>
          <w:rFonts w:cs="Arial"/>
          <w:i/>
        </w:rPr>
      </w:pPr>
    </w:p>
    <w:p w:rsidR="00DA7492" w:rsidRPr="00C71F5A" w:rsidRDefault="00DA7492">
      <w:r w:rsidRPr="00D86E22">
        <w:rPr>
          <w:shd w:val="clear" w:color="auto" w:fill="FFFFFF"/>
        </w:rPr>
        <w:t>5.34</w:t>
      </w:r>
      <w:r w:rsidRPr="00D86E22">
        <w:rPr>
          <w:shd w:val="clear" w:color="auto" w:fill="FFFFFF"/>
        </w:rPr>
        <w:tab/>
      </w:r>
      <w:r w:rsidRPr="00D86E22">
        <w:rPr>
          <w:shd w:val="clear" w:color="auto" w:fill="FFFFFF"/>
        </w:rPr>
        <w:tab/>
        <w:t xml:space="preserve">There appears to be no distinct guideline devoted exclusively to the narrower and more specific issue concerning the </w:t>
      </w:r>
      <w:r w:rsidRPr="00D86E22">
        <w:rPr>
          <w:i/>
          <w:shd w:val="clear" w:color="auto" w:fill="FFFFFF"/>
        </w:rPr>
        <w:t xml:space="preserve">review </w:t>
      </w:r>
      <w:r w:rsidRPr="00D86E22">
        <w:rPr>
          <w:shd w:val="clear" w:color="auto" w:fill="FFFFFF"/>
        </w:rPr>
        <w:t xml:space="preserve">of disposal schedules in the jurisdictions studied. </w:t>
      </w:r>
      <w:r w:rsidRPr="00D86E22">
        <w:rPr>
          <w:rFonts w:hint="eastAsia"/>
          <w:shd w:val="clear" w:color="auto" w:fill="FFFFFF"/>
        </w:rPr>
        <w:t xml:space="preserve"> </w:t>
      </w:r>
      <w:r w:rsidRPr="00C71F5A">
        <w:t>TNA in England has only noted the importance of regularly reviewing disposal schedules.  Little guidance, however, is provided as to the exact criteria a public authority should follow when conducting such review.  There is also a lack of specific guidance in this respect in New Zealand, although some guidelines issued by the ANZ relate to disposal generally.</w:t>
      </w:r>
      <w:r w:rsidRPr="00C71F5A">
        <w:rPr>
          <w:rStyle w:val="FootnoteReference"/>
          <w:rFonts w:cs="Arial"/>
        </w:rPr>
        <w:footnoteReference w:id="289"/>
      </w:r>
      <w:r w:rsidRPr="00C71F5A">
        <w:t xml:space="preserve">  </w:t>
      </w:r>
    </w:p>
    <w:p w:rsidR="00DA7492" w:rsidRPr="00C71F5A" w:rsidRDefault="00DA7492">
      <w:pPr>
        <w:pStyle w:val="ListParagraph"/>
        <w:ind w:hanging="720"/>
        <w:rPr>
          <w:rFonts w:cs="Arial"/>
        </w:rPr>
      </w:pPr>
    </w:p>
    <w:p w:rsidR="00DA7492" w:rsidRPr="00C71F5A" w:rsidRDefault="00DA7492" w:rsidP="00AD7758">
      <w:pPr>
        <w:widowControl/>
      </w:pPr>
      <w:r w:rsidRPr="00C71F5A">
        <w:lastRenderedPageBreak/>
        <w:t>5.35</w:t>
      </w:r>
      <w:r w:rsidRPr="00C71F5A">
        <w:tab/>
      </w:r>
      <w:r w:rsidRPr="00C71F5A">
        <w:tab/>
        <w:t xml:space="preserve">In Australia, disposal schedule is in the form of a document called </w:t>
      </w:r>
      <w:r>
        <w:t>"</w:t>
      </w:r>
      <w:r w:rsidRPr="00C71F5A">
        <w:rPr>
          <w:i/>
        </w:rPr>
        <w:t>records authority</w:t>
      </w:r>
      <w:r>
        <w:t>"</w:t>
      </w:r>
      <w:r w:rsidRPr="00C71F5A">
        <w:rPr>
          <w:rFonts w:hint="eastAsia"/>
        </w:rPr>
        <w:t>.</w:t>
      </w:r>
      <w:r w:rsidRPr="00C71F5A">
        <w:rPr>
          <w:rStyle w:val="FootnoteReference"/>
          <w:rFonts w:cs="Arial"/>
        </w:rPr>
        <w:footnoteReference w:id="290"/>
      </w:r>
      <w:r w:rsidRPr="00C71F5A">
        <w:rPr>
          <w:i/>
        </w:rPr>
        <w:t xml:space="preserve"> </w:t>
      </w:r>
      <w:r w:rsidRPr="00C71F5A">
        <w:rPr>
          <w:rFonts w:hint="eastAsia"/>
          <w:i/>
        </w:rPr>
        <w:t xml:space="preserve"> </w:t>
      </w:r>
      <w:r w:rsidRPr="00C71F5A">
        <w:t>The NAA advises that government agency</w:t>
      </w:r>
      <w:r>
        <w:t>'</w:t>
      </w:r>
      <w:r w:rsidRPr="00C71F5A">
        <w:t xml:space="preserve">s records authorities should be reviewed </w:t>
      </w:r>
      <w:r>
        <w:t>"</w:t>
      </w:r>
      <w:r w:rsidRPr="00C71F5A">
        <w:rPr>
          <w:i/>
        </w:rPr>
        <w:t>periodically</w:t>
      </w:r>
      <w:r>
        <w:t>"</w:t>
      </w:r>
      <w:r w:rsidRPr="00C71F5A">
        <w:t xml:space="preserve"> to ensure that they remain current for the agency</w:t>
      </w:r>
      <w:r>
        <w:t>'</w:t>
      </w:r>
      <w:r w:rsidRPr="00C71F5A">
        <w:t>s business.</w:t>
      </w:r>
    </w:p>
    <w:p w:rsidR="00DA7492" w:rsidRPr="00C71F5A" w:rsidRDefault="00DA7492">
      <w:pPr>
        <w:pStyle w:val="ListParagraph"/>
        <w:rPr>
          <w:rFonts w:cs="Arial"/>
        </w:rPr>
      </w:pPr>
    </w:p>
    <w:p w:rsidR="00DA7492" w:rsidRPr="00C71F5A" w:rsidRDefault="00DA7492">
      <w:r w:rsidRPr="00C71F5A">
        <w:t>5.36</w:t>
      </w:r>
      <w:r w:rsidRPr="00C71F5A">
        <w:tab/>
      </w:r>
      <w:r w:rsidRPr="00C71F5A">
        <w:tab/>
        <w:t xml:space="preserve">Guidelines on review of disposal schedules are not available in the websites of the NAI (Ireland) and the NAS (Singapore).   </w:t>
      </w:r>
    </w:p>
    <w:p w:rsidR="00DA7492" w:rsidRPr="00C71F5A" w:rsidRDefault="00DA7492">
      <w:pPr>
        <w:pStyle w:val="ListParagraph"/>
        <w:ind w:left="0"/>
        <w:rPr>
          <w:rFonts w:cs="Arial"/>
        </w:rPr>
      </w:pPr>
    </w:p>
    <w:p w:rsidR="00DA7492" w:rsidRPr="00C71F5A" w:rsidRDefault="00DA7492">
      <w:pPr>
        <w:rPr>
          <w:rFonts w:cs="Arial"/>
          <w:b/>
          <w:shd w:val="clear" w:color="auto" w:fill="FFFF99"/>
        </w:rPr>
      </w:pPr>
    </w:p>
    <w:p w:rsidR="00DA7492" w:rsidRPr="00D86E22" w:rsidRDefault="00DA7492">
      <w:pPr>
        <w:pStyle w:val="Heading2"/>
        <w:rPr>
          <w:shd w:val="clear" w:color="auto" w:fill="FFFFFF"/>
        </w:rPr>
      </w:pPr>
      <w:r w:rsidRPr="00D86E22">
        <w:rPr>
          <w:shd w:val="clear" w:color="auto" w:fill="FFFFFF"/>
        </w:rPr>
        <w:t xml:space="preserve">Issues for </w:t>
      </w:r>
      <w:r w:rsidRPr="00D86E22">
        <w:rPr>
          <w:rFonts w:hint="eastAsia"/>
          <w:shd w:val="clear" w:color="auto" w:fill="FFFFFF"/>
        </w:rPr>
        <w:t>p</w:t>
      </w:r>
      <w:r w:rsidRPr="00D86E22">
        <w:rPr>
          <w:shd w:val="clear" w:color="auto" w:fill="FFFFFF"/>
        </w:rPr>
        <w:t xml:space="preserve">ublic </w:t>
      </w:r>
      <w:r w:rsidRPr="00D86E22">
        <w:rPr>
          <w:rFonts w:hint="eastAsia"/>
          <w:shd w:val="clear" w:color="auto" w:fill="FFFFFF"/>
        </w:rPr>
        <w:t>c</w:t>
      </w:r>
      <w:r w:rsidRPr="00D86E22">
        <w:rPr>
          <w:shd w:val="clear" w:color="auto" w:fill="FFFFFF"/>
        </w:rPr>
        <w:t>onsultation</w:t>
      </w:r>
    </w:p>
    <w:p w:rsidR="00DA7492" w:rsidRPr="00D86E22" w:rsidRDefault="00DA7492">
      <w:pPr>
        <w:rPr>
          <w:rFonts w:cs="Arial"/>
          <w:b/>
          <w:shd w:val="clear" w:color="auto" w:fill="FFFFFF"/>
        </w:rPr>
      </w:pPr>
    </w:p>
    <w:p w:rsidR="00DA7492" w:rsidRPr="00D86E22" w:rsidRDefault="00DA7492">
      <w:pPr>
        <w:rPr>
          <w:shd w:val="clear" w:color="auto" w:fill="FFFFFF"/>
        </w:rPr>
      </w:pPr>
      <w:r w:rsidRPr="00D86E22">
        <w:rPr>
          <w:shd w:val="clear" w:color="auto" w:fill="FFFFFF"/>
        </w:rPr>
        <w:t>5.37</w:t>
      </w:r>
      <w:r w:rsidRPr="00D86E22">
        <w:rPr>
          <w:shd w:val="clear" w:color="auto" w:fill="FFFFFF"/>
        </w:rPr>
        <w:tab/>
      </w:r>
      <w:r w:rsidRPr="00D86E22">
        <w:rPr>
          <w:shd w:val="clear" w:color="auto" w:fill="FFFFFF"/>
        </w:rPr>
        <w:tab/>
        <w:t xml:space="preserve">The above review shows that it is neither a legal obligation, nor a common practice in the jurisdictions studied, for the archival authority to specify and publish the detailed criteria to be applied by government agencies in reviewing their disposal schedules.    </w:t>
      </w:r>
    </w:p>
    <w:p w:rsidR="00DA7492" w:rsidRPr="00D86E22" w:rsidRDefault="00DA7492">
      <w:pPr>
        <w:pStyle w:val="ListParagraph"/>
        <w:rPr>
          <w:rFonts w:cs="Arial"/>
          <w:shd w:val="clear" w:color="auto" w:fill="FFFFFF"/>
        </w:rPr>
      </w:pPr>
    </w:p>
    <w:p w:rsidR="00DA7492" w:rsidRPr="00D86E22" w:rsidRDefault="00DA7492">
      <w:pPr>
        <w:rPr>
          <w:shd w:val="clear" w:color="auto" w:fill="FFFFFF"/>
        </w:rPr>
      </w:pPr>
      <w:r w:rsidRPr="00D86E22">
        <w:rPr>
          <w:shd w:val="clear" w:color="auto" w:fill="FFFFFF"/>
        </w:rPr>
        <w:t>5.38</w:t>
      </w:r>
      <w:r w:rsidRPr="00D86E22">
        <w:rPr>
          <w:shd w:val="clear" w:color="auto" w:fill="FFFFFF"/>
        </w:rPr>
        <w:tab/>
      </w:r>
      <w:r w:rsidRPr="00D86E22">
        <w:rPr>
          <w:shd w:val="clear" w:color="auto" w:fill="FFFFFF"/>
        </w:rPr>
        <w:tab/>
        <w:t xml:space="preserve">As discussed under the heading "(b) Government's Stance or Response" above, the GRS has, in recent years, taken various measures to address the comments made on its guidelines on review of disposal schedules.  By comparison, the new guideline issued by the GRS is much more detailed in terms of the criteria adopted in a review than those in other jurisdictions.    </w:t>
      </w:r>
    </w:p>
    <w:p w:rsidR="00DA7492" w:rsidRPr="00C71F5A" w:rsidRDefault="00DA7492">
      <w:pPr>
        <w:pStyle w:val="ListParagraph"/>
        <w:ind w:left="0"/>
        <w:rPr>
          <w:rFonts w:cs="Arial"/>
          <w:shd w:val="clear" w:color="auto" w:fill="FFFF99"/>
        </w:rPr>
      </w:pPr>
    </w:p>
    <w:p w:rsidR="00DA7492" w:rsidRPr="00D86E22" w:rsidRDefault="00DA7492">
      <w:pPr>
        <w:rPr>
          <w:shd w:val="clear" w:color="auto" w:fill="FFFFFF"/>
        </w:rPr>
      </w:pPr>
      <w:r w:rsidRPr="00D86E22">
        <w:rPr>
          <w:shd w:val="clear" w:color="auto" w:fill="FFFFFF"/>
        </w:rPr>
        <w:t>5.39</w:t>
      </w:r>
      <w:r w:rsidRPr="00D86E22">
        <w:rPr>
          <w:shd w:val="clear" w:color="auto" w:fill="FFFFFF"/>
        </w:rPr>
        <w:tab/>
      </w:r>
      <w:r w:rsidRPr="00D86E22">
        <w:rPr>
          <w:shd w:val="clear" w:color="auto" w:fill="FFFFFF"/>
        </w:rPr>
        <w:tab/>
        <w:t xml:space="preserve">Regular review of disposal schedules is important for ensuring that the schedules are always up-to-date in meeting the operational, administrative, legal and regulatory, records management and financial requirements.  We would like to gauge the views of the community on this matter before considering the appropriate recommendation(s) (if any) to be made.  </w:t>
      </w:r>
    </w:p>
    <w:p w:rsidR="00DA7492" w:rsidRPr="00D86E22" w:rsidRDefault="00DA7492">
      <w:pPr>
        <w:rPr>
          <w:rFonts w:cs="Arial"/>
          <w:shd w:val="clear" w:color="auto" w:fill="FFFFFF"/>
        </w:rPr>
      </w:pPr>
    </w:p>
    <w:p w:rsidR="00DA7492" w:rsidRPr="00D86E22" w:rsidRDefault="00DA7492">
      <w:pPr>
        <w:rPr>
          <w:rFonts w:cs="Arial"/>
          <w:shd w:val="clear" w:color="auto" w:fill="FFFFFF"/>
        </w:rPr>
      </w:pPr>
    </w:p>
    <w:p w:rsidR="00DA7492" w:rsidRPr="00C71F5A" w:rsidRDefault="00DA7492">
      <w:pPr>
        <w:pBdr>
          <w:top w:val="single" w:sz="4" w:space="8" w:color="auto"/>
          <w:left w:val="single" w:sz="4" w:space="8" w:color="auto"/>
          <w:bottom w:val="single" w:sz="4" w:space="8" w:color="auto"/>
          <w:right w:val="single" w:sz="4" w:space="8" w:color="auto"/>
        </w:pBdr>
        <w:ind w:left="1440" w:right="720" w:hanging="720"/>
        <w:rPr>
          <w:rFonts w:cs="Arial"/>
          <w:b/>
          <w:lang w:val="en-US"/>
        </w:rPr>
      </w:pPr>
      <w:r w:rsidRPr="00C71F5A">
        <w:rPr>
          <w:rFonts w:cs="Arial"/>
          <w:b/>
          <w:lang w:val="en-US"/>
        </w:rPr>
        <w:t>Consultation Questions 4</w:t>
      </w:r>
    </w:p>
    <w:p w:rsidR="00DA7492" w:rsidRPr="00C71F5A" w:rsidRDefault="00DA7492">
      <w:pPr>
        <w:pBdr>
          <w:top w:val="single" w:sz="4" w:space="8" w:color="auto"/>
          <w:left w:val="single" w:sz="4" w:space="8" w:color="auto"/>
          <w:bottom w:val="single" w:sz="4" w:space="8" w:color="auto"/>
          <w:right w:val="single" w:sz="4" w:space="8" w:color="auto"/>
        </w:pBdr>
        <w:ind w:left="1440" w:right="720" w:hanging="720"/>
        <w:rPr>
          <w:rFonts w:cs="Arial"/>
          <w:b/>
          <w:lang w:val="en-US"/>
        </w:rPr>
      </w:pPr>
    </w:p>
    <w:p w:rsidR="00DA7492" w:rsidRPr="00C71F5A" w:rsidRDefault="00DA7492" w:rsidP="00D86E22">
      <w:pPr>
        <w:pStyle w:val="ListParagraph"/>
        <w:widowControl/>
        <w:numPr>
          <w:ilvl w:val="0"/>
          <w:numId w:val="39"/>
        </w:numPr>
        <w:pBdr>
          <w:top w:val="single" w:sz="4" w:space="8" w:color="auto"/>
          <w:left w:val="single" w:sz="4" w:space="8" w:color="auto"/>
          <w:bottom w:val="single" w:sz="4" w:space="8" w:color="auto"/>
          <w:right w:val="single" w:sz="4" w:space="8" w:color="auto"/>
        </w:pBdr>
        <w:ind w:left="1440" w:right="720" w:hanging="720"/>
        <w:contextualSpacing w:val="0"/>
        <w:rPr>
          <w:rFonts w:cs="Arial"/>
          <w:b/>
          <w:lang w:val="en-US"/>
        </w:rPr>
      </w:pPr>
      <w:r w:rsidRPr="00C71F5A">
        <w:rPr>
          <w:rFonts w:cs="Arial"/>
          <w:b/>
        </w:rPr>
        <w:t>Is the GRS</w:t>
      </w:r>
      <w:r>
        <w:rPr>
          <w:rFonts w:cs="Arial"/>
          <w:b/>
        </w:rPr>
        <w:t>'</w:t>
      </w:r>
      <w:r w:rsidRPr="00C71F5A">
        <w:rPr>
          <w:rFonts w:cs="Arial"/>
          <w:b/>
        </w:rPr>
        <w:t xml:space="preserve"> current guidance to B/Ds on review of records disposal schedules sufficient?</w:t>
      </w:r>
    </w:p>
    <w:p w:rsidR="00DA7492" w:rsidRPr="00C71F5A" w:rsidRDefault="00DA7492" w:rsidP="00DA7492">
      <w:pPr>
        <w:pBdr>
          <w:top w:val="single" w:sz="4" w:space="8" w:color="auto"/>
          <w:left w:val="single" w:sz="4" w:space="8" w:color="auto"/>
          <w:bottom w:val="single" w:sz="4" w:space="8" w:color="auto"/>
          <w:right w:val="single" w:sz="4" w:space="8" w:color="auto"/>
        </w:pBdr>
        <w:ind w:left="720" w:right="720"/>
        <w:rPr>
          <w:rFonts w:cs="Arial"/>
          <w:b/>
          <w:lang w:val="en-US"/>
        </w:rPr>
      </w:pPr>
    </w:p>
    <w:p w:rsidR="00DA7492" w:rsidRPr="00C71F5A" w:rsidRDefault="00DA7492" w:rsidP="00D86E22">
      <w:pPr>
        <w:pStyle w:val="ListParagraph"/>
        <w:widowControl/>
        <w:numPr>
          <w:ilvl w:val="0"/>
          <w:numId w:val="39"/>
        </w:numPr>
        <w:pBdr>
          <w:top w:val="single" w:sz="4" w:space="8" w:color="auto"/>
          <w:left w:val="single" w:sz="4" w:space="8" w:color="auto"/>
          <w:bottom w:val="single" w:sz="4" w:space="8" w:color="auto"/>
          <w:right w:val="single" w:sz="4" w:space="8" w:color="auto"/>
        </w:pBdr>
        <w:ind w:left="1440" w:right="720" w:hanging="720"/>
        <w:contextualSpacing w:val="0"/>
        <w:rPr>
          <w:rFonts w:cs="Arial"/>
          <w:b/>
          <w:lang w:val="en-US"/>
        </w:rPr>
      </w:pPr>
      <w:r w:rsidRPr="00C71F5A">
        <w:rPr>
          <w:rFonts w:cs="Arial"/>
          <w:b/>
        </w:rPr>
        <w:t>If the answer to (i) is in the negative, what other assistance should be provided to enable B/Ds to properly review their records disposal schedules and what are the reasons for your suggestions?</w:t>
      </w:r>
    </w:p>
    <w:p w:rsidR="00DA7492" w:rsidRPr="00C71F5A" w:rsidRDefault="00DA7492">
      <w:pPr>
        <w:rPr>
          <w:rFonts w:cs="Arial"/>
          <w:shd w:val="clear" w:color="auto" w:fill="FFFF99"/>
        </w:rPr>
      </w:pPr>
    </w:p>
    <w:p w:rsidR="00DA7492" w:rsidRPr="00C71F5A" w:rsidRDefault="00DA7492">
      <w:pPr>
        <w:ind w:left="720" w:hanging="720"/>
        <w:rPr>
          <w:rFonts w:cs="Arial"/>
          <w:b/>
          <w:sz w:val="28"/>
          <w:szCs w:val="28"/>
          <w:u w:val="single"/>
        </w:rPr>
      </w:pPr>
    </w:p>
    <w:p w:rsidR="00DA7492" w:rsidRPr="00C71F5A" w:rsidRDefault="00DA7492" w:rsidP="00AD7758">
      <w:pPr>
        <w:pStyle w:val="Heading2"/>
        <w:tabs>
          <w:tab w:val="left" w:pos="720"/>
        </w:tabs>
      </w:pPr>
      <w:r w:rsidRPr="00C71F5A">
        <w:lastRenderedPageBreak/>
        <w:t xml:space="preserve">(IV) </w:t>
      </w:r>
      <w:r w:rsidRPr="00C71F5A">
        <w:rPr>
          <w:rFonts w:hint="eastAsia"/>
        </w:rPr>
        <w:tab/>
      </w:r>
      <w:r w:rsidRPr="00C71F5A">
        <w:t xml:space="preserve">Transfer of </w:t>
      </w:r>
      <w:r w:rsidRPr="00C71F5A">
        <w:rPr>
          <w:rFonts w:hint="eastAsia"/>
        </w:rPr>
        <w:t>r</w:t>
      </w:r>
      <w:r w:rsidRPr="00C71F5A">
        <w:t>ecords to GRS</w:t>
      </w:r>
    </w:p>
    <w:p w:rsidR="00DA7492" w:rsidRPr="00C71F5A" w:rsidRDefault="00DA7492">
      <w:pPr>
        <w:keepNext/>
        <w:ind w:left="720" w:hanging="720"/>
        <w:rPr>
          <w:rFonts w:cs="Arial"/>
          <w:b/>
          <w:sz w:val="28"/>
          <w:szCs w:val="28"/>
          <w:u w:val="single"/>
        </w:rPr>
      </w:pPr>
    </w:p>
    <w:p w:rsidR="00DA7492" w:rsidRPr="00C71F5A" w:rsidRDefault="00DA7492" w:rsidP="00AD7758">
      <w:pPr>
        <w:pStyle w:val="Heading3"/>
        <w:tabs>
          <w:tab w:val="left" w:pos="720"/>
        </w:tabs>
      </w:pPr>
      <w:r w:rsidRPr="00C71F5A">
        <w:rPr>
          <w:rFonts w:hint="eastAsia"/>
        </w:rPr>
        <w:t>(a)</w:t>
      </w:r>
      <w:r w:rsidRPr="00C71F5A">
        <w:tab/>
        <w:t>Comments</w:t>
      </w:r>
    </w:p>
    <w:p w:rsidR="00DA7492" w:rsidRPr="00C71F5A" w:rsidRDefault="00DA7492">
      <w:pPr>
        <w:pStyle w:val="ListParagraph"/>
        <w:ind w:hanging="720"/>
        <w:rPr>
          <w:rFonts w:cs="Arial"/>
          <w:b/>
          <w:sz w:val="28"/>
          <w:szCs w:val="28"/>
          <w:u w:val="single"/>
        </w:rPr>
      </w:pPr>
    </w:p>
    <w:p w:rsidR="00DA7492" w:rsidRPr="00C71F5A" w:rsidRDefault="00DA7492">
      <w:r w:rsidRPr="00C71F5A">
        <w:t>5.40</w:t>
      </w:r>
      <w:r w:rsidRPr="00C71F5A">
        <w:tab/>
      </w:r>
      <w:r w:rsidRPr="00C71F5A">
        <w:tab/>
        <w:t xml:space="preserve">Records disposal action generally includes destruction of records, transfer of records to the Public Records Office of the GRS for appraisal of archival value, or transfer of records to the Public Records Office for permanent retention.  </w:t>
      </w:r>
    </w:p>
    <w:p w:rsidR="00DA7492" w:rsidRPr="00C71F5A" w:rsidRDefault="00DA7492">
      <w:pPr>
        <w:pStyle w:val="ListParagraph"/>
        <w:rPr>
          <w:rFonts w:cs="Arial"/>
        </w:rPr>
      </w:pPr>
    </w:p>
    <w:p w:rsidR="00DA7492" w:rsidRPr="00C71F5A" w:rsidRDefault="00DA7492" w:rsidP="00DA7492">
      <w:pPr>
        <w:rPr>
          <w:i/>
          <w:color w:val="FF0000"/>
          <w:lang w:eastAsia="zh-HK"/>
        </w:rPr>
      </w:pPr>
      <w:r w:rsidRPr="00C71F5A">
        <w:rPr>
          <w:lang w:eastAsia="zh-HK"/>
        </w:rPr>
        <w:t>5.41</w:t>
      </w:r>
      <w:r w:rsidRPr="00C71F5A">
        <w:rPr>
          <w:lang w:eastAsia="zh-HK"/>
        </w:rPr>
        <w:tab/>
      </w:r>
      <w:r w:rsidRPr="00C71F5A">
        <w:rPr>
          <w:lang w:eastAsia="zh-HK"/>
        </w:rPr>
        <w:tab/>
        <w:t xml:space="preserve">The timeframe for records to be transferred to the Public Records Office for appraisal is based on the relevant disposal schedule and </w:t>
      </w:r>
      <w:r w:rsidRPr="00C71F5A">
        <w:rPr>
          <w:rFonts w:hint="eastAsia"/>
          <w:lang w:eastAsia="zh-HK"/>
        </w:rPr>
        <w:t xml:space="preserve">complemented by </w:t>
      </w:r>
      <w:r w:rsidRPr="00C71F5A">
        <w:rPr>
          <w:lang w:eastAsia="zh-HK"/>
        </w:rPr>
        <w:t xml:space="preserve">paragraph 637 of the RMM which requires that </w:t>
      </w:r>
      <w:r w:rsidRPr="00C71F5A">
        <w:t xml:space="preserve">all government records reaching 30 years should be appraised by the Public Records Office.  </w:t>
      </w:r>
    </w:p>
    <w:p w:rsidR="00DA7492" w:rsidRPr="00C71F5A" w:rsidRDefault="00DA7492">
      <w:pPr>
        <w:pStyle w:val="ListParagraph"/>
        <w:rPr>
          <w:rFonts w:cs="Arial"/>
        </w:rPr>
      </w:pPr>
    </w:p>
    <w:p w:rsidR="00DA7492" w:rsidRPr="00C71F5A" w:rsidRDefault="00DA7492">
      <w:r w:rsidRPr="00C71F5A">
        <w:t>5.42</w:t>
      </w:r>
      <w:r w:rsidRPr="00C71F5A">
        <w:tab/>
      </w:r>
      <w:r w:rsidRPr="00C71F5A">
        <w:tab/>
        <w:t>The GRS is criticised for lack of effective control or means to ensure that records are transferred for disposal or appraisal in an orderly and timely manner.  Some B/Ds have deferred transfer of records to the GRS for appraisal and preservation without justifications.</w:t>
      </w:r>
      <w:r w:rsidRPr="00C71F5A">
        <w:rPr>
          <w:rStyle w:val="FootnoteReference"/>
          <w:rFonts w:cs="Arial"/>
        </w:rPr>
        <w:footnoteReference w:id="291"/>
      </w:r>
      <w:r w:rsidRPr="00C71F5A">
        <w:t xml:space="preserve"> </w:t>
      </w:r>
      <w:r w:rsidRPr="00C71F5A">
        <w:rPr>
          <w:rFonts w:hint="eastAsia"/>
        </w:rPr>
        <w:t xml:space="preserve"> </w:t>
      </w:r>
      <w:r w:rsidRPr="00C71F5A">
        <w:t>The Ombudsman observed that:-</w:t>
      </w:r>
    </w:p>
    <w:p w:rsidR="00DA7492" w:rsidRPr="00C71F5A" w:rsidRDefault="00DA7492">
      <w:pPr>
        <w:autoSpaceDE w:val="0"/>
        <w:autoSpaceDN w:val="0"/>
        <w:ind w:leftChars="295" w:left="708"/>
        <w:rPr>
          <w:rFonts w:cs="Arial"/>
          <w:i/>
          <w:iCs/>
        </w:rPr>
      </w:pPr>
    </w:p>
    <w:p w:rsidR="00DA7492" w:rsidRPr="00C71F5A" w:rsidRDefault="00DA7492">
      <w:pPr>
        <w:pStyle w:val="BlockText"/>
        <w:rPr>
          <w:spacing w:val="-20"/>
        </w:rPr>
      </w:pPr>
      <w:r w:rsidRPr="002128A3">
        <w:rPr>
          <w:i w:val="0"/>
        </w:rPr>
        <w:t>"</w:t>
      </w:r>
      <w:r w:rsidRPr="00C71F5A">
        <w:t>…</w:t>
      </w:r>
      <w:r w:rsidRPr="00C71F5A">
        <w:rPr>
          <w:rFonts w:hint="eastAsia"/>
        </w:rPr>
        <w:t xml:space="preserve"> </w:t>
      </w:r>
      <w:r w:rsidRPr="00C71F5A">
        <w:t>GRS</w:t>
      </w:r>
      <w:r>
        <w:t>'</w:t>
      </w:r>
      <w:r w:rsidRPr="00C71F5A">
        <w:t xml:space="preserve"> role in ensuring B/Ds</w:t>
      </w:r>
      <w:r>
        <w:t>'</w:t>
      </w:r>
      <w:r w:rsidRPr="00C71F5A">
        <w:t xml:space="preserve"> timely transfer of records is passive. </w:t>
      </w:r>
      <w:r w:rsidRPr="00C71F5A">
        <w:rPr>
          <w:rFonts w:hint="eastAsia"/>
        </w:rPr>
        <w:t xml:space="preserve"> </w:t>
      </w:r>
      <w:r w:rsidRPr="00C71F5A">
        <w:t xml:space="preserve">B/Ds are at liberty to transfer records to GRS or request deferral of transfer of the records, with no need to provide justifications for such requests. </w:t>
      </w:r>
      <w:r w:rsidRPr="00C71F5A">
        <w:rPr>
          <w:rFonts w:hint="eastAsia"/>
        </w:rPr>
        <w:t xml:space="preserve"> </w:t>
      </w:r>
      <w:r w:rsidRPr="00C71F5A">
        <w:t>Despite GRS</w:t>
      </w:r>
      <w:r>
        <w:t>'</w:t>
      </w:r>
      <w:r w:rsidRPr="00C71F5A">
        <w:t xml:space="preserve"> promulgation of various guidelines, there remain 16 B/Ds that have either not transferred any records to GRS or have not adhered to the schedules of transfer. </w:t>
      </w:r>
      <w:r w:rsidRPr="00C71F5A">
        <w:rPr>
          <w:rFonts w:hint="eastAsia"/>
        </w:rPr>
        <w:t xml:space="preserve"> </w:t>
      </w:r>
      <w:r w:rsidRPr="00C71F5A">
        <w:t xml:space="preserve">Retention of records by B/Ds for unduly long periods of time without genuine business need is not conducive to the preservation of archival value records and eventual public access to such records. </w:t>
      </w:r>
      <w:r w:rsidRPr="00C71F5A">
        <w:rPr>
          <w:rFonts w:hint="eastAsia"/>
        </w:rPr>
        <w:t xml:space="preserve"> </w:t>
      </w:r>
      <w:r w:rsidRPr="00C71F5A">
        <w:t>Sporadic, unpredictable and uncontrolled transfer of records to GRS has also caused serious backlogs of records pending GRS</w:t>
      </w:r>
      <w:r>
        <w:t>'</w:t>
      </w:r>
      <w:r w:rsidRPr="00C71F5A">
        <w:t xml:space="preserve"> appraisal.</w:t>
      </w:r>
      <w:r w:rsidRPr="00833DA4">
        <w:rPr>
          <w:i w:val="0"/>
        </w:rPr>
        <w:t>"</w:t>
      </w:r>
      <w:r w:rsidRPr="00C71F5A">
        <w:rPr>
          <w:rFonts w:hint="eastAsia"/>
          <w:spacing w:val="-20"/>
        </w:rPr>
        <w:t xml:space="preserve"> </w:t>
      </w:r>
      <w:r w:rsidRPr="00C71F5A">
        <w:rPr>
          <w:rStyle w:val="FootnoteReference"/>
          <w:rFonts w:cs="Arial"/>
          <w:i w:val="0"/>
          <w:iCs/>
        </w:rPr>
        <w:footnoteReference w:id="292"/>
      </w:r>
    </w:p>
    <w:p w:rsidR="00DA7492" w:rsidRPr="00C71F5A" w:rsidRDefault="00DA7492">
      <w:pPr>
        <w:pStyle w:val="ListParagraph"/>
        <w:ind w:left="0"/>
        <w:rPr>
          <w:rFonts w:cs="Arial"/>
        </w:rPr>
      </w:pPr>
    </w:p>
    <w:p w:rsidR="00DA7492" w:rsidRPr="00C71F5A" w:rsidRDefault="00DA7492">
      <w:pPr>
        <w:rPr>
          <w:shd w:val="clear" w:color="auto" w:fill="FFFF99"/>
        </w:rPr>
      </w:pPr>
      <w:r w:rsidRPr="00C71F5A">
        <w:t>5.43</w:t>
      </w:r>
      <w:r w:rsidRPr="00C71F5A">
        <w:tab/>
      </w:r>
      <w:r w:rsidRPr="00C71F5A">
        <w:tab/>
        <w:t>The Ombudsman suggested that the Government should, pending legislation, review its arrangement for deferral of transfer of records to the GRS to ensure that approvals for deferral are well justified.</w:t>
      </w:r>
      <w:r w:rsidRPr="00D86E22">
        <w:rPr>
          <w:rStyle w:val="FootnoteReference"/>
          <w:rFonts w:cs="Arial"/>
          <w:shd w:val="clear" w:color="auto" w:fill="FFFFFF"/>
        </w:rPr>
        <w:footnoteReference w:id="293"/>
      </w:r>
      <w:r w:rsidRPr="00D86E22">
        <w:rPr>
          <w:shd w:val="clear" w:color="auto" w:fill="FFFFFF"/>
        </w:rPr>
        <w:t xml:space="preserve"> </w:t>
      </w:r>
    </w:p>
    <w:p w:rsidR="00DA7492" w:rsidRPr="00C71F5A" w:rsidRDefault="00DA7492">
      <w:pPr>
        <w:pStyle w:val="ListParagraph"/>
        <w:rPr>
          <w:rFonts w:cs="Arial"/>
          <w:shd w:val="clear" w:color="auto" w:fill="FFFF99"/>
        </w:rPr>
      </w:pPr>
    </w:p>
    <w:p w:rsidR="00DA7492" w:rsidRPr="00D86E22" w:rsidRDefault="00DA7492" w:rsidP="00AD7758">
      <w:pPr>
        <w:widowControl/>
        <w:rPr>
          <w:shd w:val="clear" w:color="auto" w:fill="FFFFFF"/>
        </w:rPr>
      </w:pPr>
      <w:r w:rsidRPr="00D86E22">
        <w:rPr>
          <w:shd w:val="clear" w:color="auto" w:fill="FFFFFF"/>
        </w:rPr>
        <w:lastRenderedPageBreak/>
        <w:t>5.44</w:t>
      </w:r>
      <w:r w:rsidRPr="00D86E22">
        <w:rPr>
          <w:shd w:val="clear" w:color="auto" w:fill="FFFFFF"/>
        </w:rPr>
        <w:tab/>
      </w:r>
      <w:r w:rsidRPr="00D86E22">
        <w:rPr>
          <w:shd w:val="clear" w:color="auto" w:fill="FFFFFF"/>
        </w:rPr>
        <w:tab/>
        <w:t>It is also suggested that Government Archivist should be empowered in the advocated archives law to direct and/or arrange transfer of records appraised as public archives to the Public Records Office as early as practicable, and no later than 20 years from the record creation date.</w:t>
      </w:r>
      <w:r w:rsidRPr="00D86E22">
        <w:rPr>
          <w:rStyle w:val="FootnoteReference"/>
          <w:rFonts w:cs="Arial"/>
          <w:shd w:val="clear" w:color="auto" w:fill="FFFFFF"/>
        </w:rPr>
        <w:footnoteReference w:id="294"/>
      </w:r>
      <w:r w:rsidRPr="00D86E22">
        <w:rPr>
          <w:shd w:val="clear" w:color="auto" w:fill="FFFFFF"/>
        </w:rPr>
        <w:t xml:space="preserve">   </w:t>
      </w:r>
    </w:p>
    <w:p w:rsidR="00DA7492" w:rsidRPr="00C71F5A" w:rsidRDefault="00DA7492">
      <w:pPr>
        <w:pStyle w:val="ListParagraph"/>
        <w:rPr>
          <w:rFonts w:cs="Arial"/>
        </w:rPr>
      </w:pPr>
    </w:p>
    <w:p w:rsidR="00DA7492" w:rsidRPr="00C71F5A" w:rsidRDefault="00DA7492">
      <w:r w:rsidRPr="00C71F5A">
        <w:t>5.45</w:t>
      </w:r>
      <w:r w:rsidRPr="00C71F5A">
        <w:tab/>
      </w:r>
      <w:r w:rsidRPr="00C71F5A">
        <w:tab/>
        <w:t>The Ombudsman suggested that the Government should review the GRS</w:t>
      </w:r>
      <w:r>
        <w:t>'</w:t>
      </w:r>
      <w:r w:rsidRPr="00C71F5A">
        <w:t xml:space="preserve"> system of closure of records (including the closure period) and the criteria for approving or refusing access to records (including whether the security grading of records should be a relevant factor).</w:t>
      </w:r>
      <w:r w:rsidRPr="00C71F5A">
        <w:rPr>
          <w:rStyle w:val="FootnoteReference"/>
          <w:rFonts w:cs="Arial"/>
        </w:rPr>
        <w:footnoteReference w:id="295"/>
      </w:r>
      <w:r w:rsidRPr="00C71F5A">
        <w:t xml:space="preserve"> </w:t>
      </w:r>
    </w:p>
    <w:p w:rsidR="00DA7492" w:rsidRPr="00C71F5A" w:rsidRDefault="00DA7492">
      <w:pPr>
        <w:rPr>
          <w:rFonts w:cs="Arial"/>
        </w:rPr>
      </w:pPr>
    </w:p>
    <w:p w:rsidR="00DA7492" w:rsidRPr="00C71F5A" w:rsidRDefault="00DA7492">
      <w:pPr>
        <w:rPr>
          <w:shd w:val="clear" w:color="auto" w:fill="FFFF99"/>
        </w:rPr>
      </w:pPr>
      <w:r w:rsidRPr="00C71F5A">
        <w:t>5.46</w:t>
      </w:r>
      <w:r w:rsidRPr="00C71F5A">
        <w:tab/>
      </w:r>
      <w:r w:rsidRPr="00C71F5A">
        <w:tab/>
        <w:t>In light of the above, we will review the</w:t>
      </w:r>
      <w:r w:rsidRPr="00C71F5A">
        <w:rPr>
          <w:i/>
        </w:rPr>
        <w:t xml:space="preserve"> mechanisms </w:t>
      </w:r>
      <w:r w:rsidRPr="00C71F5A">
        <w:t xml:space="preserve">of transfer (or deferral of transfer) of records to the GRS, and determination of access status of records in the process. </w:t>
      </w:r>
    </w:p>
    <w:p w:rsidR="00DA7492" w:rsidRPr="00AD7758" w:rsidRDefault="00DA7492">
      <w:pPr>
        <w:rPr>
          <w:rFonts w:cs="Arial"/>
          <w:sz w:val="22"/>
          <w:szCs w:val="22"/>
        </w:rPr>
      </w:pPr>
    </w:p>
    <w:p w:rsidR="00DA7492" w:rsidRPr="00AD7758" w:rsidRDefault="00DA7492" w:rsidP="00AD7758">
      <w:pPr>
        <w:pStyle w:val="ListParagraph"/>
        <w:ind w:left="0"/>
        <w:rPr>
          <w:rFonts w:cs="Arial"/>
          <w:sz w:val="22"/>
          <w:szCs w:val="22"/>
          <w:shd w:val="clear" w:color="auto" w:fill="FFFF99"/>
          <w:lang w:val="en-US"/>
        </w:rPr>
      </w:pPr>
    </w:p>
    <w:p w:rsidR="00DA7492" w:rsidRPr="00C71F5A" w:rsidRDefault="00DA7492" w:rsidP="00AD7758">
      <w:pPr>
        <w:pStyle w:val="Heading3"/>
        <w:tabs>
          <w:tab w:val="left" w:pos="720"/>
        </w:tabs>
      </w:pPr>
      <w:r w:rsidRPr="00C71F5A">
        <w:rPr>
          <w:rFonts w:hint="eastAsia"/>
        </w:rPr>
        <w:t>(b)</w:t>
      </w:r>
      <w:r w:rsidRPr="00C71F5A">
        <w:tab/>
        <w:t>Government</w:t>
      </w:r>
      <w:r>
        <w:t>'</w:t>
      </w:r>
      <w:r w:rsidRPr="00C71F5A">
        <w:t xml:space="preserve">s </w:t>
      </w:r>
      <w:r w:rsidRPr="00C71F5A">
        <w:rPr>
          <w:rFonts w:hint="eastAsia"/>
        </w:rPr>
        <w:t>s</w:t>
      </w:r>
      <w:r w:rsidRPr="00C71F5A">
        <w:t xml:space="preserve">tance or </w:t>
      </w:r>
      <w:r w:rsidRPr="00C71F5A">
        <w:rPr>
          <w:rFonts w:hint="eastAsia"/>
        </w:rPr>
        <w:t>r</w:t>
      </w:r>
      <w:r w:rsidRPr="00C71F5A">
        <w:t>esponse</w:t>
      </w:r>
    </w:p>
    <w:p w:rsidR="00DA7492" w:rsidRPr="00C71F5A" w:rsidRDefault="00DA7492">
      <w:pPr>
        <w:rPr>
          <w:rFonts w:cs="Arial"/>
          <w:b/>
        </w:rPr>
      </w:pPr>
    </w:p>
    <w:p w:rsidR="00DA7492" w:rsidRPr="00C71F5A" w:rsidRDefault="00DA7492" w:rsidP="00AD7758">
      <w:pPr>
        <w:pStyle w:val="ListParagraph"/>
        <w:widowControl/>
        <w:numPr>
          <w:ilvl w:val="0"/>
          <w:numId w:val="36"/>
        </w:numPr>
        <w:tabs>
          <w:tab w:val="clear" w:pos="1418"/>
          <w:tab w:val="left" w:pos="720"/>
        </w:tabs>
        <w:ind w:left="720" w:hanging="720"/>
        <w:contextualSpacing w:val="0"/>
        <w:rPr>
          <w:rFonts w:cs="Arial"/>
          <w:i/>
          <w:sz w:val="20"/>
        </w:rPr>
      </w:pPr>
      <w:r w:rsidRPr="00C71F5A">
        <w:rPr>
          <w:rFonts w:cs="Arial"/>
          <w:i/>
        </w:rPr>
        <w:t xml:space="preserve">Deferral of </w:t>
      </w:r>
      <w:r w:rsidRPr="00C71F5A">
        <w:rPr>
          <w:rFonts w:cs="Arial" w:hint="eastAsia"/>
          <w:i/>
        </w:rPr>
        <w:t>t</w:t>
      </w:r>
      <w:r w:rsidRPr="00C71F5A">
        <w:rPr>
          <w:rFonts w:cs="Arial"/>
          <w:i/>
        </w:rPr>
        <w:t>ransfer of time-expired records</w:t>
      </w:r>
    </w:p>
    <w:p w:rsidR="00DA7492" w:rsidRPr="00C71F5A" w:rsidRDefault="00DA7492">
      <w:pPr>
        <w:pStyle w:val="ListParagraph"/>
        <w:ind w:hanging="720"/>
        <w:rPr>
          <w:rFonts w:cs="Arial"/>
          <w:shd w:val="clear" w:color="auto" w:fill="FFFF00"/>
        </w:rPr>
      </w:pPr>
    </w:p>
    <w:p w:rsidR="00DA7492" w:rsidRPr="00C71F5A" w:rsidRDefault="00DA7492">
      <w:r w:rsidRPr="00C71F5A">
        <w:t>5.47</w:t>
      </w:r>
      <w:r w:rsidRPr="00C71F5A">
        <w:tab/>
      </w:r>
      <w:r w:rsidRPr="00C71F5A">
        <w:tab/>
        <w:t>In response to The Ombudsman</w:t>
      </w:r>
      <w:r>
        <w:t>'</w:t>
      </w:r>
      <w:r w:rsidRPr="00C71F5A">
        <w:t xml:space="preserve">s various comments, the Director of Administration issued a letter dated 21 March 2014 to remind all B/Ds of the importance of </w:t>
      </w:r>
      <w:r w:rsidRPr="00C71F5A">
        <w:rPr>
          <w:rFonts w:hint="eastAsia"/>
          <w:lang w:eastAsia="zh-HK"/>
        </w:rPr>
        <w:t xml:space="preserve">timely </w:t>
      </w:r>
      <w:r w:rsidRPr="00C71F5A">
        <w:t>transfer to the GRS of time-expired records</w:t>
      </w:r>
      <w:r w:rsidRPr="00D86E22">
        <w:rPr>
          <w:rStyle w:val="FootnoteReference"/>
          <w:rFonts w:cs="Arial"/>
          <w:color w:val="000000"/>
        </w:rPr>
        <w:footnoteReference w:id="296"/>
      </w:r>
      <w:r w:rsidRPr="00C71F5A">
        <w:t xml:space="preserve"> having archival value or potential archival value</w:t>
      </w:r>
      <w:r w:rsidRPr="00C71F5A">
        <w:rPr>
          <w:rFonts w:hint="eastAsia"/>
          <w:lang w:eastAsia="zh-HK"/>
        </w:rPr>
        <w:t xml:space="preserve"> and to refrain from seeking deferrals unless absolutely necessary, such as due to on-going legal proceedings</w:t>
      </w:r>
      <w:r w:rsidRPr="00C71F5A">
        <w:t>.  B/Ds have also been advised that deferral</w:t>
      </w:r>
      <w:r>
        <w:t>s</w:t>
      </w:r>
      <w:r w:rsidRPr="00C71F5A">
        <w:t xml:space="preserve"> </w:t>
      </w:r>
      <w:r>
        <w:t xml:space="preserve">for more than two years </w:t>
      </w:r>
      <w:r w:rsidRPr="00C71F5A">
        <w:t xml:space="preserve">should be approved </w:t>
      </w:r>
      <w:r>
        <w:t xml:space="preserve">in writing </w:t>
      </w:r>
      <w:r w:rsidRPr="00C71F5A">
        <w:t xml:space="preserve">by a directorate officer at the level of deputy secretary or deputy head of department, and the GRS should be consulted in advance. </w:t>
      </w:r>
    </w:p>
    <w:p w:rsidR="00DA7492" w:rsidRPr="00D86E22" w:rsidRDefault="00DA7492">
      <w:pPr>
        <w:pStyle w:val="ListParagraph"/>
        <w:ind w:left="0"/>
        <w:rPr>
          <w:rFonts w:cs="Arial"/>
          <w:i/>
          <w:color w:val="000000"/>
          <w:lang w:eastAsia="zh-HK"/>
        </w:rPr>
      </w:pPr>
    </w:p>
    <w:p w:rsidR="00DA7492" w:rsidRPr="00C71F5A" w:rsidRDefault="00DA7492">
      <w:pPr>
        <w:rPr>
          <w:lang w:eastAsia="zh-HK"/>
        </w:rPr>
      </w:pPr>
      <w:r w:rsidRPr="00C71F5A">
        <w:t>5.48</w:t>
      </w:r>
      <w:r w:rsidRPr="00C71F5A">
        <w:tab/>
      </w:r>
      <w:r w:rsidRPr="00C71F5A">
        <w:tab/>
        <w:t>In processing B/Ds</w:t>
      </w:r>
      <w:r>
        <w:t>'</w:t>
      </w:r>
      <w:r w:rsidRPr="00C71F5A">
        <w:t xml:space="preserve"> requests for deferral, the GRS would critically examine the grounds and whether or not there are alternative means for the B/D to have access to the information in the records after transfer.</w:t>
      </w:r>
      <w:r w:rsidRPr="00D86E22">
        <w:rPr>
          <w:rStyle w:val="FootnoteReference"/>
          <w:rFonts w:cs="Arial"/>
          <w:color w:val="000000"/>
        </w:rPr>
        <w:footnoteReference w:id="297"/>
      </w:r>
      <w:r w:rsidRPr="00C71F5A">
        <w:t xml:space="preserve">  </w:t>
      </w:r>
      <w:r w:rsidRPr="00C71F5A">
        <w:rPr>
          <w:rFonts w:eastAsia="MingLiU"/>
        </w:rPr>
        <w:t xml:space="preserve">B/Ds are required to provide well-justified and specific reasons to support the deferral.  Simple reasons, such as </w:t>
      </w:r>
      <w:r>
        <w:rPr>
          <w:rFonts w:eastAsia="MingLiU"/>
        </w:rPr>
        <w:t>"</w:t>
      </w:r>
      <w:r w:rsidRPr="00C71F5A">
        <w:rPr>
          <w:rFonts w:eastAsia="MingLiU"/>
        </w:rPr>
        <w:t>operational need</w:t>
      </w:r>
      <w:r>
        <w:rPr>
          <w:rFonts w:eastAsia="MingLiU"/>
        </w:rPr>
        <w:t>"</w:t>
      </w:r>
      <w:r w:rsidRPr="00C71F5A">
        <w:rPr>
          <w:rFonts w:eastAsia="MingLiU"/>
        </w:rPr>
        <w:t xml:space="preserve"> or </w:t>
      </w:r>
      <w:r>
        <w:rPr>
          <w:rFonts w:eastAsia="MingLiU"/>
        </w:rPr>
        <w:t>"</w:t>
      </w:r>
      <w:r w:rsidRPr="00C71F5A">
        <w:rPr>
          <w:rFonts w:eastAsia="MingLiU"/>
        </w:rPr>
        <w:t>for reference</w:t>
      </w:r>
      <w:r>
        <w:rPr>
          <w:rFonts w:eastAsia="MingLiU"/>
        </w:rPr>
        <w:t>"</w:t>
      </w:r>
      <w:r w:rsidRPr="00C71F5A">
        <w:rPr>
          <w:rFonts w:eastAsia="MingLiU"/>
        </w:rPr>
        <w:t xml:space="preserve">, will </w:t>
      </w:r>
      <w:r w:rsidRPr="00C71F5A">
        <w:rPr>
          <w:rFonts w:eastAsia="MingLiU"/>
        </w:rPr>
        <w:lastRenderedPageBreak/>
        <w:t>not be accepted.  GRS may object to any requested deferral if no good justification is given.</w:t>
      </w:r>
      <w:r w:rsidRPr="00D86E22">
        <w:rPr>
          <w:rStyle w:val="FootnoteReference"/>
          <w:rFonts w:eastAsia="MingLiU" w:cs="Arial"/>
          <w:color w:val="000000"/>
        </w:rPr>
        <w:footnoteReference w:id="298"/>
      </w:r>
      <w:r w:rsidRPr="00C71F5A">
        <w:rPr>
          <w:rFonts w:eastAsia="MingLiU" w:hint="eastAsia"/>
          <w:lang w:eastAsia="zh-HK"/>
        </w:rPr>
        <w:t xml:space="preserve">  </w:t>
      </w:r>
      <w:r w:rsidRPr="00C71F5A">
        <w:rPr>
          <w:rFonts w:eastAsia="MingLiU"/>
          <w:lang w:eastAsia="zh-HK"/>
        </w:rPr>
        <w:t>Examples of approved reasons include the relevant policies being reviewed, final accounts of projects not yet settled and unresolved matters concerning some development projects which might have financial or legal implications.</w:t>
      </w:r>
    </w:p>
    <w:p w:rsidR="00DA7492" w:rsidRPr="00C71F5A" w:rsidRDefault="00DA7492">
      <w:pPr>
        <w:pStyle w:val="ListParagraph"/>
        <w:ind w:left="0"/>
        <w:rPr>
          <w:rFonts w:cs="Arial"/>
          <w:sz w:val="22"/>
        </w:rPr>
      </w:pPr>
    </w:p>
    <w:p w:rsidR="00DA7492" w:rsidRPr="00C71F5A" w:rsidRDefault="00DA7492">
      <w:pPr>
        <w:rPr>
          <w:shd w:val="clear" w:color="auto" w:fill="FFFF66"/>
          <w:lang w:eastAsia="zh-HK"/>
        </w:rPr>
      </w:pPr>
      <w:r w:rsidRPr="00C71F5A">
        <w:rPr>
          <w:lang w:eastAsia="zh-HK"/>
        </w:rPr>
        <w:t>5.49</w:t>
      </w:r>
      <w:r w:rsidRPr="00C71F5A">
        <w:rPr>
          <w:lang w:eastAsia="zh-HK"/>
        </w:rPr>
        <w:tab/>
      </w:r>
      <w:r w:rsidRPr="00C71F5A">
        <w:rPr>
          <w:lang w:eastAsia="zh-HK"/>
        </w:rPr>
        <w:tab/>
        <w:t xml:space="preserve">Information from the GRS shows that since March 2014 up to the end of 2017, 11 out of 102 deferral requests from different B/Ds have been approved as they were found justified. </w:t>
      </w:r>
      <w:r w:rsidRPr="00C71F5A">
        <w:rPr>
          <w:rFonts w:hint="eastAsia"/>
          <w:lang w:eastAsia="zh-HK"/>
        </w:rPr>
        <w:t xml:space="preserve"> </w:t>
      </w:r>
      <w:r w:rsidRPr="00C71F5A">
        <w:rPr>
          <w:lang w:eastAsia="zh-HK"/>
        </w:rPr>
        <w:t xml:space="preserve">The period of deferral was determined on a case by case basis and was normally not more than two years. </w:t>
      </w:r>
      <w:r w:rsidRPr="00D86E22">
        <w:rPr>
          <w:shd w:val="clear" w:color="auto" w:fill="FFFFFF"/>
          <w:lang w:eastAsia="zh-HK"/>
        </w:rPr>
        <w:t xml:space="preserve"> </w:t>
      </w:r>
      <w:r w:rsidRPr="00C71F5A">
        <w:rPr>
          <w:lang w:eastAsia="zh-HK"/>
        </w:rPr>
        <w:t>As of early March 2018, 98 out of the abovementioned 102 requests were completed while the remaining four were being critically assessed by the GRS</w:t>
      </w:r>
      <w:r w:rsidRPr="00C71F5A">
        <w:rPr>
          <w:rFonts w:hint="eastAsia"/>
          <w:lang w:eastAsia="zh-HK"/>
        </w:rPr>
        <w:t xml:space="preserve"> or pending supplementary information from the B/D concerned</w:t>
      </w:r>
      <w:r w:rsidRPr="00C71F5A">
        <w:rPr>
          <w:lang w:eastAsia="zh-HK"/>
        </w:rPr>
        <w:t>.</w:t>
      </w:r>
      <w:r w:rsidRPr="00D86E22">
        <w:rPr>
          <w:rStyle w:val="FootnoteReference"/>
          <w:rFonts w:cs="Arial"/>
          <w:color w:val="000000"/>
          <w:lang w:eastAsia="zh-HK"/>
        </w:rPr>
        <w:footnoteReference w:id="299"/>
      </w:r>
    </w:p>
    <w:p w:rsidR="00DA7492" w:rsidRPr="00C71F5A" w:rsidRDefault="00DA7492">
      <w:pPr>
        <w:pStyle w:val="ListParagraph"/>
        <w:ind w:left="0"/>
        <w:rPr>
          <w:rFonts w:cs="Arial"/>
          <w:shd w:val="clear" w:color="auto" w:fill="FFFF66"/>
          <w:lang w:eastAsia="zh-HK"/>
        </w:rPr>
      </w:pPr>
    </w:p>
    <w:p w:rsidR="00DA7492" w:rsidRPr="00D86E22" w:rsidRDefault="00DA7492" w:rsidP="00AD7758">
      <w:pPr>
        <w:pStyle w:val="ListParagraph"/>
        <w:widowControl/>
        <w:numPr>
          <w:ilvl w:val="0"/>
          <w:numId w:val="35"/>
        </w:numPr>
        <w:tabs>
          <w:tab w:val="clear" w:pos="1418"/>
          <w:tab w:val="left" w:pos="720"/>
        </w:tabs>
        <w:ind w:left="720" w:hanging="720"/>
        <w:contextualSpacing w:val="0"/>
        <w:rPr>
          <w:rFonts w:cs="Arial"/>
          <w:color w:val="000000"/>
          <w:sz w:val="20"/>
          <w:lang w:eastAsia="zh-HK"/>
        </w:rPr>
      </w:pPr>
      <w:r w:rsidRPr="00D86E22">
        <w:rPr>
          <w:rFonts w:cs="Arial"/>
          <w:i/>
          <w:color w:val="000000"/>
          <w:lang w:eastAsia="zh-HK"/>
        </w:rPr>
        <w:t>Determination of access status of archival records before transfer for open inspection</w:t>
      </w:r>
      <w:r w:rsidRPr="00D86E22">
        <w:rPr>
          <w:rFonts w:cs="Arial"/>
          <w:color w:val="000000"/>
          <w:lang w:eastAsia="zh-HK"/>
        </w:rPr>
        <w:t xml:space="preserve"> </w:t>
      </w:r>
    </w:p>
    <w:p w:rsidR="00DA7492" w:rsidRPr="00AD7758" w:rsidRDefault="00DA7492">
      <w:pPr>
        <w:pStyle w:val="ListParagraph"/>
        <w:rPr>
          <w:rFonts w:cs="Arial"/>
          <w:color w:val="000000"/>
          <w:sz w:val="22"/>
          <w:szCs w:val="22"/>
          <w:shd w:val="clear" w:color="auto" w:fill="FFFF66"/>
          <w:lang w:eastAsia="zh-HK"/>
        </w:rPr>
      </w:pPr>
    </w:p>
    <w:p w:rsidR="00DA7492" w:rsidRPr="00C71F5A" w:rsidRDefault="00DA7492">
      <w:pPr>
        <w:rPr>
          <w:lang w:eastAsia="zh-HK"/>
        </w:rPr>
      </w:pPr>
      <w:r w:rsidRPr="00C71F5A">
        <w:rPr>
          <w:lang w:eastAsia="zh-HK"/>
        </w:rPr>
        <w:t>5.50</w:t>
      </w:r>
      <w:r w:rsidRPr="00C71F5A">
        <w:rPr>
          <w:lang w:eastAsia="zh-HK"/>
        </w:rPr>
        <w:tab/>
      </w:r>
      <w:r w:rsidRPr="00C71F5A">
        <w:rPr>
          <w:lang w:eastAsia="zh-HK"/>
        </w:rPr>
        <w:tab/>
        <w:t xml:space="preserve">Public records appraised to be of archival value have to be transferred to the Public Records Office, where they will be, subject to exemptions, made available for public inspection when they have been in existence for not less than 30 years.  The transferring B/Ds should, before their transfer to the Public Records Office, </w:t>
      </w:r>
      <w:r w:rsidRPr="00C71F5A">
        <w:t>review and determine the access status of the archival records when reaching 30 years old.  Unless otherwise informed by the B/Ds, the Public Records Office will presume that the records transferred to it could be open for public access when reaching 30 years old.  In deciding the access status of archival records, B/Ds should broadly adopt the exemptions listed in Part 2 of the CAI and security grading does not determine access.  As a record should not be closed indefinitely, the GRS will require the B/Ds to review the records again every five years until the records are eventually opened.</w:t>
      </w:r>
    </w:p>
    <w:p w:rsidR="00DA7492" w:rsidRPr="00C71F5A" w:rsidRDefault="00DA7492">
      <w:pPr>
        <w:pStyle w:val="ListParagraph"/>
        <w:ind w:left="0"/>
        <w:rPr>
          <w:rFonts w:cs="Arial"/>
          <w:color w:val="C00000"/>
          <w:shd w:val="clear" w:color="auto" w:fill="FFFF66"/>
          <w:lang w:eastAsia="zh-HK"/>
        </w:rPr>
      </w:pPr>
    </w:p>
    <w:p w:rsidR="00DA7492" w:rsidRPr="00D86E22" w:rsidRDefault="00DA7492">
      <w:pPr>
        <w:pStyle w:val="Heading4"/>
        <w:rPr>
          <w:shd w:val="clear" w:color="auto" w:fill="FFFFFF"/>
          <w:lang w:eastAsia="zh-HK"/>
        </w:rPr>
      </w:pPr>
      <w:r w:rsidRPr="00D86E22">
        <w:rPr>
          <w:shd w:val="clear" w:color="auto" w:fill="FFFFFF"/>
          <w:lang w:eastAsia="zh-HK"/>
        </w:rPr>
        <w:t>Summary of steps involved in transfer process</w:t>
      </w:r>
    </w:p>
    <w:p w:rsidR="00DA7492" w:rsidRPr="00D86E22" w:rsidRDefault="00DA7492">
      <w:pPr>
        <w:pStyle w:val="ListParagraph"/>
        <w:rPr>
          <w:rFonts w:cs="Arial"/>
          <w:color w:val="000000"/>
          <w:shd w:val="clear" w:color="auto" w:fill="FFFF66"/>
          <w:lang w:eastAsia="zh-HK"/>
        </w:rPr>
      </w:pPr>
    </w:p>
    <w:p w:rsidR="00DA7492" w:rsidRPr="00D86E22" w:rsidRDefault="00DA7492">
      <w:pPr>
        <w:rPr>
          <w:shd w:val="clear" w:color="auto" w:fill="FFFFFF"/>
          <w:lang w:eastAsia="zh-HK"/>
        </w:rPr>
      </w:pPr>
      <w:r w:rsidRPr="00D86E22">
        <w:rPr>
          <w:shd w:val="clear" w:color="auto" w:fill="FFFFFF"/>
          <w:lang w:eastAsia="zh-HK"/>
        </w:rPr>
        <w:t>5.51</w:t>
      </w:r>
      <w:r w:rsidRPr="00D86E22">
        <w:rPr>
          <w:shd w:val="clear" w:color="auto" w:fill="FFFFFF"/>
          <w:lang w:eastAsia="zh-HK"/>
        </w:rPr>
        <w:tab/>
      </w:r>
      <w:r w:rsidRPr="00D86E22">
        <w:rPr>
          <w:shd w:val="clear" w:color="auto" w:fill="FFFFFF"/>
          <w:lang w:eastAsia="zh-HK"/>
        </w:rPr>
        <w:tab/>
        <w:t>For the sake of clarity, a summary of the steps involved in the transfer of time-expired records (for both paper and non-paper) process is shown in</w:t>
      </w:r>
      <w:r w:rsidRPr="00C71F5A">
        <w:rPr>
          <w:lang w:eastAsia="zh-HK"/>
        </w:rPr>
        <w:t xml:space="preserve"> Annex II.</w:t>
      </w:r>
    </w:p>
    <w:p w:rsidR="00DA7492" w:rsidRPr="00AD7758" w:rsidRDefault="00DA7492" w:rsidP="00DA7492">
      <w:pPr>
        <w:pStyle w:val="ListParagraph"/>
        <w:tabs>
          <w:tab w:val="clear" w:pos="1418"/>
        </w:tabs>
        <w:ind w:left="0"/>
        <w:rPr>
          <w:rFonts w:cs="Arial"/>
          <w:sz w:val="22"/>
          <w:szCs w:val="22"/>
          <w:lang w:eastAsia="zh-HK"/>
        </w:rPr>
      </w:pPr>
    </w:p>
    <w:p w:rsidR="00DA7492" w:rsidRPr="00AD7758" w:rsidRDefault="00DA7492" w:rsidP="00DA7492">
      <w:pPr>
        <w:pStyle w:val="ListParagraph"/>
        <w:tabs>
          <w:tab w:val="clear" w:pos="1418"/>
        </w:tabs>
        <w:ind w:left="0"/>
        <w:rPr>
          <w:rFonts w:cs="Arial"/>
          <w:b/>
          <w:sz w:val="22"/>
          <w:szCs w:val="22"/>
        </w:rPr>
      </w:pPr>
    </w:p>
    <w:p w:rsidR="00DA7492" w:rsidRPr="00C71F5A" w:rsidRDefault="00DA7492" w:rsidP="00AD7758">
      <w:pPr>
        <w:pStyle w:val="Heading3"/>
        <w:tabs>
          <w:tab w:val="clear" w:pos="1418"/>
          <w:tab w:val="left" w:pos="720"/>
        </w:tabs>
      </w:pPr>
      <w:r w:rsidRPr="00C71F5A">
        <w:rPr>
          <w:rFonts w:hint="eastAsia"/>
        </w:rPr>
        <w:t>(c)</w:t>
      </w:r>
      <w:r w:rsidRPr="00C71F5A">
        <w:tab/>
        <w:t xml:space="preserve">Other </w:t>
      </w:r>
      <w:r w:rsidRPr="00C71F5A">
        <w:rPr>
          <w:rFonts w:hint="eastAsia"/>
        </w:rPr>
        <w:t>j</w:t>
      </w:r>
      <w:r w:rsidRPr="00C71F5A">
        <w:t>urisdictions</w:t>
      </w:r>
    </w:p>
    <w:p w:rsidR="00DA7492" w:rsidRPr="00AD7758" w:rsidRDefault="00DA7492">
      <w:pPr>
        <w:keepNext/>
        <w:ind w:left="720" w:hanging="720"/>
        <w:rPr>
          <w:rFonts w:cs="Arial"/>
          <w:sz w:val="22"/>
          <w:szCs w:val="22"/>
          <w:lang w:val="en-US"/>
        </w:rPr>
      </w:pPr>
    </w:p>
    <w:p w:rsidR="00DA7492" w:rsidRPr="00C71F5A" w:rsidRDefault="00DA7492" w:rsidP="00DA7492">
      <w:pPr>
        <w:pStyle w:val="Heading4"/>
      </w:pPr>
      <w:r w:rsidRPr="00C71F5A">
        <w:t>Australia</w:t>
      </w:r>
    </w:p>
    <w:p w:rsidR="00DA7492" w:rsidRPr="00AD7758" w:rsidRDefault="00DA7492" w:rsidP="00DA7492">
      <w:pPr>
        <w:keepNext/>
        <w:ind w:left="720" w:hanging="720"/>
        <w:rPr>
          <w:rFonts w:cs="Arial"/>
          <w:b/>
          <w:sz w:val="22"/>
          <w:szCs w:val="22"/>
        </w:rPr>
      </w:pPr>
    </w:p>
    <w:p w:rsidR="00DA7492" w:rsidRPr="00C71F5A" w:rsidRDefault="00DA7492" w:rsidP="00AD7758">
      <w:pPr>
        <w:pStyle w:val="ListParagraph"/>
        <w:keepNext/>
        <w:widowControl/>
        <w:numPr>
          <w:ilvl w:val="0"/>
          <w:numId w:val="30"/>
        </w:numPr>
        <w:tabs>
          <w:tab w:val="clear" w:pos="1418"/>
          <w:tab w:val="left" w:pos="720"/>
        </w:tabs>
        <w:ind w:left="720" w:hanging="720"/>
        <w:contextualSpacing w:val="0"/>
        <w:rPr>
          <w:rFonts w:cs="Arial"/>
          <w:i/>
          <w:sz w:val="20"/>
        </w:rPr>
      </w:pPr>
      <w:r w:rsidRPr="00C71F5A">
        <w:rPr>
          <w:rFonts w:cs="Arial"/>
          <w:i/>
        </w:rPr>
        <w:t>Deferral of transfer of time-expired records</w:t>
      </w:r>
      <w:r w:rsidRPr="00C71F5A">
        <w:rPr>
          <w:rFonts w:cs="Arial"/>
          <w:i/>
          <w:sz w:val="20"/>
        </w:rPr>
        <w:t xml:space="preserve"> </w:t>
      </w:r>
    </w:p>
    <w:p w:rsidR="00DA7492" w:rsidRPr="00C71F5A" w:rsidRDefault="00DA7492" w:rsidP="00DA7492">
      <w:pPr>
        <w:pStyle w:val="ListParagraph"/>
        <w:ind w:hanging="720"/>
        <w:rPr>
          <w:rFonts w:cs="Arial"/>
        </w:rPr>
      </w:pPr>
    </w:p>
    <w:p w:rsidR="00DA7492" w:rsidRPr="00C71F5A" w:rsidRDefault="00DA7492" w:rsidP="00DA7492">
      <w:r w:rsidRPr="00C71F5A">
        <w:t>5.</w:t>
      </w:r>
      <w:r>
        <w:t>52</w:t>
      </w:r>
      <w:r w:rsidRPr="00C71F5A">
        <w:tab/>
      </w:r>
      <w:r w:rsidRPr="00C71F5A">
        <w:tab/>
        <w:t xml:space="preserve">The 1983 Act requires Commonwealth records which have been determined to be archival resources to be transferred to the NAA within </w:t>
      </w:r>
      <w:r w:rsidRPr="00C71F5A">
        <w:lastRenderedPageBreak/>
        <w:t>15</w:t>
      </w:r>
      <w:r w:rsidRPr="00C71F5A">
        <w:rPr>
          <w:lang w:val="en-US"/>
        </w:rPr>
        <w:t> </w:t>
      </w:r>
      <w:r w:rsidRPr="00C71F5A">
        <w:t>years of the record coming into existence for preservation and access (or as soon as practicable after the record ceases to be a current Commonwealth record).</w:t>
      </w:r>
      <w:r w:rsidRPr="00D86E22">
        <w:rPr>
          <w:rStyle w:val="FootnoteReference"/>
          <w:rFonts w:cs="Arial"/>
          <w:color w:val="000000"/>
        </w:rPr>
        <w:footnoteReference w:id="300"/>
      </w:r>
      <w:r w:rsidRPr="00C71F5A">
        <w:t xml:space="preserve">  </w:t>
      </w:r>
    </w:p>
    <w:p w:rsidR="00DA7492" w:rsidRPr="00C71F5A" w:rsidRDefault="00DA7492" w:rsidP="00DA7492">
      <w:pPr>
        <w:pStyle w:val="ListParagraph"/>
        <w:ind w:hanging="720"/>
        <w:rPr>
          <w:rFonts w:cs="Arial"/>
          <w:color w:val="C00000"/>
        </w:rPr>
      </w:pPr>
    </w:p>
    <w:p w:rsidR="00DA7492" w:rsidRPr="00C71F5A" w:rsidRDefault="00DA7492" w:rsidP="00DA7492">
      <w:r w:rsidRPr="00C71F5A">
        <w:t>5.</w:t>
      </w:r>
      <w:r>
        <w:t>53</w:t>
      </w:r>
      <w:r w:rsidRPr="00C71F5A">
        <w:tab/>
      </w:r>
      <w:r w:rsidRPr="00C71F5A">
        <w:tab/>
        <w:t>Transfer may be deferred if, for example, a Commonwealth institution, with the concurrence of the Director-General, makes a determination to exempt a Commonwealth record from transfer to the NAA for a specified period.</w:t>
      </w:r>
      <w:r w:rsidRPr="00C71F5A">
        <w:rPr>
          <w:rStyle w:val="FootnoteReference"/>
          <w:rFonts w:cs="Arial"/>
        </w:rPr>
        <w:footnoteReference w:id="301"/>
      </w:r>
      <w:r w:rsidRPr="00C71F5A">
        <w:t xml:space="preserve">  This enables Commonwealth records that might otherwise be required to be transferred to the NAA to be retained in the Commonwealth institution.  </w:t>
      </w:r>
    </w:p>
    <w:p w:rsidR="00DA7492" w:rsidRPr="00C71F5A" w:rsidRDefault="00DA7492" w:rsidP="00DA7492">
      <w:pPr>
        <w:pStyle w:val="ListParagraph"/>
        <w:ind w:hanging="720"/>
        <w:rPr>
          <w:rFonts w:cs="Arial"/>
        </w:rPr>
      </w:pPr>
    </w:p>
    <w:p w:rsidR="00DA7492" w:rsidRPr="00C71F5A" w:rsidRDefault="00DA7492" w:rsidP="00DA7492">
      <w:r w:rsidRPr="00C71F5A">
        <w:t>5.</w:t>
      </w:r>
      <w:r>
        <w:t>54</w:t>
      </w:r>
      <w:r w:rsidRPr="00C71F5A">
        <w:tab/>
      </w:r>
      <w:r w:rsidRPr="00C71F5A">
        <w:tab/>
        <w:t>In practice, records exempted from transfer under section 29 generally fall into the following categories:-</w:t>
      </w:r>
      <w:r w:rsidRPr="00C71F5A">
        <w:rPr>
          <w:rStyle w:val="FootnoteReference"/>
          <w:rFonts w:cs="Arial"/>
        </w:rPr>
        <w:t xml:space="preserve"> </w:t>
      </w:r>
      <w:r w:rsidRPr="00C71F5A">
        <w:rPr>
          <w:rStyle w:val="FootnoteReference"/>
          <w:rFonts w:cs="Arial"/>
        </w:rPr>
        <w:footnoteReference w:id="302"/>
      </w:r>
    </w:p>
    <w:p w:rsidR="00DA7492" w:rsidRPr="00C71F5A" w:rsidRDefault="00DA7492" w:rsidP="00DA7492">
      <w:pPr>
        <w:pStyle w:val="ListParagraph"/>
        <w:ind w:hanging="720"/>
        <w:rPr>
          <w:rFonts w:cs="Arial"/>
          <w:color w:val="00B0F0"/>
        </w:rPr>
      </w:pPr>
    </w:p>
    <w:p w:rsidR="00DA7492" w:rsidRPr="00C71F5A" w:rsidRDefault="00DA7492" w:rsidP="00D86E22">
      <w:pPr>
        <w:pStyle w:val="ListParagraph"/>
        <w:widowControl/>
        <w:numPr>
          <w:ilvl w:val="0"/>
          <w:numId w:val="41"/>
        </w:numPr>
        <w:ind w:left="1418" w:hanging="709"/>
        <w:contextualSpacing w:val="0"/>
        <w:rPr>
          <w:rFonts w:cs="Arial"/>
        </w:rPr>
      </w:pPr>
      <w:r w:rsidRPr="00C71F5A">
        <w:rPr>
          <w:rFonts w:cs="Arial"/>
        </w:rPr>
        <w:t>records required for ongoing business purposes that could not be met if they were transferred to the NAA, such as personnel records for current employees;</w:t>
      </w:r>
    </w:p>
    <w:p w:rsidR="00DA7492" w:rsidRPr="00C71F5A" w:rsidRDefault="00DA7492" w:rsidP="00DA7492">
      <w:pPr>
        <w:ind w:left="1418" w:hanging="709"/>
        <w:rPr>
          <w:rFonts w:cs="Arial"/>
        </w:rPr>
      </w:pPr>
    </w:p>
    <w:p w:rsidR="00DA7492" w:rsidRPr="00C71F5A" w:rsidRDefault="00DA7492" w:rsidP="00D86E22">
      <w:pPr>
        <w:pStyle w:val="ListParagraph"/>
        <w:widowControl/>
        <w:numPr>
          <w:ilvl w:val="0"/>
          <w:numId w:val="41"/>
        </w:numPr>
        <w:ind w:left="1418" w:hanging="709"/>
        <w:contextualSpacing w:val="0"/>
        <w:rPr>
          <w:rFonts w:cs="Arial"/>
        </w:rPr>
      </w:pPr>
      <w:r w:rsidRPr="00C71F5A">
        <w:rPr>
          <w:rFonts w:cs="Arial"/>
        </w:rPr>
        <w:t>records possessing exceptional sensitivity relating to security, defence or international relations; and</w:t>
      </w:r>
    </w:p>
    <w:p w:rsidR="00DA7492" w:rsidRPr="00C71F5A" w:rsidRDefault="00DA7492" w:rsidP="00DA7492">
      <w:pPr>
        <w:ind w:left="1418" w:hanging="709"/>
        <w:rPr>
          <w:rFonts w:cs="Arial"/>
        </w:rPr>
      </w:pPr>
    </w:p>
    <w:p w:rsidR="00DA7492" w:rsidRPr="00C71F5A" w:rsidRDefault="00DA7492" w:rsidP="00D86E22">
      <w:pPr>
        <w:pStyle w:val="ListParagraph"/>
        <w:widowControl/>
        <w:numPr>
          <w:ilvl w:val="0"/>
          <w:numId w:val="41"/>
        </w:numPr>
        <w:ind w:left="1418" w:hanging="709"/>
        <w:contextualSpacing w:val="0"/>
        <w:rPr>
          <w:rFonts w:cs="Arial"/>
        </w:rPr>
      </w:pPr>
      <w:r w:rsidRPr="00C71F5A">
        <w:rPr>
          <w:rFonts w:cs="Arial"/>
        </w:rPr>
        <w:t>where it is more convenient for a government agency to make arrangements for its own records.</w:t>
      </w:r>
      <w:r w:rsidRPr="00C71F5A">
        <w:rPr>
          <w:rStyle w:val="FootnoteReference"/>
          <w:rFonts w:cs="Arial"/>
        </w:rPr>
        <w:footnoteReference w:id="303"/>
      </w:r>
    </w:p>
    <w:p w:rsidR="00DA7492" w:rsidRPr="00D86E22" w:rsidRDefault="00DA7492" w:rsidP="00DA7492">
      <w:pPr>
        <w:pStyle w:val="ListParagraph"/>
        <w:shd w:val="clear" w:color="auto" w:fill="FFFFFF"/>
        <w:ind w:left="0"/>
        <w:rPr>
          <w:rFonts w:cs="Arial"/>
          <w:b/>
          <w:i/>
          <w:color w:val="000000"/>
          <w:shd w:val="clear" w:color="auto" w:fill="FFFF99"/>
          <w:lang w:eastAsia="zh-HK"/>
        </w:rPr>
      </w:pPr>
    </w:p>
    <w:p w:rsidR="00DA7492" w:rsidRPr="00C71F5A" w:rsidRDefault="00DA7492" w:rsidP="00AD7758">
      <w:pPr>
        <w:pStyle w:val="ListParagraph"/>
        <w:widowControl/>
        <w:numPr>
          <w:ilvl w:val="0"/>
          <w:numId w:val="29"/>
        </w:numPr>
        <w:shd w:val="clear" w:color="auto" w:fill="FFFFFF"/>
        <w:tabs>
          <w:tab w:val="clear" w:pos="1418"/>
          <w:tab w:val="left" w:pos="720"/>
        </w:tabs>
        <w:ind w:left="720" w:hanging="720"/>
        <w:contextualSpacing w:val="0"/>
        <w:rPr>
          <w:rFonts w:cs="Arial"/>
          <w:color w:val="C00000"/>
        </w:rPr>
      </w:pPr>
      <w:r w:rsidRPr="00D86E22">
        <w:rPr>
          <w:rFonts w:cs="Arial"/>
          <w:i/>
          <w:color w:val="000000"/>
          <w:lang w:eastAsia="zh-HK"/>
        </w:rPr>
        <w:t>Determination of access status of archival records before transfer for open inspection</w:t>
      </w:r>
      <w:r w:rsidRPr="00C71F5A">
        <w:rPr>
          <w:rFonts w:cs="Arial"/>
          <w:color w:val="C00000"/>
        </w:rPr>
        <w:t xml:space="preserve"> </w:t>
      </w:r>
    </w:p>
    <w:p w:rsidR="00DA7492" w:rsidRPr="00C71F5A" w:rsidRDefault="00DA7492" w:rsidP="00DA7492">
      <w:pPr>
        <w:pStyle w:val="ListParagraph"/>
        <w:ind w:left="0"/>
        <w:rPr>
          <w:rFonts w:cs="Arial"/>
          <w:color w:val="C00000"/>
        </w:rPr>
      </w:pPr>
    </w:p>
    <w:p w:rsidR="00DA7492" w:rsidRPr="00D86E22" w:rsidRDefault="00DA7492" w:rsidP="00DA7492">
      <w:pPr>
        <w:rPr>
          <w:shd w:val="clear" w:color="auto" w:fill="FFFFFF"/>
        </w:rPr>
      </w:pPr>
      <w:r w:rsidRPr="00C71F5A">
        <w:t>5.</w:t>
      </w:r>
      <w:r>
        <w:t>55</w:t>
      </w:r>
      <w:r w:rsidRPr="00C71F5A">
        <w:tab/>
      </w:r>
      <w:r w:rsidRPr="00C71F5A">
        <w:tab/>
      </w:r>
      <w:r w:rsidRPr="00D86E22">
        <w:rPr>
          <w:shd w:val="clear" w:color="auto" w:fill="FFFFFF"/>
        </w:rPr>
        <w:t>The identification of records as exempt records, which is the Australian equivalent to "sensitivity review" in England and "classification of access status" in New Zealand, may take place before the records concerned become records in the open access period.</w:t>
      </w:r>
      <w:r w:rsidRPr="00D86E22">
        <w:rPr>
          <w:rStyle w:val="FootnoteReference"/>
          <w:rFonts w:cs="Arial"/>
          <w:shd w:val="clear" w:color="auto" w:fill="FFFFFF"/>
        </w:rPr>
        <w:footnoteReference w:id="304"/>
      </w:r>
      <w:r w:rsidRPr="00D86E22">
        <w:rPr>
          <w:shd w:val="clear" w:color="auto" w:fill="FFFFFF"/>
        </w:rPr>
        <w:t xml:space="preserve"> </w:t>
      </w:r>
      <w:r w:rsidRPr="00D86E22">
        <w:rPr>
          <w:rFonts w:hint="eastAsia"/>
          <w:shd w:val="clear" w:color="auto" w:fill="FFFFFF"/>
        </w:rPr>
        <w:t xml:space="preserve"> </w:t>
      </w:r>
      <w:r w:rsidRPr="00D86E22">
        <w:rPr>
          <w:shd w:val="clear" w:color="auto" w:fill="FFFFFF"/>
        </w:rPr>
        <w:t>Generally speaking, however, this determination is to be conducted after the transfer on the NAA's premises.</w:t>
      </w:r>
      <w:r w:rsidRPr="00D86E22">
        <w:rPr>
          <w:rStyle w:val="FootnoteReference"/>
          <w:rFonts w:cs="Arial"/>
          <w:shd w:val="clear" w:color="auto" w:fill="FFFFFF"/>
        </w:rPr>
        <w:footnoteReference w:id="305"/>
      </w:r>
      <w:r w:rsidRPr="00D86E22">
        <w:rPr>
          <w:shd w:val="clear" w:color="auto" w:fill="FFFFFF"/>
        </w:rPr>
        <w:t xml:space="preserve">  The Director-General, in consultation with the responsible Minister or his authorised person, is to make arrangements for determining whether  Commonwealth records in the open access period are to be treated as being exempt records and the extent to which access thereto may be given </w:t>
      </w:r>
      <w:r w:rsidRPr="00D86E22">
        <w:rPr>
          <w:shd w:val="clear" w:color="auto" w:fill="FFFFFF"/>
        </w:rPr>
        <w:lastRenderedPageBreak/>
        <w:t>in part. Sometimes this is done in consultation with departments and agencies.</w:t>
      </w:r>
      <w:r w:rsidRPr="00D86E22">
        <w:rPr>
          <w:rStyle w:val="FootnoteReference"/>
          <w:rFonts w:cs="Arial"/>
          <w:shd w:val="clear" w:color="auto" w:fill="FFFFFF"/>
        </w:rPr>
        <w:footnoteReference w:id="306"/>
      </w:r>
      <w:r w:rsidRPr="00D86E22">
        <w:rPr>
          <w:shd w:val="clear" w:color="auto" w:fill="FFFFFF"/>
        </w:rPr>
        <w:t xml:space="preserve"> </w:t>
      </w:r>
    </w:p>
    <w:p w:rsidR="00DA7492" w:rsidRPr="00D86E22" w:rsidRDefault="00DA7492" w:rsidP="00DA7492">
      <w:pPr>
        <w:pStyle w:val="ListParagraph"/>
        <w:ind w:left="0"/>
        <w:rPr>
          <w:rFonts w:cs="Arial"/>
          <w:color w:val="C00000"/>
          <w:shd w:val="clear" w:color="auto" w:fill="FFFFFF"/>
        </w:rPr>
      </w:pPr>
      <w:r w:rsidRPr="00D86E22">
        <w:rPr>
          <w:rFonts w:cs="Arial"/>
          <w:color w:val="C00000"/>
          <w:shd w:val="clear" w:color="auto" w:fill="FFFFFF"/>
        </w:rPr>
        <w:t xml:space="preserve"> </w:t>
      </w:r>
    </w:p>
    <w:p w:rsidR="00DA7492" w:rsidRPr="00D86E22" w:rsidRDefault="00DA7492" w:rsidP="00DA7492">
      <w:pPr>
        <w:rPr>
          <w:shd w:val="clear" w:color="auto" w:fill="FFFFFF"/>
        </w:rPr>
      </w:pPr>
      <w:r w:rsidRPr="00D86E22">
        <w:rPr>
          <w:shd w:val="clear" w:color="auto" w:fill="FFFFFF"/>
        </w:rPr>
        <w:t>5.56</w:t>
      </w:r>
      <w:r w:rsidRPr="00D86E22">
        <w:rPr>
          <w:shd w:val="clear" w:color="auto" w:fill="FFFFFF"/>
        </w:rPr>
        <w:tab/>
      </w:r>
      <w:r w:rsidRPr="00D86E22">
        <w:rPr>
          <w:shd w:val="clear" w:color="auto" w:fill="FFFFFF"/>
        </w:rPr>
        <w:tab/>
        <w:t>Unless a record contains information that falls within an exemption under the 1983 Act</w:t>
      </w:r>
      <w:r w:rsidRPr="00D86E22">
        <w:rPr>
          <w:rFonts w:hint="eastAsia"/>
          <w:shd w:val="clear" w:color="auto" w:fill="FFFFFF"/>
        </w:rPr>
        <w:t>,</w:t>
      </w:r>
      <w:r w:rsidRPr="00D86E22">
        <w:rPr>
          <w:rStyle w:val="FootnoteReference"/>
          <w:rFonts w:cs="Arial"/>
          <w:shd w:val="clear" w:color="auto" w:fill="FFFFFF"/>
        </w:rPr>
        <w:footnoteReference w:id="307"/>
      </w:r>
      <w:r w:rsidRPr="00D86E22">
        <w:rPr>
          <w:shd w:val="clear" w:color="auto" w:fill="FFFFFF"/>
        </w:rPr>
        <w:t xml:space="preserve"> it is available for public access when it is in the "open access period" as defined.</w:t>
      </w:r>
      <w:r w:rsidRPr="00D86E22">
        <w:rPr>
          <w:rStyle w:val="FootnoteReference"/>
          <w:rFonts w:cs="Arial"/>
          <w:shd w:val="clear" w:color="auto" w:fill="FFFFFF"/>
        </w:rPr>
        <w:footnoteReference w:id="308"/>
      </w:r>
      <w:r w:rsidRPr="00D86E22">
        <w:rPr>
          <w:shd w:val="clear" w:color="auto" w:fill="FFFFFF"/>
        </w:rPr>
        <w:t xml:space="preserve"> </w:t>
      </w:r>
    </w:p>
    <w:p w:rsidR="00DA7492" w:rsidRPr="00D86E22" w:rsidRDefault="00DA7492" w:rsidP="00DA7492">
      <w:pPr>
        <w:pStyle w:val="ListParagraph"/>
        <w:ind w:left="0"/>
        <w:rPr>
          <w:rFonts w:cs="Arial"/>
          <w:shd w:val="clear" w:color="auto" w:fill="FFFFFF"/>
        </w:rPr>
      </w:pPr>
    </w:p>
    <w:p w:rsidR="00DA7492" w:rsidRPr="00C71F5A" w:rsidRDefault="00DA7492" w:rsidP="00DA7492">
      <w:pPr>
        <w:rPr>
          <w:shd w:val="clear" w:color="auto" w:fill="FFFF66"/>
        </w:rPr>
      </w:pPr>
      <w:r w:rsidRPr="00D86E22">
        <w:rPr>
          <w:shd w:val="clear" w:color="auto" w:fill="FFFFFF"/>
        </w:rPr>
        <w:t>5.57</w:t>
      </w:r>
      <w:r w:rsidRPr="00D86E22">
        <w:rPr>
          <w:shd w:val="clear" w:color="auto" w:fill="FFFFFF"/>
        </w:rPr>
        <w:tab/>
      </w:r>
      <w:r w:rsidRPr="00D86E22">
        <w:rPr>
          <w:shd w:val="clear" w:color="auto" w:fill="FFFFFF"/>
        </w:rPr>
        <w:tab/>
        <w:t>Determinations to exempt records shall be reviewed at such intervals as the Director-General thinks appropriate having regard to, for example, the nature of the record concerned.</w:t>
      </w:r>
      <w:r w:rsidRPr="00D86E22">
        <w:rPr>
          <w:rStyle w:val="FootnoteReference"/>
          <w:rFonts w:cs="Arial"/>
          <w:shd w:val="clear" w:color="auto" w:fill="FFFFFF"/>
        </w:rPr>
        <w:footnoteReference w:id="309"/>
      </w:r>
      <w:r w:rsidRPr="00D86E22">
        <w:rPr>
          <w:shd w:val="clear" w:color="auto" w:fill="FFFFFF"/>
        </w:rPr>
        <w:t xml:space="preserve"> </w:t>
      </w:r>
    </w:p>
    <w:p w:rsidR="00DA7492" w:rsidRPr="00574F1A" w:rsidRDefault="00DA7492">
      <w:pPr>
        <w:keepNext/>
        <w:ind w:left="720" w:hanging="720"/>
        <w:rPr>
          <w:rFonts w:cs="Arial"/>
        </w:rPr>
      </w:pPr>
    </w:p>
    <w:p w:rsidR="00DA7492" w:rsidRPr="00C71F5A" w:rsidRDefault="00DA7492">
      <w:pPr>
        <w:pStyle w:val="Heading4"/>
      </w:pPr>
      <w:r w:rsidRPr="00C71F5A">
        <w:t xml:space="preserve">England </w:t>
      </w:r>
    </w:p>
    <w:p w:rsidR="00DA7492" w:rsidRPr="00C71F5A" w:rsidRDefault="00DA7492">
      <w:pPr>
        <w:keepNext/>
        <w:ind w:left="720" w:hanging="720"/>
        <w:rPr>
          <w:rFonts w:cs="Arial"/>
        </w:rPr>
      </w:pPr>
    </w:p>
    <w:p w:rsidR="00DA7492" w:rsidRPr="00C71F5A" w:rsidRDefault="00DA7492" w:rsidP="008A4164">
      <w:pPr>
        <w:pStyle w:val="ListParagraph"/>
        <w:keepNext/>
        <w:widowControl/>
        <w:numPr>
          <w:ilvl w:val="0"/>
          <w:numId w:val="34"/>
        </w:numPr>
        <w:tabs>
          <w:tab w:val="clear" w:pos="1418"/>
          <w:tab w:val="left" w:pos="720"/>
        </w:tabs>
        <w:ind w:left="720" w:hanging="720"/>
        <w:contextualSpacing w:val="0"/>
        <w:rPr>
          <w:rFonts w:cs="Arial"/>
          <w:i/>
          <w:sz w:val="20"/>
        </w:rPr>
      </w:pPr>
      <w:r w:rsidRPr="00C71F5A">
        <w:rPr>
          <w:rFonts w:cs="Arial"/>
          <w:i/>
        </w:rPr>
        <w:t xml:space="preserve">Deferral of transfer of time-expired records </w:t>
      </w:r>
    </w:p>
    <w:p w:rsidR="00DA7492" w:rsidRPr="00D86E22" w:rsidRDefault="00DA7492">
      <w:pPr>
        <w:pStyle w:val="ListParagraph"/>
        <w:keepNext/>
        <w:ind w:left="622"/>
        <w:rPr>
          <w:rFonts w:cs="Arial"/>
          <w:color w:val="000000"/>
        </w:rPr>
      </w:pPr>
    </w:p>
    <w:p w:rsidR="00DA7492" w:rsidRPr="00C71F5A" w:rsidRDefault="00DA7492">
      <w:pPr>
        <w:rPr>
          <w:lang w:val="en"/>
        </w:rPr>
      </w:pPr>
      <w:r w:rsidRPr="00C71F5A">
        <w:t>5.</w:t>
      </w:r>
      <w:r>
        <w:t>58</w:t>
      </w:r>
      <w:r w:rsidRPr="00C71F5A">
        <w:tab/>
      </w:r>
      <w:r w:rsidRPr="00C71F5A">
        <w:tab/>
        <w:t xml:space="preserve">The 1958 Act specifies that public records </w:t>
      </w:r>
      <w:r w:rsidRPr="00C71F5A">
        <w:rPr>
          <w:lang w:val="en"/>
        </w:rPr>
        <w:t>selected for permanent preservation should be transferred to the PRO by the time they reach 20</w:t>
      </w:r>
      <w:r w:rsidRPr="00C71F5A">
        <w:t> </w:t>
      </w:r>
      <w:r w:rsidRPr="00C71F5A">
        <w:rPr>
          <w:lang w:val="en"/>
        </w:rPr>
        <w:t>years old, unless the Secretary of State authorises retention for a longer period for administrative purposes or other special reason.</w:t>
      </w:r>
      <w:r w:rsidRPr="00D86E22">
        <w:rPr>
          <w:rStyle w:val="FootnoteReference"/>
          <w:rFonts w:eastAsia="Times New Roman" w:cs="Arial"/>
          <w:color w:val="000000"/>
          <w:lang w:val="en"/>
        </w:rPr>
        <w:footnoteReference w:id="310"/>
      </w:r>
      <w:r w:rsidRPr="00C71F5A">
        <w:rPr>
          <w:lang w:val="en"/>
        </w:rPr>
        <w:t xml:space="preserve">  </w:t>
      </w:r>
    </w:p>
    <w:p w:rsidR="00DA7492" w:rsidRPr="00D86E22" w:rsidRDefault="00DA7492">
      <w:pPr>
        <w:pStyle w:val="ListParagraph"/>
        <w:shd w:val="clear" w:color="auto" w:fill="FFFFFF"/>
        <w:ind w:hanging="720"/>
        <w:rPr>
          <w:rFonts w:eastAsia="Times New Roman" w:cs="Arial"/>
          <w:color w:val="000000"/>
          <w:lang w:val="en"/>
        </w:rPr>
      </w:pPr>
    </w:p>
    <w:p w:rsidR="00DA7492" w:rsidRPr="00C71F5A" w:rsidRDefault="00DA7492">
      <w:pPr>
        <w:rPr>
          <w:rFonts w:eastAsia="Bliss2"/>
          <w:sz w:val="22"/>
        </w:rPr>
      </w:pPr>
      <w:r w:rsidRPr="00C71F5A">
        <w:rPr>
          <w:lang w:val="en"/>
        </w:rPr>
        <w:t>5.5</w:t>
      </w:r>
      <w:r>
        <w:rPr>
          <w:lang w:val="en"/>
        </w:rPr>
        <w:t>9</w:t>
      </w:r>
      <w:r w:rsidRPr="00C71F5A">
        <w:rPr>
          <w:lang w:val="en"/>
        </w:rPr>
        <w:tab/>
      </w:r>
      <w:r w:rsidRPr="00C71F5A">
        <w:rPr>
          <w:lang w:val="en"/>
        </w:rPr>
        <w:tab/>
        <w:t xml:space="preserve">Guidance on review and transfer of public records is set out in the </w:t>
      </w:r>
      <w:r w:rsidRPr="00C71F5A">
        <w:rPr>
          <w:i/>
          <w:lang w:val="en"/>
        </w:rPr>
        <w:t>Lord Chancellor</w:t>
      </w:r>
      <w:r>
        <w:rPr>
          <w:i/>
          <w:lang w:val="en"/>
        </w:rPr>
        <w:t>'</w:t>
      </w:r>
      <w:r w:rsidRPr="00C71F5A">
        <w:rPr>
          <w:i/>
          <w:lang w:val="en"/>
        </w:rPr>
        <w:t>s Code</w:t>
      </w:r>
      <w:r w:rsidRPr="00C71F5A">
        <w:rPr>
          <w:lang w:val="en"/>
        </w:rPr>
        <w:t>.</w:t>
      </w:r>
      <w:r w:rsidRPr="00D86E22">
        <w:rPr>
          <w:rStyle w:val="FootnoteReference"/>
          <w:rFonts w:eastAsia="Times New Roman" w:cs="Arial"/>
          <w:color w:val="000000"/>
          <w:lang w:val="en"/>
        </w:rPr>
        <w:footnoteReference w:id="311"/>
      </w:r>
      <w:r w:rsidRPr="00C71F5A">
        <w:rPr>
          <w:lang w:val="en"/>
        </w:rPr>
        <w:t xml:space="preserve">  Authorities wishing to retain records for a further period must submit applications to TNA for review and advice. </w:t>
      </w:r>
      <w:r w:rsidRPr="00D86E22">
        <w:rPr>
          <w:shd w:val="clear" w:color="auto" w:fill="FFFFFF"/>
          <w:lang w:val="en"/>
        </w:rPr>
        <w:t xml:space="preserve"> The ACNRA </w:t>
      </w:r>
      <w:r w:rsidRPr="00C71F5A">
        <w:rPr>
          <w:lang w:val="en"/>
        </w:rPr>
        <w:t>will then consider the application and may recommend approval by the Secretary of State.</w:t>
      </w:r>
      <w:r w:rsidRPr="00D86E22">
        <w:rPr>
          <w:rStyle w:val="FootnoteReference"/>
          <w:rFonts w:eastAsia="Times New Roman" w:cs="Arial"/>
          <w:color w:val="000000"/>
          <w:lang w:val="en"/>
        </w:rPr>
        <w:footnoteReference w:id="312"/>
      </w:r>
      <w:r w:rsidRPr="00C71F5A">
        <w:rPr>
          <w:lang w:val="en"/>
        </w:rPr>
        <w:t xml:space="preserve"> </w:t>
      </w:r>
    </w:p>
    <w:p w:rsidR="00DA7492" w:rsidRPr="00C71F5A" w:rsidRDefault="00DA7492">
      <w:pPr>
        <w:pStyle w:val="ListParagraph"/>
        <w:ind w:hanging="720"/>
        <w:rPr>
          <w:rFonts w:eastAsia="Times New Roman" w:cs="Arial"/>
          <w:color w:val="00B0F0"/>
          <w:lang w:val="en"/>
        </w:rPr>
      </w:pPr>
    </w:p>
    <w:p w:rsidR="00DA7492" w:rsidRPr="00C71F5A" w:rsidRDefault="00DA7492">
      <w:r w:rsidRPr="00C71F5A">
        <w:rPr>
          <w:rFonts w:eastAsia="Times New Roman"/>
          <w:lang w:val="en"/>
        </w:rPr>
        <w:t>5.</w:t>
      </w:r>
      <w:r>
        <w:rPr>
          <w:rFonts w:eastAsia="Times New Roman"/>
          <w:lang w:val="en"/>
        </w:rPr>
        <w:t>60</w:t>
      </w:r>
      <w:r w:rsidRPr="00C71F5A">
        <w:rPr>
          <w:rFonts w:eastAsia="Times New Roman"/>
          <w:lang w:val="en"/>
        </w:rPr>
        <w:tab/>
      </w:r>
      <w:r w:rsidRPr="00C71F5A">
        <w:rPr>
          <w:rFonts w:eastAsia="Times New Roman"/>
          <w:lang w:val="en"/>
        </w:rPr>
        <w:tab/>
        <w:t xml:space="preserve">Guidance published </w:t>
      </w:r>
      <w:r w:rsidRPr="00C71F5A">
        <w:t>by TNA</w:t>
      </w:r>
      <w:r w:rsidRPr="00D86E22">
        <w:rPr>
          <w:rStyle w:val="FootnoteReference"/>
          <w:rFonts w:eastAsia="Bliss2" w:cs="Arial"/>
          <w:color w:val="000000"/>
        </w:rPr>
        <w:footnoteReference w:id="313"/>
      </w:r>
      <w:r w:rsidRPr="00C71F5A">
        <w:t xml:space="preserve"> requires government departments to put in place effective arrangements to determine which records selected for permanent preservation should be:-</w:t>
      </w:r>
    </w:p>
    <w:p w:rsidR="00DA7492" w:rsidRPr="00D86E22" w:rsidRDefault="00DA7492">
      <w:pPr>
        <w:pStyle w:val="ListParagraph"/>
        <w:shd w:val="clear" w:color="auto" w:fill="FFFFFF"/>
        <w:ind w:left="622"/>
        <w:rPr>
          <w:rFonts w:eastAsia="Bliss2" w:cs="Arial"/>
          <w:color w:val="000000"/>
        </w:rPr>
      </w:pPr>
    </w:p>
    <w:p w:rsidR="00DA7492" w:rsidRPr="00D86E22" w:rsidRDefault="00DA7492">
      <w:pPr>
        <w:pStyle w:val="ListParagraph"/>
        <w:shd w:val="clear" w:color="auto" w:fill="FFFFFF"/>
        <w:rPr>
          <w:rFonts w:eastAsia="Bliss2" w:cs="Arial"/>
          <w:color w:val="000000"/>
        </w:rPr>
      </w:pPr>
      <w:r w:rsidRPr="00D86E22">
        <w:rPr>
          <w:rFonts w:eastAsia="Bliss2" w:cs="Arial"/>
          <w:color w:val="000000"/>
        </w:rPr>
        <w:t xml:space="preserve">(i) </w:t>
      </w:r>
      <w:r w:rsidRPr="00D86E22">
        <w:rPr>
          <w:rFonts w:eastAsia="Bliss2" w:cs="Arial" w:hint="eastAsia"/>
          <w:color w:val="000000"/>
        </w:rPr>
        <w:tab/>
      </w:r>
      <w:r w:rsidRPr="00D86E22">
        <w:rPr>
          <w:rFonts w:eastAsia="Bliss2" w:cs="Arial"/>
          <w:color w:val="000000"/>
        </w:rPr>
        <w:t>retained in the department beyond 20 years; or</w:t>
      </w:r>
    </w:p>
    <w:p w:rsidR="00DA7492" w:rsidRPr="00D86E22" w:rsidRDefault="00DA7492">
      <w:pPr>
        <w:pStyle w:val="ListParagraph"/>
        <w:shd w:val="clear" w:color="auto" w:fill="FFFFFF"/>
        <w:rPr>
          <w:rFonts w:eastAsia="Bliss2" w:cs="Arial"/>
          <w:color w:val="000000"/>
        </w:rPr>
      </w:pPr>
    </w:p>
    <w:p w:rsidR="00DA7492" w:rsidRPr="00D86E22" w:rsidRDefault="00DA7492">
      <w:pPr>
        <w:pStyle w:val="ListParagraph"/>
        <w:shd w:val="clear" w:color="auto" w:fill="FFFFFF"/>
        <w:rPr>
          <w:rFonts w:eastAsia="Bliss2" w:cs="Arial"/>
          <w:color w:val="000000"/>
        </w:rPr>
      </w:pPr>
      <w:r w:rsidRPr="00D86E22">
        <w:rPr>
          <w:rFonts w:eastAsia="Bliss2" w:cs="Arial"/>
          <w:color w:val="000000"/>
        </w:rPr>
        <w:t xml:space="preserve">(ii) </w:t>
      </w:r>
      <w:r w:rsidRPr="00D86E22">
        <w:rPr>
          <w:rFonts w:eastAsia="Bliss2" w:cs="Arial" w:hint="eastAsia"/>
          <w:color w:val="000000"/>
        </w:rPr>
        <w:tab/>
      </w:r>
      <w:r w:rsidRPr="00D86E22">
        <w:rPr>
          <w:rFonts w:eastAsia="Bliss2" w:cs="Arial"/>
          <w:color w:val="000000"/>
        </w:rPr>
        <w:t>transferred to TNA.</w:t>
      </w:r>
    </w:p>
    <w:p w:rsidR="00DA7492" w:rsidRPr="00D86E22" w:rsidRDefault="00DA7492">
      <w:pPr>
        <w:pStyle w:val="ListParagraph"/>
        <w:shd w:val="clear" w:color="auto" w:fill="FFFFFF"/>
        <w:ind w:leftChars="531" w:left="1274"/>
        <w:rPr>
          <w:rFonts w:eastAsia="Bliss2" w:cs="Arial"/>
          <w:color w:val="000000"/>
        </w:rPr>
      </w:pPr>
    </w:p>
    <w:p w:rsidR="00DA7492" w:rsidRPr="00C71F5A" w:rsidRDefault="00DA7492">
      <w:r w:rsidRPr="00D86E22">
        <w:rPr>
          <w:rFonts w:eastAsia="Bliss2"/>
          <w:color w:val="000000"/>
        </w:rPr>
        <w:t>5.61</w:t>
      </w:r>
      <w:r w:rsidRPr="00D86E22">
        <w:rPr>
          <w:rFonts w:eastAsia="Bliss2"/>
          <w:color w:val="000000"/>
        </w:rPr>
        <w:tab/>
      </w:r>
      <w:r w:rsidRPr="00D86E22">
        <w:rPr>
          <w:rFonts w:eastAsia="Bliss2"/>
          <w:color w:val="000000"/>
        </w:rPr>
        <w:tab/>
      </w:r>
      <w:r w:rsidRPr="00C71F5A">
        <w:t xml:space="preserve">Retention (ie deferral of transfer) of records beyond the 20-year period in (i) above generally falls into three types:  </w:t>
      </w:r>
    </w:p>
    <w:p w:rsidR="00DA7492" w:rsidRPr="00D86E22" w:rsidRDefault="00DA7492">
      <w:pPr>
        <w:pStyle w:val="ListParagraph"/>
        <w:ind w:hanging="720"/>
        <w:rPr>
          <w:rFonts w:eastAsia="Bliss2" w:cs="Arial"/>
          <w:color w:val="000000"/>
        </w:rPr>
      </w:pPr>
    </w:p>
    <w:p w:rsidR="00DA7492" w:rsidRPr="00D86E22" w:rsidRDefault="00DA7492" w:rsidP="00DA7492">
      <w:pPr>
        <w:shd w:val="clear" w:color="auto" w:fill="FFFFFF"/>
        <w:ind w:left="1440" w:hanging="720"/>
        <w:rPr>
          <w:rFonts w:eastAsia="Bliss2" w:cs="Arial"/>
          <w:color w:val="000000"/>
        </w:rPr>
      </w:pPr>
      <w:r w:rsidRPr="00D86E22">
        <w:rPr>
          <w:rFonts w:eastAsia="Bliss2" w:cs="Arial"/>
          <w:color w:val="000000"/>
        </w:rPr>
        <w:t>(i)</w:t>
      </w:r>
      <w:r w:rsidRPr="00D86E22">
        <w:rPr>
          <w:rFonts w:eastAsia="Bliss2" w:cs="Arial"/>
          <w:color w:val="000000"/>
        </w:rPr>
        <w:tab/>
        <w:t>administrative retention – documents which are in continued use, or the selection and sensitivity review (as discussed below) has not been completed;</w:t>
      </w:r>
    </w:p>
    <w:p w:rsidR="00DA7492" w:rsidRPr="00D86E22" w:rsidRDefault="00DA7492" w:rsidP="00DA7492">
      <w:pPr>
        <w:pStyle w:val="ListParagraph"/>
        <w:shd w:val="clear" w:color="auto" w:fill="FFFFFF"/>
        <w:ind w:left="1440" w:hanging="720"/>
        <w:rPr>
          <w:rFonts w:eastAsia="Bliss2" w:cs="Arial"/>
          <w:color w:val="000000"/>
        </w:rPr>
      </w:pPr>
    </w:p>
    <w:p w:rsidR="00DA7492" w:rsidRPr="00D86E22" w:rsidRDefault="00DA7492" w:rsidP="00DA7492">
      <w:pPr>
        <w:shd w:val="clear" w:color="auto" w:fill="FFFFFF"/>
        <w:ind w:left="1440" w:hanging="720"/>
        <w:rPr>
          <w:rFonts w:eastAsia="Bliss2" w:cs="Arial"/>
          <w:color w:val="000000"/>
        </w:rPr>
      </w:pPr>
      <w:r w:rsidRPr="00D86E22">
        <w:rPr>
          <w:rFonts w:eastAsia="Bliss2" w:cs="Arial"/>
          <w:color w:val="000000"/>
        </w:rPr>
        <w:t>(ii)</w:t>
      </w:r>
      <w:r w:rsidRPr="00D86E22">
        <w:rPr>
          <w:rFonts w:eastAsia="Bliss2" w:cs="Arial"/>
          <w:color w:val="000000"/>
        </w:rPr>
        <w:tab/>
        <w:t>retention for "any other special reason" – this applies to records whose sensitivity is such that it cannot be estimated when the record may be released;</w:t>
      </w:r>
      <w:r w:rsidRPr="00D86E22">
        <w:rPr>
          <w:rStyle w:val="FootnoteReference"/>
          <w:rFonts w:eastAsia="Bliss2" w:cs="Arial"/>
          <w:color w:val="000000"/>
        </w:rPr>
        <w:footnoteReference w:id="314"/>
      </w:r>
      <w:r w:rsidRPr="00D86E22">
        <w:rPr>
          <w:rFonts w:eastAsia="Bliss2" w:cs="Arial"/>
          <w:color w:val="000000"/>
        </w:rPr>
        <w:t xml:space="preserve"> and </w:t>
      </w:r>
    </w:p>
    <w:p w:rsidR="00DA7492" w:rsidRPr="00D86E22" w:rsidRDefault="00DA7492">
      <w:pPr>
        <w:pStyle w:val="ListParagraph"/>
        <w:shd w:val="clear" w:color="auto" w:fill="FFFFFF"/>
        <w:ind w:left="1440" w:hanging="720"/>
        <w:rPr>
          <w:rFonts w:eastAsia="Bliss2" w:cs="Arial"/>
          <w:color w:val="000000"/>
        </w:rPr>
      </w:pPr>
    </w:p>
    <w:p w:rsidR="00DA7492" w:rsidRPr="00D86E22" w:rsidRDefault="00DA7492" w:rsidP="00DA7492">
      <w:pPr>
        <w:shd w:val="clear" w:color="auto" w:fill="FFFFFF"/>
        <w:ind w:left="1440" w:hanging="720"/>
        <w:rPr>
          <w:rFonts w:eastAsia="Bliss2" w:cs="Arial"/>
          <w:color w:val="000000"/>
        </w:rPr>
      </w:pPr>
      <w:r w:rsidRPr="00D86E22">
        <w:rPr>
          <w:rFonts w:eastAsia="Bliss2" w:cs="Arial"/>
          <w:color w:val="000000"/>
        </w:rPr>
        <w:t>(iii)</w:t>
      </w:r>
      <w:r w:rsidRPr="00D86E22">
        <w:rPr>
          <w:rFonts w:eastAsia="Bliss2" w:cs="Arial"/>
          <w:color w:val="000000"/>
        </w:rPr>
        <w:tab/>
        <w:t>blanket retention – this means approval for retention of large categories of records of a similar character where the reasons for non-disclosure are the same for each record covered by such approvals, for example, blanket approvals to retain security and intelligence materials.</w:t>
      </w:r>
      <w:r w:rsidRPr="00D86E22">
        <w:rPr>
          <w:rStyle w:val="FootnoteReference"/>
          <w:rFonts w:eastAsia="Bliss2" w:cs="Arial"/>
          <w:color w:val="000000"/>
        </w:rPr>
        <w:footnoteReference w:id="315"/>
      </w:r>
      <w:r w:rsidRPr="00D86E22">
        <w:rPr>
          <w:rFonts w:eastAsia="Bliss2" w:cs="Arial"/>
          <w:color w:val="000000"/>
        </w:rPr>
        <w:t xml:space="preserve">  </w:t>
      </w:r>
    </w:p>
    <w:p w:rsidR="00DA7492" w:rsidRPr="00C71F5A" w:rsidRDefault="00DA7492">
      <w:pPr>
        <w:pStyle w:val="ListParagraph"/>
        <w:shd w:val="clear" w:color="auto" w:fill="FFFFFF"/>
        <w:rPr>
          <w:rFonts w:eastAsia="Bliss2" w:cs="Arial"/>
        </w:rPr>
      </w:pPr>
    </w:p>
    <w:p w:rsidR="00DA7492" w:rsidRPr="00C71F5A" w:rsidRDefault="00DA7492">
      <w:r w:rsidRPr="00C71F5A">
        <w:t>5.</w:t>
      </w:r>
      <w:r>
        <w:t>62</w:t>
      </w:r>
      <w:r w:rsidRPr="00C71F5A">
        <w:tab/>
      </w:r>
      <w:r w:rsidRPr="00C71F5A">
        <w:tab/>
        <w:t>Normally a retention period of between one and five years is granted, except that a retention period of up to ten years is approved for records retained on security or other specified grounds.</w:t>
      </w:r>
      <w:r w:rsidRPr="00D86E22">
        <w:rPr>
          <w:rStyle w:val="FootnoteReference"/>
          <w:rFonts w:eastAsia="Bliss2" w:cs="Arial"/>
          <w:color w:val="000000"/>
        </w:rPr>
        <w:footnoteReference w:id="316"/>
      </w:r>
      <w:r w:rsidRPr="00C71F5A">
        <w:t xml:space="preserve"> </w:t>
      </w:r>
    </w:p>
    <w:p w:rsidR="00DA7492" w:rsidRPr="00C71F5A" w:rsidRDefault="00DA7492">
      <w:pPr>
        <w:pStyle w:val="ListParagraph"/>
        <w:shd w:val="clear" w:color="auto" w:fill="FFFFFF"/>
        <w:ind w:left="0"/>
        <w:rPr>
          <w:rFonts w:eastAsia="Bliss2" w:cs="Arial"/>
        </w:rPr>
      </w:pPr>
    </w:p>
    <w:p w:rsidR="00DA7492" w:rsidRPr="00C71F5A" w:rsidRDefault="00DA7492" w:rsidP="008A4164">
      <w:pPr>
        <w:pStyle w:val="ListParagraph"/>
        <w:keepNext/>
        <w:widowControl/>
        <w:numPr>
          <w:ilvl w:val="0"/>
          <w:numId w:val="33"/>
        </w:numPr>
        <w:shd w:val="clear" w:color="auto" w:fill="FFFFFF"/>
        <w:tabs>
          <w:tab w:val="clear" w:pos="1418"/>
          <w:tab w:val="left" w:pos="720"/>
        </w:tabs>
        <w:ind w:left="720" w:hanging="720"/>
        <w:contextualSpacing w:val="0"/>
        <w:rPr>
          <w:rFonts w:eastAsia="Bliss2" w:cs="Arial"/>
          <w:i/>
          <w:sz w:val="20"/>
        </w:rPr>
      </w:pPr>
      <w:r w:rsidRPr="00D86E22">
        <w:rPr>
          <w:rFonts w:cs="Arial"/>
          <w:i/>
          <w:color w:val="000000"/>
          <w:lang w:eastAsia="zh-HK"/>
        </w:rPr>
        <w:t>Determination of access status of archival records before transfer for open inspection</w:t>
      </w:r>
    </w:p>
    <w:p w:rsidR="00DA7492" w:rsidRPr="00C71F5A" w:rsidRDefault="00DA7492" w:rsidP="00DA7492">
      <w:pPr>
        <w:pStyle w:val="ListParagraph"/>
        <w:keepNext/>
        <w:shd w:val="clear" w:color="auto" w:fill="FFFFFF"/>
        <w:ind w:hanging="720"/>
        <w:rPr>
          <w:rFonts w:eastAsia="Bliss2" w:cs="Arial"/>
        </w:rPr>
      </w:pPr>
    </w:p>
    <w:p w:rsidR="00DA7492" w:rsidRPr="00C71F5A" w:rsidRDefault="00DA7492">
      <w:r w:rsidRPr="00C71F5A">
        <w:t>5.</w:t>
      </w:r>
      <w:r>
        <w:t>63</w:t>
      </w:r>
      <w:r w:rsidRPr="00C71F5A">
        <w:tab/>
      </w:r>
      <w:r w:rsidRPr="00C71F5A">
        <w:tab/>
        <w:t xml:space="preserve">The process of determining the access status (ie open or closed for a period of time) of a record by a transferring department is called </w:t>
      </w:r>
      <w:r>
        <w:t>"</w:t>
      </w:r>
      <w:r w:rsidRPr="00C71F5A">
        <w:t>sensitivity review</w:t>
      </w:r>
      <w:r>
        <w:t>"</w:t>
      </w:r>
      <w:r w:rsidRPr="00C71F5A">
        <w:t xml:space="preserve"> in TNA</w:t>
      </w:r>
      <w:r>
        <w:t>'</w:t>
      </w:r>
      <w:r w:rsidRPr="00C71F5A">
        <w:t>s guidance,</w:t>
      </w:r>
      <w:r w:rsidRPr="00D86E22">
        <w:rPr>
          <w:rStyle w:val="FootnoteReference"/>
          <w:rFonts w:eastAsia="Bliss2" w:cs="Arial"/>
          <w:color w:val="000000"/>
        </w:rPr>
        <w:footnoteReference w:id="317"/>
      </w:r>
      <w:r w:rsidRPr="00C71F5A">
        <w:t xml:space="preserve"> ie whether the record is subject to access exemptions under the FOIA 2000.</w:t>
      </w:r>
      <w:r w:rsidRPr="00C71F5A">
        <w:rPr>
          <w:rStyle w:val="FootnoteReference"/>
        </w:rPr>
        <w:footnoteReference w:id="318"/>
      </w:r>
      <w:r w:rsidRPr="00C71F5A">
        <w:t xml:space="preserve">  A transferring department should </w:t>
      </w:r>
      <w:r w:rsidRPr="00C71F5A">
        <w:lastRenderedPageBreak/>
        <w:t xml:space="preserve">specify the exemption considered applicable at the time of transfer, explain why it applies and specify the time for which the records should be closed. </w:t>
      </w:r>
    </w:p>
    <w:p w:rsidR="00DA7492" w:rsidRPr="00D86E22" w:rsidRDefault="00DA7492">
      <w:pPr>
        <w:pStyle w:val="ListParagraph"/>
        <w:shd w:val="clear" w:color="auto" w:fill="FFFFFF"/>
        <w:ind w:left="622"/>
        <w:rPr>
          <w:rFonts w:eastAsia="Bliss2" w:cs="Arial"/>
          <w:color w:val="000000"/>
        </w:rPr>
      </w:pPr>
    </w:p>
    <w:p w:rsidR="00DA7492" w:rsidRPr="00C71F5A" w:rsidRDefault="00DA7492">
      <w:r w:rsidRPr="00C71F5A">
        <w:t>5.</w:t>
      </w:r>
      <w:r>
        <w:t>64</w:t>
      </w:r>
      <w:r w:rsidRPr="00C71F5A">
        <w:tab/>
      </w:r>
      <w:r w:rsidRPr="00C71F5A">
        <w:tab/>
        <w:t xml:space="preserve">In case it is not possible at the time of transfer to identify a specific date on which a record can be opened, then a date should be set for when the record should next be reviewed by the department to assess whether continued closure is required. </w:t>
      </w:r>
    </w:p>
    <w:p w:rsidR="00DA7492" w:rsidRDefault="00DA7492">
      <w:pPr>
        <w:pStyle w:val="ListParagraph"/>
        <w:shd w:val="clear" w:color="auto" w:fill="FFFFFF"/>
        <w:ind w:hanging="720"/>
        <w:rPr>
          <w:rFonts w:eastAsia="Bliss2" w:cs="Arial"/>
          <w:color w:val="7030A0"/>
          <w:lang w:val="en-US"/>
        </w:rPr>
      </w:pPr>
    </w:p>
    <w:p w:rsidR="00DA7492" w:rsidRPr="00C71F5A" w:rsidRDefault="00DA7492" w:rsidP="00DA7492">
      <w:pPr>
        <w:pStyle w:val="Heading4"/>
      </w:pPr>
      <w:r w:rsidRPr="00C71F5A">
        <w:t xml:space="preserve">Ireland </w:t>
      </w:r>
    </w:p>
    <w:p w:rsidR="00DA7492" w:rsidRPr="000D4601" w:rsidRDefault="00DA7492" w:rsidP="00DA7492">
      <w:pPr>
        <w:pStyle w:val="ListParagraph"/>
        <w:ind w:hanging="720"/>
        <w:rPr>
          <w:rFonts w:cs="Arial"/>
          <w:color w:val="C00000"/>
          <w:sz w:val="20"/>
          <w:szCs w:val="20"/>
        </w:rPr>
      </w:pPr>
    </w:p>
    <w:p w:rsidR="00DA7492" w:rsidRPr="00C71F5A" w:rsidRDefault="00DA7492" w:rsidP="00C51DE0">
      <w:pPr>
        <w:pStyle w:val="ListParagraph"/>
        <w:widowControl/>
        <w:numPr>
          <w:ilvl w:val="0"/>
          <w:numId w:val="28"/>
        </w:numPr>
        <w:tabs>
          <w:tab w:val="clear" w:pos="1418"/>
          <w:tab w:val="left" w:pos="720"/>
        </w:tabs>
        <w:ind w:left="720" w:hanging="720"/>
        <w:contextualSpacing w:val="0"/>
        <w:rPr>
          <w:rFonts w:cs="Arial"/>
          <w:i/>
          <w:sz w:val="20"/>
        </w:rPr>
      </w:pPr>
      <w:r w:rsidRPr="00C71F5A">
        <w:rPr>
          <w:rFonts w:cs="Arial"/>
          <w:i/>
        </w:rPr>
        <w:t xml:space="preserve">Deferral of transfer of time-expired records </w:t>
      </w:r>
    </w:p>
    <w:p w:rsidR="00DA7492" w:rsidRPr="00C71F5A" w:rsidRDefault="00DA7492" w:rsidP="00DA7492">
      <w:pPr>
        <w:pStyle w:val="ListParagraph"/>
        <w:ind w:hanging="720"/>
        <w:rPr>
          <w:rFonts w:cs="Arial"/>
          <w:i/>
        </w:rPr>
      </w:pPr>
    </w:p>
    <w:p w:rsidR="00DA7492" w:rsidRPr="00C71F5A" w:rsidRDefault="00DA7492" w:rsidP="00DA7492">
      <w:r w:rsidRPr="00D86E22">
        <w:rPr>
          <w:shd w:val="clear" w:color="auto" w:fill="FFFFFF"/>
        </w:rPr>
        <w:t>5.65</w:t>
      </w:r>
      <w:r w:rsidRPr="00D86E22">
        <w:rPr>
          <w:shd w:val="clear" w:color="auto" w:fill="FFFFFF"/>
        </w:rPr>
        <w:tab/>
      </w:r>
      <w:r w:rsidRPr="00D86E22">
        <w:rPr>
          <w:shd w:val="clear" w:color="auto" w:fill="FFFFFF"/>
        </w:rPr>
        <w:tab/>
        <w:t>Disposal authorisations specifying conditions for disposal of Department records are made by the Director of NAI or his designated officer.  Such authorisations may be made upon the originating Department's request, only if (i) the originating Department has certified that the records are not required, and the (ii) Director of NAI is satisfied that the records have no preservation value.</w:t>
      </w:r>
      <w:r w:rsidRPr="00D86E22">
        <w:rPr>
          <w:rStyle w:val="FootnoteReference"/>
          <w:rFonts w:cs="Arial"/>
          <w:shd w:val="clear" w:color="auto" w:fill="FFFFFF"/>
        </w:rPr>
        <w:footnoteReference w:id="319"/>
      </w:r>
      <w:r w:rsidRPr="00D86E22">
        <w:rPr>
          <w:shd w:val="clear" w:color="auto" w:fill="FFFFFF"/>
        </w:rPr>
        <w:t xml:space="preserve"> </w:t>
      </w:r>
      <w:r w:rsidRPr="00C71F5A">
        <w:t xml:space="preserve"> </w:t>
      </w:r>
    </w:p>
    <w:p w:rsidR="00DA7492" w:rsidRPr="00C71F5A" w:rsidRDefault="00DA7492" w:rsidP="00DA7492">
      <w:pPr>
        <w:rPr>
          <w:rFonts w:cs="Arial"/>
          <w:color w:val="00B0F0"/>
        </w:rPr>
      </w:pPr>
    </w:p>
    <w:p w:rsidR="00DA7492" w:rsidRPr="00C71F5A" w:rsidRDefault="00DA7492" w:rsidP="00DA7492">
      <w:r w:rsidRPr="00C71F5A">
        <w:t>5.</w:t>
      </w:r>
      <w:r>
        <w:t>66</w:t>
      </w:r>
      <w:r w:rsidRPr="00C71F5A">
        <w:tab/>
      </w:r>
      <w:r w:rsidRPr="00C71F5A">
        <w:tab/>
        <w:t xml:space="preserve">Unless disposed of in accordance with a disposal authorisation, all Department records of more than 30 years old shall be transferred to the NAI and be made available for public inspection.  Retention of particular records (or deferral of transfer) by Departments is allowed only if such records are covered by certificates </w:t>
      </w:r>
      <w:r w:rsidRPr="00D86E22">
        <w:rPr>
          <w:shd w:val="clear" w:color="auto" w:fill="FFFFFF"/>
        </w:rPr>
        <w:t>("</w:t>
      </w:r>
      <w:r w:rsidRPr="00D86E22">
        <w:rPr>
          <w:b/>
          <w:shd w:val="clear" w:color="auto" w:fill="FFFFFF"/>
        </w:rPr>
        <w:t>Section 8 Certificate</w:t>
      </w:r>
      <w:r w:rsidRPr="00D86E22">
        <w:rPr>
          <w:shd w:val="clear" w:color="auto" w:fill="FFFFFF"/>
        </w:rPr>
        <w:t>")</w:t>
      </w:r>
      <w:r w:rsidRPr="00C71F5A">
        <w:t>, issued by an officer of the Department, stating either that:-</w:t>
      </w:r>
    </w:p>
    <w:p w:rsidR="00DA7492" w:rsidRPr="00D86A8D" w:rsidRDefault="00DA7492" w:rsidP="00DA7492">
      <w:pPr>
        <w:pStyle w:val="ListParagraph"/>
        <w:rPr>
          <w:rFonts w:cs="Arial"/>
          <w:sz w:val="20"/>
          <w:szCs w:val="20"/>
        </w:rPr>
      </w:pPr>
    </w:p>
    <w:p w:rsidR="00DA7492" w:rsidRPr="00C71F5A" w:rsidRDefault="00DA7492" w:rsidP="00D86E22">
      <w:pPr>
        <w:pStyle w:val="ListParagraph"/>
        <w:widowControl/>
        <w:numPr>
          <w:ilvl w:val="0"/>
          <w:numId w:val="27"/>
        </w:numPr>
        <w:contextualSpacing w:val="0"/>
        <w:rPr>
          <w:rFonts w:cs="Arial"/>
        </w:rPr>
      </w:pPr>
      <w:r w:rsidRPr="00C71F5A">
        <w:rPr>
          <w:rFonts w:cs="Arial"/>
        </w:rPr>
        <w:t>they are in regular use in the Department or are required in connection with its administration;</w:t>
      </w:r>
      <w:r w:rsidRPr="00C71F5A">
        <w:rPr>
          <w:rStyle w:val="FootnoteReference"/>
          <w:rFonts w:cs="Arial"/>
        </w:rPr>
        <w:footnoteReference w:id="320"/>
      </w:r>
      <w:r w:rsidRPr="00C71F5A">
        <w:rPr>
          <w:rFonts w:cs="Arial"/>
        </w:rPr>
        <w:t xml:space="preserve"> or</w:t>
      </w:r>
    </w:p>
    <w:p w:rsidR="00DA7492" w:rsidRPr="00D86A8D" w:rsidRDefault="00DA7492" w:rsidP="00DA7492">
      <w:pPr>
        <w:pStyle w:val="ListParagraph"/>
        <w:ind w:left="709"/>
        <w:rPr>
          <w:rFonts w:cs="Arial"/>
          <w:sz w:val="20"/>
          <w:szCs w:val="20"/>
        </w:rPr>
      </w:pPr>
    </w:p>
    <w:p w:rsidR="00DA7492" w:rsidRPr="00C71F5A" w:rsidRDefault="00DA7492" w:rsidP="00DA7492">
      <w:pPr>
        <w:pStyle w:val="ListParagraph"/>
        <w:ind w:left="1440" w:hanging="720"/>
        <w:rPr>
          <w:rFonts w:cs="Arial"/>
          <w:color w:val="C00000"/>
        </w:rPr>
      </w:pPr>
      <w:r w:rsidRPr="00C71F5A">
        <w:rPr>
          <w:rFonts w:cs="Arial"/>
        </w:rPr>
        <w:t>(ii)</w:t>
      </w:r>
      <w:r w:rsidRPr="00C71F5A">
        <w:rPr>
          <w:rFonts w:cs="Arial"/>
        </w:rPr>
        <w:tab/>
        <w:t>making them available for public inspection would or might be contrary to public interest, constitute a breach of statutory duty or good faith on the ground of confidentiality, or cause distress or danger to living persons on the ground that they contain personal information or might be likely to lead to an action for damages for defamatio</w:t>
      </w:r>
      <w:r w:rsidRPr="00D86E22">
        <w:rPr>
          <w:rFonts w:cs="Arial"/>
          <w:shd w:val="clear" w:color="auto" w:fill="FFFFFF"/>
        </w:rPr>
        <w:t>n.</w:t>
      </w:r>
      <w:r w:rsidRPr="00C71F5A">
        <w:rPr>
          <w:rStyle w:val="FootnoteReference"/>
          <w:rFonts w:cs="Arial"/>
        </w:rPr>
        <w:footnoteReference w:id="321"/>
      </w:r>
      <w:r w:rsidRPr="00C71F5A">
        <w:rPr>
          <w:rFonts w:cs="Arial"/>
          <w:color w:val="C00000"/>
        </w:rPr>
        <w:t xml:space="preserve"> </w:t>
      </w:r>
    </w:p>
    <w:p w:rsidR="00DA7492" w:rsidRPr="00C71F5A" w:rsidRDefault="00DA7492" w:rsidP="00DA7492">
      <w:pPr>
        <w:rPr>
          <w:rFonts w:cs="Arial"/>
          <w:color w:val="C00000"/>
        </w:rPr>
      </w:pPr>
    </w:p>
    <w:p w:rsidR="00DA7492" w:rsidRPr="00D86E22" w:rsidRDefault="00DA7492" w:rsidP="00DA7492">
      <w:pPr>
        <w:rPr>
          <w:shd w:val="clear" w:color="auto" w:fill="FFFFFF"/>
        </w:rPr>
      </w:pPr>
      <w:r w:rsidRPr="00D86E22">
        <w:rPr>
          <w:shd w:val="clear" w:color="auto" w:fill="FFFFFF"/>
        </w:rPr>
        <w:t>5.67</w:t>
      </w:r>
      <w:r w:rsidRPr="00D86E22">
        <w:rPr>
          <w:shd w:val="clear" w:color="auto" w:fill="FFFFFF"/>
        </w:rPr>
        <w:tab/>
      </w:r>
      <w:r w:rsidRPr="00D86E22">
        <w:rPr>
          <w:shd w:val="clear" w:color="auto" w:fill="FFFFFF"/>
        </w:rPr>
        <w:tab/>
        <w:t>A deferral of transfer and hence retention of records within the Department on these grounds shall be reviewed at least once in every five years.</w:t>
      </w:r>
      <w:r w:rsidRPr="00D86E22">
        <w:rPr>
          <w:rStyle w:val="FootnoteReference"/>
          <w:rFonts w:cs="Arial"/>
          <w:shd w:val="clear" w:color="auto" w:fill="FFFFFF"/>
        </w:rPr>
        <w:footnoteReference w:id="322"/>
      </w:r>
      <w:r w:rsidRPr="00D86E22">
        <w:rPr>
          <w:shd w:val="clear" w:color="auto" w:fill="FFFFFF"/>
        </w:rPr>
        <w:t xml:space="preserve"> </w:t>
      </w:r>
    </w:p>
    <w:p w:rsidR="00DA7492" w:rsidRPr="00D86E22" w:rsidRDefault="00DA7492" w:rsidP="00DA7492">
      <w:pPr>
        <w:rPr>
          <w:rFonts w:cs="Arial"/>
          <w:color w:val="C00000"/>
          <w:shd w:val="clear" w:color="auto" w:fill="FFFFFF"/>
        </w:rPr>
      </w:pPr>
    </w:p>
    <w:p w:rsidR="00DA7492" w:rsidRPr="00C71F5A" w:rsidRDefault="00DA7492" w:rsidP="00C51DE0">
      <w:pPr>
        <w:pStyle w:val="ListParagraph"/>
        <w:keepNext/>
        <w:widowControl/>
        <w:numPr>
          <w:ilvl w:val="0"/>
          <w:numId w:val="28"/>
        </w:numPr>
        <w:shd w:val="clear" w:color="auto" w:fill="FFFFFF"/>
        <w:tabs>
          <w:tab w:val="clear" w:pos="1418"/>
          <w:tab w:val="left" w:pos="720"/>
        </w:tabs>
        <w:ind w:left="720" w:hanging="720"/>
        <w:contextualSpacing w:val="0"/>
        <w:rPr>
          <w:rFonts w:cs="Arial"/>
          <w:color w:val="C00000"/>
          <w:sz w:val="20"/>
        </w:rPr>
      </w:pPr>
      <w:r w:rsidRPr="00D86E22">
        <w:rPr>
          <w:rFonts w:cs="Arial"/>
          <w:i/>
          <w:color w:val="000000"/>
          <w:lang w:eastAsia="zh-HK"/>
        </w:rPr>
        <w:t>Determination of access status of archival records before transfer for open inspection</w:t>
      </w:r>
      <w:r w:rsidRPr="00C71F5A">
        <w:rPr>
          <w:rFonts w:cs="Arial"/>
          <w:color w:val="C00000"/>
        </w:rPr>
        <w:t xml:space="preserve"> </w:t>
      </w:r>
    </w:p>
    <w:p w:rsidR="00DA7492" w:rsidRPr="00D86E22" w:rsidRDefault="00DA7492" w:rsidP="00DA7492">
      <w:pPr>
        <w:pStyle w:val="ListParagraph"/>
        <w:ind w:left="864"/>
        <w:rPr>
          <w:rFonts w:cs="Arial"/>
          <w:shd w:val="clear" w:color="auto" w:fill="FFFFFF"/>
        </w:rPr>
      </w:pPr>
    </w:p>
    <w:p w:rsidR="00DA7492" w:rsidRPr="00D86E22" w:rsidRDefault="00DA7492" w:rsidP="00DA7492">
      <w:pPr>
        <w:pStyle w:val="ListParagraph"/>
        <w:shd w:val="clear" w:color="auto" w:fill="FFFFFF"/>
        <w:ind w:left="0"/>
        <w:rPr>
          <w:rFonts w:cs="Arial"/>
          <w:shd w:val="clear" w:color="auto" w:fill="FFFFFF"/>
        </w:rPr>
      </w:pPr>
      <w:r w:rsidRPr="00D86E22">
        <w:rPr>
          <w:rFonts w:cs="Arial"/>
          <w:shd w:val="clear" w:color="auto" w:fill="FFFFFF"/>
        </w:rPr>
        <w:t>5.68</w:t>
      </w:r>
      <w:r w:rsidRPr="00D86E22">
        <w:rPr>
          <w:rFonts w:cs="Arial"/>
          <w:shd w:val="clear" w:color="auto" w:fill="FFFFFF"/>
        </w:rPr>
        <w:tab/>
      </w:r>
      <w:r w:rsidRPr="00D86E22">
        <w:rPr>
          <w:rFonts w:cs="Arial"/>
          <w:shd w:val="clear" w:color="auto" w:fill="FFFFFF"/>
        </w:rPr>
        <w:tab/>
        <w:t>The 1986 Act does not require a Department to specify the access status of records before they are transferred to the NAI.  Departmental records with a Section 8 Certificate may still be transferred to the NAI for preservation, but shall not be made available to the public.</w:t>
      </w:r>
      <w:r w:rsidRPr="00D86E22">
        <w:rPr>
          <w:rStyle w:val="FootnoteReference"/>
          <w:rFonts w:cs="Arial"/>
          <w:shd w:val="clear" w:color="auto" w:fill="FFFFFF"/>
        </w:rPr>
        <w:footnoteReference w:id="323"/>
      </w:r>
    </w:p>
    <w:p w:rsidR="00DA7492" w:rsidRPr="00960985" w:rsidRDefault="00DA7492" w:rsidP="00DA7492">
      <w:pPr>
        <w:pStyle w:val="ListParagraph"/>
        <w:shd w:val="clear" w:color="auto" w:fill="FFFFFF"/>
        <w:ind w:hanging="720"/>
        <w:rPr>
          <w:rFonts w:eastAsia="Bliss2" w:cs="Arial"/>
          <w:color w:val="7030A0"/>
          <w:lang w:val="en-US"/>
        </w:rPr>
      </w:pPr>
    </w:p>
    <w:p w:rsidR="00DA7492" w:rsidRPr="00C71F5A" w:rsidRDefault="00DA7492">
      <w:pPr>
        <w:pStyle w:val="ListParagraph"/>
        <w:shd w:val="clear" w:color="auto" w:fill="FFFFFF"/>
        <w:ind w:hanging="720"/>
        <w:rPr>
          <w:rFonts w:eastAsia="Bliss2" w:cs="Arial"/>
          <w:i/>
        </w:rPr>
      </w:pPr>
      <w:r w:rsidRPr="00C71F5A">
        <w:rPr>
          <w:rFonts w:eastAsia="Bliss2" w:cs="Arial"/>
          <w:i/>
        </w:rPr>
        <w:t>New Zealand</w:t>
      </w:r>
    </w:p>
    <w:p w:rsidR="00DA7492" w:rsidRPr="00C71F5A" w:rsidRDefault="00DA7492">
      <w:pPr>
        <w:pStyle w:val="ListParagraph"/>
        <w:shd w:val="clear" w:color="auto" w:fill="FFFFFF"/>
        <w:ind w:hanging="720"/>
        <w:rPr>
          <w:rFonts w:eastAsia="Bliss2" w:cs="Arial"/>
        </w:rPr>
      </w:pPr>
    </w:p>
    <w:p w:rsidR="00DA7492" w:rsidRPr="00C71F5A" w:rsidRDefault="00DA7492" w:rsidP="00C51DE0">
      <w:pPr>
        <w:pStyle w:val="ListParagraph"/>
        <w:widowControl/>
        <w:numPr>
          <w:ilvl w:val="0"/>
          <w:numId w:val="32"/>
        </w:numPr>
        <w:shd w:val="clear" w:color="auto" w:fill="FFFFFF"/>
        <w:tabs>
          <w:tab w:val="clear" w:pos="1418"/>
          <w:tab w:val="left" w:pos="720"/>
        </w:tabs>
        <w:ind w:left="720" w:hanging="720"/>
        <w:contextualSpacing w:val="0"/>
        <w:rPr>
          <w:rFonts w:eastAsia="Bliss2" w:cs="Arial"/>
          <w:i/>
          <w:sz w:val="20"/>
        </w:rPr>
      </w:pPr>
      <w:r w:rsidRPr="00C71F5A">
        <w:rPr>
          <w:rFonts w:eastAsia="Bliss2" w:cs="Arial"/>
          <w:i/>
        </w:rPr>
        <w:t xml:space="preserve">Deferral of transfer of time-expired records  </w:t>
      </w:r>
    </w:p>
    <w:p w:rsidR="00DA7492" w:rsidRPr="00C71F5A" w:rsidRDefault="00DA7492">
      <w:pPr>
        <w:pStyle w:val="ListParagraph"/>
        <w:shd w:val="clear" w:color="auto" w:fill="FFFFFF"/>
        <w:ind w:hanging="720"/>
        <w:rPr>
          <w:rFonts w:eastAsia="Bliss2" w:cs="Arial"/>
        </w:rPr>
      </w:pPr>
    </w:p>
    <w:p w:rsidR="00DA7492" w:rsidRDefault="00DA7492" w:rsidP="00DA7492">
      <w:r w:rsidRPr="00C71F5A">
        <w:rPr>
          <w:rFonts w:eastAsia="Bliss2"/>
        </w:rPr>
        <w:t>5.</w:t>
      </w:r>
      <w:r>
        <w:rPr>
          <w:rFonts w:eastAsia="Bliss2"/>
        </w:rPr>
        <w:t>69</w:t>
      </w:r>
      <w:r w:rsidRPr="00C71F5A">
        <w:rPr>
          <w:rFonts w:eastAsia="Bliss2"/>
        </w:rPr>
        <w:tab/>
      </w:r>
      <w:r w:rsidRPr="00C71F5A">
        <w:rPr>
          <w:rFonts w:eastAsia="Bliss2"/>
        </w:rPr>
        <w:tab/>
        <w:t xml:space="preserve">The </w:t>
      </w:r>
      <w:r w:rsidRPr="00C71F5A">
        <w:t>2005 Act makes it a mandatory requirement for every public office to transfer their records that have been in existence for 25 years to the archival authority, except where transfer is deferred in accordance with the Act.</w:t>
      </w:r>
      <w:r w:rsidRPr="00C71F5A">
        <w:rPr>
          <w:rStyle w:val="FootnoteReference"/>
          <w:rFonts w:cs="Arial"/>
        </w:rPr>
        <w:footnoteReference w:id="324"/>
      </w:r>
      <w:r w:rsidRPr="00C71F5A">
        <w:t xml:space="preserve"> </w:t>
      </w:r>
    </w:p>
    <w:p w:rsidR="00DA7492" w:rsidRDefault="00DA7492" w:rsidP="00DA7492"/>
    <w:p w:rsidR="00DA7492" w:rsidRPr="00C71F5A" w:rsidRDefault="00DA7492" w:rsidP="00DA7492">
      <w:pPr>
        <w:rPr>
          <w:rFonts w:cs="Arial"/>
        </w:rPr>
      </w:pPr>
      <w:r w:rsidRPr="00C71F5A">
        <w:rPr>
          <w:rFonts w:cs="Arial"/>
        </w:rPr>
        <w:t>5.</w:t>
      </w:r>
      <w:r>
        <w:rPr>
          <w:rFonts w:cs="Arial"/>
        </w:rPr>
        <w:t>70</w:t>
      </w:r>
      <w:r w:rsidRPr="00C71F5A">
        <w:rPr>
          <w:rFonts w:cs="Arial"/>
        </w:rPr>
        <w:tab/>
      </w:r>
      <w:r w:rsidRPr="00C71F5A">
        <w:rPr>
          <w:rFonts w:cs="Arial"/>
        </w:rPr>
        <w:tab/>
        <w:t xml:space="preserve">Situations in which a transfer of records may be deferred include the following ones:   </w:t>
      </w:r>
    </w:p>
    <w:p w:rsidR="00DA7492" w:rsidRPr="00C71F5A" w:rsidRDefault="00DA7492">
      <w:pPr>
        <w:ind w:left="720" w:hanging="720"/>
        <w:rPr>
          <w:rFonts w:cs="Arial"/>
        </w:rPr>
      </w:pPr>
    </w:p>
    <w:p w:rsidR="00DA7492" w:rsidRPr="00C71F5A" w:rsidRDefault="00DA7492" w:rsidP="00D86E22">
      <w:pPr>
        <w:pStyle w:val="ListParagraph"/>
        <w:widowControl/>
        <w:numPr>
          <w:ilvl w:val="0"/>
          <w:numId w:val="26"/>
        </w:numPr>
        <w:ind w:left="1440"/>
        <w:contextualSpacing w:val="0"/>
        <w:rPr>
          <w:rFonts w:cs="Arial"/>
        </w:rPr>
      </w:pPr>
      <w:r w:rsidRPr="00C71F5A">
        <w:rPr>
          <w:rFonts w:cs="Arial"/>
        </w:rPr>
        <w:t xml:space="preserve">the administrative head of the controlling public office and the Chief Archivist agree to the deferral; or </w:t>
      </w:r>
    </w:p>
    <w:p w:rsidR="00DA7492" w:rsidRPr="00C51DE0" w:rsidRDefault="00DA7492">
      <w:pPr>
        <w:pStyle w:val="ListParagraph"/>
        <w:ind w:left="1440" w:hanging="720"/>
        <w:rPr>
          <w:rFonts w:cs="Arial"/>
          <w:sz w:val="20"/>
          <w:szCs w:val="20"/>
        </w:rPr>
      </w:pPr>
    </w:p>
    <w:p w:rsidR="00DA7492" w:rsidRPr="00C71F5A" w:rsidRDefault="00DA7492" w:rsidP="00D86E22">
      <w:pPr>
        <w:pStyle w:val="ListParagraph"/>
        <w:widowControl/>
        <w:numPr>
          <w:ilvl w:val="0"/>
          <w:numId w:val="26"/>
        </w:numPr>
        <w:ind w:left="1440"/>
        <w:contextualSpacing w:val="0"/>
        <w:rPr>
          <w:rFonts w:cs="Arial"/>
        </w:rPr>
      </w:pPr>
      <w:r w:rsidRPr="00C71F5A">
        <w:rPr>
          <w:rFonts w:cs="Arial"/>
        </w:rPr>
        <w:t>the Minister responsible for the controlling public office, after consultation with the Minister responsible for the ANZ, issue a certificate that the transfer may be deferred for a specified period on certain specified circumstances.</w:t>
      </w:r>
      <w:r w:rsidRPr="00C71F5A">
        <w:rPr>
          <w:rStyle w:val="FootnoteReference"/>
          <w:rFonts w:cs="Arial"/>
        </w:rPr>
        <w:footnoteReference w:id="325"/>
      </w:r>
      <w:r w:rsidRPr="00C71F5A">
        <w:rPr>
          <w:rFonts w:cs="Arial"/>
        </w:rPr>
        <w:t xml:space="preserve"> </w:t>
      </w:r>
    </w:p>
    <w:p w:rsidR="00DA7492" w:rsidRPr="00C71F5A" w:rsidRDefault="00DA7492">
      <w:pPr>
        <w:pStyle w:val="ListParagraph"/>
        <w:ind w:hanging="720"/>
        <w:rPr>
          <w:rFonts w:cs="Arial"/>
        </w:rPr>
      </w:pPr>
    </w:p>
    <w:p w:rsidR="00DA7492" w:rsidRPr="00C71F5A" w:rsidRDefault="00DA7492">
      <w:r w:rsidRPr="00C71F5A">
        <w:t>5.</w:t>
      </w:r>
      <w:r>
        <w:t>71</w:t>
      </w:r>
      <w:r w:rsidRPr="00C71F5A">
        <w:tab/>
      </w:r>
      <w:r w:rsidRPr="00C71F5A">
        <w:tab/>
        <w:t>A deferral of transfer is required by law to be noted in the register of deferred transfers which should be open for public inspection.  The administrative head of a controlling public office may appeal to the Minister against the Chief Archivist</w:t>
      </w:r>
      <w:r>
        <w:t>'</w:t>
      </w:r>
      <w:r w:rsidRPr="00C71F5A">
        <w:t>s refusal to its request to defer transfer.</w:t>
      </w:r>
      <w:r w:rsidRPr="00C71F5A">
        <w:rPr>
          <w:rStyle w:val="FootnoteReference"/>
          <w:rFonts w:cs="Arial"/>
        </w:rPr>
        <w:footnoteReference w:id="326"/>
      </w:r>
      <w:r w:rsidRPr="00C71F5A">
        <w:t xml:space="preserve">  If the deferral is made on ground (i) above, the maximum period of deferral is five years for each application.</w:t>
      </w:r>
      <w:r w:rsidRPr="00C71F5A">
        <w:rPr>
          <w:rStyle w:val="FootnoteReference"/>
          <w:rFonts w:cs="Arial"/>
        </w:rPr>
        <w:footnoteReference w:id="327"/>
      </w:r>
      <w:r w:rsidRPr="00C71F5A">
        <w:t xml:space="preserve">  A deferral made under ground (ii) above may be renewed by the responsible Minister for the controlling office after consultation with the Minister responsible for ANZ.</w:t>
      </w:r>
      <w:r w:rsidRPr="00C71F5A">
        <w:rPr>
          <w:rStyle w:val="FootnoteReference"/>
          <w:rFonts w:cs="Arial"/>
        </w:rPr>
        <w:footnoteReference w:id="328"/>
      </w:r>
      <w:r w:rsidRPr="00C71F5A">
        <w:t xml:space="preserve"> </w:t>
      </w:r>
    </w:p>
    <w:p w:rsidR="00DA7492" w:rsidRPr="00C71F5A" w:rsidRDefault="00DA7492">
      <w:pPr>
        <w:pStyle w:val="ListParagraph"/>
        <w:ind w:firstLine="475"/>
        <w:rPr>
          <w:rFonts w:cs="Arial"/>
        </w:rPr>
      </w:pPr>
    </w:p>
    <w:p w:rsidR="00DA7492" w:rsidRPr="00C71F5A" w:rsidRDefault="00DA7492" w:rsidP="00943AA7">
      <w:pPr>
        <w:pStyle w:val="ListParagraph"/>
        <w:widowControl/>
        <w:numPr>
          <w:ilvl w:val="0"/>
          <w:numId w:val="31"/>
        </w:numPr>
        <w:shd w:val="clear" w:color="auto" w:fill="FFFFFF"/>
        <w:tabs>
          <w:tab w:val="clear" w:pos="1418"/>
          <w:tab w:val="left" w:pos="720"/>
        </w:tabs>
        <w:ind w:left="720" w:hanging="720"/>
        <w:contextualSpacing w:val="0"/>
        <w:rPr>
          <w:rFonts w:cs="Arial"/>
          <w:sz w:val="20"/>
        </w:rPr>
      </w:pPr>
      <w:r w:rsidRPr="00D86E22">
        <w:rPr>
          <w:rFonts w:cs="Arial"/>
          <w:i/>
          <w:color w:val="000000"/>
          <w:lang w:eastAsia="zh-HK"/>
        </w:rPr>
        <w:t>Determination of access status of archival records before transfer for open inspection</w:t>
      </w:r>
      <w:r w:rsidRPr="00C71F5A">
        <w:rPr>
          <w:rFonts w:cs="Arial"/>
          <w:sz w:val="20"/>
        </w:rPr>
        <w:t xml:space="preserve"> </w:t>
      </w:r>
    </w:p>
    <w:p w:rsidR="00DA7492" w:rsidRPr="00C71F5A" w:rsidRDefault="00DA7492">
      <w:pPr>
        <w:pStyle w:val="ListParagraph"/>
        <w:ind w:firstLine="475"/>
        <w:rPr>
          <w:rFonts w:cs="Arial"/>
        </w:rPr>
      </w:pPr>
    </w:p>
    <w:p w:rsidR="00DA7492" w:rsidRPr="00C71F5A" w:rsidRDefault="00DA7492">
      <w:r w:rsidRPr="00C71F5A">
        <w:t>5.</w:t>
      </w:r>
      <w:r>
        <w:t>72</w:t>
      </w:r>
      <w:r w:rsidRPr="00C71F5A">
        <w:tab/>
      </w:r>
      <w:r w:rsidRPr="00C71F5A">
        <w:tab/>
        <w:t>The 2005 Act requires public offices to classify the access status of their records that have been in existence for 25 years, or are about to be transferred to the ANZ.  The classification should either be: (a) open access records; or (b) restricted access records, based on the following considerations:</w:t>
      </w:r>
    </w:p>
    <w:p w:rsidR="00DA7492" w:rsidRPr="00C71F5A" w:rsidRDefault="00DA7492">
      <w:pPr>
        <w:pStyle w:val="ListParagraph"/>
        <w:shd w:val="clear" w:color="auto" w:fill="FFFFFF"/>
        <w:ind w:left="1418"/>
        <w:rPr>
          <w:rFonts w:cs="Arial"/>
        </w:rPr>
      </w:pPr>
    </w:p>
    <w:p w:rsidR="00DA7492" w:rsidRPr="00C71F5A" w:rsidRDefault="00DA7492">
      <w:pPr>
        <w:pStyle w:val="ListParagraph"/>
        <w:shd w:val="clear" w:color="auto" w:fill="FFFFFF"/>
        <w:ind w:left="1440" w:hanging="720"/>
        <w:rPr>
          <w:rFonts w:cs="Arial"/>
        </w:rPr>
      </w:pPr>
      <w:r w:rsidRPr="00C71F5A">
        <w:rPr>
          <w:rFonts w:cs="Arial"/>
        </w:rPr>
        <w:t xml:space="preserve">(i) </w:t>
      </w:r>
      <w:r w:rsidRPr="00C71F5A">
        <w:rPr>
          <w:rFonts w:cs="Arial"/>
        </w:rPr>
        <w:tab/>
        <w:t>whether there are good reasons to restrict public access to the public record, having regard to any relevant standards or advice issued by the Chief Archivist; or</w:t>
      </w:r>
    </w:p>
    <w:p w:rsidR="00DA7492" w:rsidRPr="00C71F5A" w:rsidRDefault="00DA7492">
      <w:pPr>
        <w:pStyle w:val="ListParagraph"/>
        <w:shd w:val="clear" w:color="auto" w:fill="FFFFFF"/>
        <w:ind w:left="1440" w:hanging="720"/>
        <w:rPr>
          <w:rFonts w:cs="Arial"/>
        </w:rPr>
      </w:pPr>
    </w:p>
    <w:p w:rsidR="00DA7492" w:rsidRPr="00C71F5A" w:rsidRDefault="00DA7492">
      <w:pPr>
        <w:pStyle w:val="ListParagraph"/>
        <w:shd w:val="clear" w:color="auto" w:fill="FFFFFF"/>
        <w:ind w:left="1440" w:hanging="720"/>
        <w:rPr>
          <w:rFonts w:cs="Arial"/>
        </w:rPr>
      </w:pPr>
      <w:r w:rsidRPr="00C71F5A">
        <w:rPr>
          <w:rFonts w:cs="Arial"/>
        </w:rPr>
        <w:t xml:space="preserve">(ii) </w:t>
      </w:r>
      <w:r w:rsidRPr="00C71F5A">
        <w:rPr>
          <w:rFonts w:cs="Arial"/>
        </w:rPr>
        <w:tab/>
        <w:t>whether another enactment requires the public record to be withheld from public access.</w:t>
      </w:r>
      <w:r w:rsidRPr="00C71F5A">
        <w:rPr>
          <w:rStyle w:val="FootnoteReference"/>
          <w:rFonts w:cs="Arial"/>
        </w:rPr>
        <w:footnoteReference w:id="329"/>
      </w:r>
      <w:r w:rsidRPr="00C71F5A">
        <w:rPr>
          <w:rFonts w:cs="Arial"/>
        </w:rPr>
        <w:t xml:space="preserve"> </w:t>
      </w:r>
    </w:p>
    <w:p w:rsidR="00DA7492" w:rsidRPr="00C71F5A" w:rsidRDefault="00DA7492">
      <w:pPr>
        <w:pStyle w:val="ListParagraph"/>
        <w:ind w:left="0"/>
        <w:rPr>
          <w:rFonts w:cs="Arial"/>
          <w:b/>
        </w:rPr>
      </w:pPr>
    </w:p>
    <w:p w:rsidR="00DA7492" w:rsidRPr="00C71F5A" w:rsidRDefault="00DA7492">
      <w:pPr>
        <w:pStyle w:val="Heading4"/>
      </w:pPr>
      <w:r w:rsidRPr="00C71F5A">
        <w:t>Singapore</w:t>
      </w:r>
    </w:p>
    <w:p w:rsidR="00DA7492" w:rsidRPr="00C71F5A" w:rsidRDefault="00DA7492">
      <w:pPr>
        <w:pStyle w:val="ListParagraph"/>
        <w:rPr>
          <w:rFonts w:cs="Arial"/>
        </w:rPr>
      </w:pPr>
    </w:p>
    <w:p w:rsidR="00DA7492" w:rsidRPr="00D86E22" w:rsidRDefault="00DA7492">
      <w:pPr>
        <w:rPr>
          <w:shd w:val="clear" w:color="auto" w:fill="FFFFFF"/>
        </w:rPr>
      </w:pPr>
      <w:r w:rsidRPr="00D86E22">
        <w:rPr>
          <w:shd w:val="clear" w:color="auto" w:fill="FFFFFF"/>
        </w:rPr>
        <w:t>5.73</w:t>
      </w:r>
      <w:r w:rsidRPr="00D86E22">
        <w:rPr>
          <w:shd w:val="clear" w:color="auto" w:fill="FFFFFF"/>
        </w:rPr>
        <w:tab/>
      </w:r>
      <w:r w:rsidRPr="00D86E22">
        <w:rPr>
          <w:shd w:val="clear" w:color="auto" w:fill="FFFFFF"/>
        </w:rPr>
        <w:tab/>
        <w:t>The NLBA does not provide for deferral of transfer, or determination of the access status before transfer of records.  Nor is there any published guideline on this.  The relevant provision in the NLBA is less specific and more open-ended:-</w:t>
      </w:r>
    </w:p>
    <w:p w:rsidR="00DA7492" w:rsidRPr="00D86E22" w:rsidRDefault="00DA7492">
      <w:pPr>
        <w:pStyle w:val="ListParagraph"/>
        <w:rPr>
          <w:rFonts w:cs="Arial"/>
          <w:shd w:val="clear" w:color="auto" w:fill="FFFFFF"/>
        </w:rPr>
      </w:pPr>
    </w:p>
    <w:p w:rsidR="00DA7492" w:rsidRPr="00D86E22" w:rsidRDefault="00DA7492">
      <w:pPr>
        <w:pStyle w:val="BlockText"/>
        <w:rPr>
          <w:shd w:val="clear" w:color="auto" w:fill="FFFFFF"/>
        </w:rPr>
      </w:pPr>
      <w:r w:rsidRPr="00D86E22">
        <w:rPr>
          <w:shd w:val="clear" w:color="auto" w:fill="FFFFFF"/>
        </w:rPr>
        <w:t>"Any public records which, in the opinion of the [NLB], are of national or historical significance shall be transferred to the care and control of the [NAS] in accordance with such schedules or other agreements for the transfer of records as may be agreed on between the [NLB] and the public office responsible for the public records."</w:t>
      </w:r>
      <w:r w:rsidRPr="00D86E22">
        <w:rPr>
          <w:rStyle w:val="FootnoteReference"/>
          <w:rFonts w:cs="Arial"/>
          <w:shd w:val="clear" w:color="auto" w:fill="FFFFFF"/>
        </w:rPr>
        <w:footnoteReference w:id="330"/>
      </w:r>
    </w:p>
    <w:p w:rsidR="00DA7492" w:rsidRPr="00D86E22" w:rsidRDefault="00DA7492">
      <w:pPr>
        <w:pStyle w:val="ListParagraph"/>
        <w:ind w:left="993" w:rightChars="212" w:right="509"/>
        <w:rPr>
          <w:rFonts w:cs="Arial"/>
          <w:shd w:val="clear" w:color="auto" w:fill="FFFFFF"/>
        </w:rPr>
      </w:pPr>
    </w:p>
    <w:p w:rsidR="00DA7492" w:rsidRPr="00D86E22" w:rsidRDefault="00DA7492">
      <w:pPr>
        <w:rPr>
          <w:shd w:val="clear" w:color="auto" w:fill="FFFFFF"/>
        </w:rPr>
      </w:pPr>
      <w:r w:rsidRPr="00D86E22">
        <w:rPr>
          <w:shd w:val="clear" w:color="auto" w:fill="FFFFFF"/>
        </w:rPr>
        <w:t>5.74</w:t>
      </w:r>
      <w:r w:rsidRPr="00D86E22">
        <w:rPr>
          <w:shd w:val="clear" w:color="auto" w:fill="FFFFFF"/>
        </w:rPr>
        <w:tab/>
      </w:r>
      <w:r w:rsidRPr="00D86E22">
        <w:rPr>
          <w:shd w:val="clear" w:color="auto" w:fill="FFFFFF"/>
        </w:rPr>
        <w:tab/>
        <w:t>However, the Act also provides for a right to inspect "public archives" which is defined as "</w:t>
      </w:r>
      <w:r w:rsidRPr="00D86E22">
        <w:rPr>
          <w:i/>
          <w:shd w:val="clear" w:color="auto" w:fill="FFFFFF"/>
        </w:rPr>
        <w:t>public records that: (a) are more than 25 years old; (b) are specified by the Board as being of national or historical significance; and (c) have been transferred to the Board</w:t>
      </w:r>
      <w:r w:rsidRPr="00D86E22">
        <w:rPr>
          <w:shd w:val="clear" w:color="auto" w:fill="FFFFFF"/>
        </w:rPr>
        <w:t xml:space="preserve">…".  It appears therefore that the yardstick is 25 years.   </w:t>
      </w:r>
    </w:p>
    <w:p w:rsidR="00DA7492" w:rsidRPr="00C71F5A" w:rsidRDefault="00DA7492">
      <w:pPr>
        <w:pStyle w:val="ListParagraph"/>
        <w:ind w:left="0"/>
        <w:rPr>
          <w:rFonts w:cs="Arial"/>
          <w:shd w:val="clear" w:color="auto" w:fill="FFFF99"/>
        </w:rPr>
      </w:pPr>
    </w:p>
    <w:p w:rsidR="00DA7492" w:rsidRPr="00C71F5A" w:rsidRDefault="00DA7492">
      <w:pPr>
        <w:pStyle w:val="ListParagraph"/>
        <w:ind w:leftChars="-11" w:left="-4" w:hangingChars="9" w:hanging="22"/>
        <w:rPr>
          <w:rFonts w:cs="Arial"/>
          <w:b/>
          <w:u w:val="single"/>
        </w:rPr>
      </w:pPr>
    </w:p>
    <w:p w:rsidR="00DA7492" w:rsidRPr="00D86E22" w:rsidRDefault="00DA7492">
      <w:pPr>
        <w:pStyle w:val="Heading2"/>
        <w:rPr>
          <w:shd w:val="clear" w:color="auto" w:fill="FFFFFF"/>
        </w:rPr>
      </w:pPr>
      <w:r w:rsidRPr="00D86E22">
        <w:rPr>
          <w:shd w:val="clear" w:color="auto" w:fill="FFFFFF"/>
        </w:rPr>
        <w:t xml:space="preserve">Issues for </w:t>
      </w:r>
      <w:r w:rsidRPr="00D86E22">
        <w:rPr>
          <w:rFonts w:hint="eastAsia"/>
          <w:shd w:val="clear" w:color="auto" w:fill="FFFFFF"/>
        </w:rPr>
        <w:t>p</w:t>
      </w:r>
      <w:r w:rsidRPr="00D86E22">
        <w:rPr>
          <w:shd w:val="clear" w:color="auto" w:fill="FFFFFF"/>
        </w:rPr>
        <w:t xml:space="preserve">ublic </w:t>
      </w:r>
      <w:r w:rsidRPr="00D86E22">
        <w:rPr>
          <w:rFonts w:hint="eastAsia"/>
          <w:shd w:val="clear" w:color="auto" w:fill="FFFFFF"/>
        </w:rPr>
        <w:t>c</w:t>
      </w:r>
      <w:r w:rsidRPr="00D86E22">
        <w:rPr>
          <w:shd w:val="clear" w:color="auto" w:fill="FFFFFF"/>
        </w:rPr>
        <w:t>onsultation</w:t>
      </w:r>
    </w:p>
    <w:p w:rsidR="00DA7492" w:rsidRPr="00D86E22" w:rsidRDefault="00DA7492" w:rsidP="00DA7492">
      <w:pPr>
        <w:keepNext/>
        <w:rPr>
          <w:rFonts w:cs="Arial"/>
          <w:shd w:val="clear" w:color="auto" w:fill="FFFFFF"/>
        </w:rPr>
      </w:pPr>
    </w:p>
    <w:p w:rsidR="00DA7492" w:rsidRPr="00D86E22" w:rsidRDefault="00DA7492">
      <w:pPr>
        <w:rPr>
          <w:shd w:val="clear" w:color="auto" w:fill="FFFFFF"/>
        </w:rPr>
      </w:pPr>
      <w:r w:rsidRPr="00D86E22">
        <w:rPr>
          <w:shd w:val="clear" w:color="auto" w:fill="FFFFFF"/>
        </w:rPr>
        <w:t>5.75</w:t>
      </w:r>
      <w:r w:rsidRPr="00D86E22">
        <w:rPr>
          <w:shd w:val="clear" w:color="auto" w:fill="FFFFFF"/>
        </w:rPr>
        <w:tab/>
      </w:r>
      <w:r w:rsidRPr="00D86E22">
        <w:rPr>
          <w:rFonts w:hint="eastAsia"/>
          <w:shd w:val="clear" w:color="auto" w:fill="FFFFFF"/>
        </w:rPr>
        <w:tab/>
      </w:r>
      <w:r w:rsidRPr="00D86E22">
        <w:rPr>
          <w:shd w:val="clear" w:color="auto" w:fill="FFFFFF"/>
        </w:rPr>
        <w:t>On the issue of transfer of records, the RAMP Study</w:t>
      </w:r>
      <w:r w:rsidRPr="00C71F5A">
        <w:t xml:space="preserve"> o</w:t>
      </w:r>
      <w:r w:rsidRPr="00D86E22">
        <w:rPr>
          <w:shd w:val="clear" w:color="auto" w:fill="FFFFFF"/>
        </w:rPr>
        <w:t>bserved that:-</w:t>
      </w:r>
    </w:p>
    <w:p w:rsidR="00DA7492" w:rsidRPr="00D86E22" w:rsidRDefault="00DA7492">
      <w:pPr>
        <w:pStyle w:val="ListParagraph"/>
        <w:rPr>
          <w:rFonts w:cs="Arial"/>
          <w:shd w:val="clear" w:color="auto" w:fill="FFFFFF"/>
        </w:rPr>
      </w:pPr>
    </w:p>
    <w:p w:rsidR="00DA7492" w:rsidRPr="00D86E22" w:rsidRDefault="00DA7492">
      <w:pPr>
        <w:pStyle w:val="BlockText"/>
        <w:rPr>
          <w:shd w:val="clear" w:color="auto" w:fill="FFFFFF"/>
        </w:rPr>
      </w:pPr>
      <w:r w:rsidRPr="00D86E22">
        <w:rPr>
          <w:i w:val="0"/>
          <w:shd w:val="clear" w:color="auto" w:fill="FFFFFF"/>
        </w:rPr>
        <w:t>"</w:t>
      </w:r>
      <w:r w:rsidRPr="00D86E22">
        <w:rPr>
          <w:shd w:val="clear" w:color="auto" w:fill="FFFFFF"/>
        </w:rPr>
        <w:t>…</w:t>
      </w:r>
      <w:r w:rsidRPr="00D86E22">
        <w:rPr>
          <w:rFonts w:hint="eastAsia"/>
          <w:shd w:val="clear" w:color="auto" w:fill="FFFFFF"/>
        </w:rPr>
        <w:t xml:space="preserve"> </w:t>
      </w:r>
      <w:r w:rsidRPr="00D86E22">
        <w:rPr>
          <w:shd w:val="clear" w:color="auto" w:fill="FFFFFF"/>
        </w:rPr>
        <w:t>The following aspects of transfer should attract the attention of the legislator:</w:t>
      </w:r>
    </w:p>
    <w:p w:rsidR="00DA7492" w:rsidRPr="00D86E22" w:rsidRDefault="00DA7492">
      <w:pPr>
        <w:pStyle w:val="ListParagraph"/>
        <w:ind w:left="993" w:rightChars="271" w:right="650"/>
        <w:rPr>
          <w:rFonts w:cs="Arial"/>
          <w:i/>
          <w:shd w:val="clear" w:color="auto" w:fill="FFFFFF"/>
        </w:rPr>
      </w:pPr>
    </w:p>
    <w:p w:rsidR="00DA7492" w:rsidRPr="00D86E22" w:rsidRDefault="00DA7492">
      <w:pPr>
        <w:pStyle w:val="Legislationindent1"/>
        <w:rPr>
          <w:shd w:val="clear" w:color="auto" w:fill="FFFFFF"/>
        </w:rPr>
      </w:pPr>
      <w:r w:rsidRPr="00D86E22">
        <w:rPr>
          <w:rFonts w:hint="eastAsia"/>
          <w:shd w:val="clear" w:color="auto" w:fill="FFFFFF"/>
        </w:rPr>
        <w:t>(i)</w:t>
      </w:r>
      <w:r w:rsidRPr="00D86E22">
        <w:rPr>
          <w:shd w:val="clear" w:color="auto" w:fill="FFFFFF"/>
        </w:rPr>
        <w:tab/>
        <w:t>Prescription of the general retention period (the number of years after their creation, that records should generally be transferred) and the transfer procedure;</w:t>
      </w:r>
    </w:p>
    <w:p w:rsidR="00DA7492" w:rsidRPr="00D86E22" w:rsidRDefault="00DA7492">
      <w:pPr>
        <w:pStyle w:val="ListParagraph"/>
        <w:ind w:left="1440" w:right="720" w:hanging="720"/>
        <w:rPr>
          <w:rFonts w:cs="Arial"/>
          <w:i/>
          <w:shd w:val="clear" w:color="auto" w:fill="FFFFFF"/>
        </w:rPr>
      </w:pPr>
    </w:p>
    <w:p w:rsidR="00DA7492" w:rsidRPr="00D86E22" w:rsidRDefault="00DA7492">
      <w:pPr>
        <w:pStyle w:val="Legislationindent1"/>
        <w:rPr>
          <w:shd w:val="clear" w:color="auto" w:fill="FFFFFF"/>
        </w:rPr>
      </w:pPr>
      <w:r w:rsidRPr="00D86E22">
        <w:rPr>
          <w:rFonts w:hint="eastAsia"/>
          <w:shd w:val="clear" w:color="auto" w:fill="FFFFFF"/>
        </w:rPr>
        <w:t>(ii)</w:t>
      </w:r>
      <w:r w:rsidRPr="00D86E22">
        <w:rPr>
          <w:shd w:val="clear" w:color="auto" w:fill="FFFFFF"/>
        </w:rPr>
        <w:tab/>
        <w:t>Statutory exceptions to the general retention period and the procedure for granting temporary exemption (postponement of transfer);</w:t>
      </w:r>
    </w:p>
    <w:p w:rsidR="00DA7492" w:rsidRPr="00D86E22" w:rsidRDefault="00DA7492">
      <w:pPr>
        <w:pStyle w:val="ListParagraph"/>
        <w:ind w:left="1440" w:right="720" w:hanging="720"/>
        <w:rPr>
          <w:rFonts w:cs="Arial"/>
          <w:i/>
          <w:shd w:val="clear" w:color="auto" w:fill="FFFFFF"/>
        </w:rPr>
      </w:pPr>
    </w:p>
    <w:p w:rsidR="00DA7492" w:rsidRPr="00D86E22" w:rsidRDefault="00DA7492">
      <w:pPr>
        <w:pStyle w:val="Legislationindent1"/>
        <w:rPr>
          <w:shd w:val="clear" w:color="auto" w:fill="FFFFFF"/>
        </w:rPr>
      </w:pPr>
      <w:r w:rsidRPr="00D86E22">
        <w:rPr>
          <w:rFonts w:hint="eastAsia"/>
          <w:shd w:val="clear" w:color="auto" w:fill="FFFFFF"/>
        </w:rPr>
        <w:t>(iii)</w:t>
      </w:r>
      <w:r w:rsidRPr="00D86E22">
        <w:rPr>
          <w:shd w:val="clear" w:color="auto" w:fill="FFFFFF"/>
        </w:rPr>
        <w:tab/>
        <w:t>Procedure for allowing transfer before the statutory retention period has elapsed; …</w:t>
      </w:r>
    </w:p>
    <w:p w:rsidR="00DA7492" w:rsidRPr="00D86E22" w:rsidRDefault="00DA7492">
      <w:pPr>
        <w:ind w:left="720" w:right="720"/>
        <w:rPr>
          <w:rFonts w:cs="Arial"/>
          <w:i/>
          <w:shd w:val="clear" w:color="auto" w:fill="FFFFFF"/>
        </w:rPr>
      </w:pPr>
    </w:p>
    <w:p w:rsidR="00DA7492" w:rsidRPr="00D86E22" w:rsidRDefault="00DA7492">
      <w:pPr>
        <w:pStyle w:val="Legislationindent1"/>
        <w:rPr>
          <w:shd w:val="clear" w:color="auto" w:fill="FFFFFF"/>
        </w:rPr>
      </w:pPr>
      <w:r w:rsidRPr="00D86E22">
        <w:rPr>
          <w:shd w:val="clear" w:color="auto" w:fill="FFFFFF"/>
        </w:rPr>
        <w:t xml:space="preserve">(vi) </w:t>
      </w:r>
      <w:r w:rsidRPr="00D86E22">
        <w:rPr>
          <w:shd w:val="clear" w:color="auto" w:fill="FFFFFF"/>
        </w:rPr>
        <w:tab/>
        <w:t>Exemption for certain government departments from the normal arrangements for transfer.</w:t>
      </w:r>
      <w:r w:rsidRPr="00D86E22">
        <w:rPr>
          <w:i w:val="0"/>
          <w:shd w:val="clear" w:color="auto" w:fill="FFFFFF"/>
        </w:rPr>
        <w:t>"</w:t>
      </w:r>
      <w:r w:rsidRPr="00D86E22">
        <w:rPr>
          <w:rFonts w:hint="eastAsia"/>
          <w:spacing w:val="-20"/>
          <w:shd w:val="clear" w:color="auto" w:fill="FFFFFF"/>
        </w:rPr>
        <w:t xml:space="preserve"> </w:t>
      </w:r>
      <w:r w:rsidRPr="00D86E22">
        <w:rPr>
          <w:rStyle w:val="FootnoteReference"/>
          <w:rFonts w:cs="Arial"/>
          <w:shd w:val="clear" w:color="auto" w:fill="FFFFFF"/>
        </w:rPr>
        <w:footnoteReference w:id="331"/>
      </w:r>
    </w:p>
    <w:p w:rsidR="00DA7492" w:rsidRPr="00D86E22" w:rsidRDefault="00DA7492">
      <w:pPr>
        <w:pStyle w:val="ListParagraph"/>
        <w:ind w:left="1440"/>
        <w:rPr>
          <w:rFonts w:cs="Arial"/>
          <w:shd w:val="clear" w:color="auto" w:fill="FFFFFF"/>
        </w:rPr>
      </w:pPr>
    </w:p>
    <w:p w:rsidR="00DA7492" w:rsidRPr="00C71F5A" w:rsidRDefault="00DA7492">
      <w:r w:rsidRPr="00D86E22">
        <w:rPr>
          <w:shd w:val="clear" w:color="auto" w:fill="FFFFFF"/>
        </w:rPr>
        <w:t>5.76</w:t>
      </w:r>
      <w:r w:rsidRPr="00D86E22">
        <w:rPr>
          <w:shd w:val="clear" w:color="auto" w:fill="FFFFFF"/>
        </w:rPr>
        <w:tab/>
      </w:r>
      <w:r w:rsidRPr="00D86E22">
        <w:rPr>
          <w:shd w:val="clear" w:color="auto" w:fill="FFFFFF"/>
        </w:rPr>
        <w:tab/>
        <w:t>As to (i) in the preceding paragraph, the general retention period (or the ultimate time limit for transfer of records to the archival authority – this will be discussed in more detail in chapter 7) is 15 years in Australia, 20</w:t>
      </w:r>
      <w:r w:rsidRPr="00D86E22">
        <w:rPr>
          <w:shd w:val="clear" w:color="auto" w:fill="FFFFFF"/>
          <w:lang w:val="en-US"/>
        </w:rPr>
        <w:t> </w:t>
      </w:r>
      <w:r w:rsidRPr="00D86E22">
        <w:rPr>
          <w:shd w:val="clear" w:color="auto" w:fill="FFFFFF"/>
        </w:rPr>
        <w:t>years in England, 25 years in New Zealand and Singapore and 30 years in Ireland.</w:t>
      </w:r>
      <w:r w:rsidRPr="00C71F5A">
        <w:rPr>
          <w:rStyle w:val="FootnoteReference"/>
          <w:rFonts w:cs="Arial"/>
        </w:rPr>
        <w:footnoteReference w:id="332"/>
      </w:r>
      <w:r w:rsidRPr="00D86E22">
        <w:rPr>
          <w:shd w:val="clear" w:color="auto" w:fill="FFFFFF"/>
        </w:rPr>
        <w:t xml:space="preserve">  Regarding (ii), there are such statutory exceptions in Australia, England, Ireland and New Zealand, with</w:t>
      </w:r>
      <w:r w:rsidRPr="00C71F5A">
        <w:t xml:space="preserve"> greater details provided in the archival authority</w:t>
      </w:r>
      <w:r>
        <w:t>'</w:t>
      </w:r>
      <w:r w:rsidRPr="00C71F5A">
        <w:t>s guidelines or policies (eg in Australia and England).  Usual grounds for deferral of transfer include continued administrative use and exceptional sensitivity, such as possible prejudice to security, defence and international relationship.</w:t>
      </w:r>
    </w:p>
    <w:p w:rsidR="00DA7492" w:rsidRPr="00D86E22" w:rsidRDefault="00DA7492">
      <w:pPr>
        <w:pStyle w:val="ListParagraph"/>
        <w:ind w:left="0"/>
        <w:rPr>
          <w:rFonts w:cs="Arial"/>
          <w:shd w:val="clear" w:color="auto" w:fill="FFFFFF"/>
        </w:rPr>
      </w:pPr>
    </w:p>
    <w:p w:rsidR="00DA7492" w:rsidRPr="00D86E22" w:rsidRDefault="00DA7492">
      <w:pPr>
        <w:rPr>
          <w:shd w:val="clear" w:color="auto" w:fill="FFFFFF"/>
        </w:rPr>
      </w:pPr>
      <w:r w:rsidRPr="00D86E22">
        <w:rPr>
          <w:shd w:val="clear" w:color="auto" w:fill="FFFFFF"/>
        </w:rPr>
        <w:t>5.77</w:t>
      </w:r>
      <w:r w:rsidRPr="00D86E22">
        <w:rPr>
          <w:shd w:val="clear" w:color="auto" w:fill="FFFFFF"/>
        </w:rPr>
        <w:tab/>
      </w:r>
      <w:r w:rsidRPr="00D86E22">
        <w:rPr>
          <w:shd w:val="clear" w:color="auto" w:fill="FFFFFF"/>
        </w:rPr>
        <w:tab/>
        <w:t>We believe that a public records and archives management system can only work effectively if there is in place an appropriate mechanism to ensure that government agencies timely and systematically transfer public records to the archival authority for appraisal of their archival value, and for records with archival value to be transferred there for preservation.  Nonetheless, for legitimate administrative purposes or the protection of sensitive information, exceptions to the normal transfer arrangement should be allowed in specific circumstances.</w:t>
      </w:r>
    </w:p>
    <w:p w:rsidR="00DA7492" w:rsidRPr="00D86E22" w:rsidRDefault="00DA7492">
      <w:pPr>
        <w:pStyle w:val="ListParagraph"/>
        <w:ind w:left="0"/>
        <w:rPr>
          <w:rFonts w:cs="Arial"/>
          <w:shd w:val="clear" w:color="auto" w:fill="FFFFFF"/>
        </w:rPr>
      </w:pPr>
    </w:p>
    <w:p w:rsidR="00DA7492" w:rsidRPr="00D86E22" w:rsidRDefault="00DA7492">
      <w:pPr>
        <w:rPr>
          <w:shd w:val="clear" w:color="auto" w:fill="FFFFFF"/>
        </w:rPr>
      </w:pPr>
      <w:r w:rsidRPr="00D86E22">
        <w:rPr>
          <w:shd w:val="clear" w:color="auto" w:fill="FFFFFF"/>
        </w:rPr>
        <w:t>5.78</w:t>
      </w:r>
      <w:r w:rsidRPr="00D86E22">
        <w:rPr>
          <w:shd w:val="clear" w:color="auto" w:fill="FFFFFF"/>
        </w:rPr>
        <w:tab/>
      </w:r>
      <w:r w:rsidRPr="00D86E22">
        <w:rPr>
          <w:shd w:val="clear" w:color="auto" w:fill="FFFFFF"/>
        </w:rPr>
        <w:tab/>
        <w:t xml:space="preserve">Secondly, the records management system should also comprise the determination of the access status of archival records based on specified criteria, for example in Australia, England and New Zealand.  </w:t>
      </w:r>
    </w:p>
    <w:p w:rsidR="00DA7492" w:rsidRPr="00D86E22" w:rsidRDefault="00DA7492">
      <w:pPr>
        <w:pStyle w:val="ListParagraph"/>
        <w:ind w:left="0"/>
        <w:rPr>
          <w:rFonts w:cs="Arial"/>
          <w:shd w:val="clear" w:color="auto" w:fill="FFFFFF"/>
        </w:rPr>
      </w:pPr>
    </w:p>
    <w:p w:rsidR="00DA7492" w:rsidRPr="00D86E22" w:rsidRDefault="00DA7492">
      <w:pPr>
        <w:rPr>
          <w:shd w:val="clear" w:color="auto" w:fill="FFFFFF"/>
        </w:rPr>
      </w:pPr>
      <w:r w:rsidRPr="00D86E22">
        <w:rPr>
          <w:shd w:val="clear" w:color="auto" w:fill="FFFFFF"/>
        </w:rPr>
        <w:t>5.79</w:t>
      </w:r>
      <w:r w:rsidRPr="00D86E22">
        <w:rPr>
          <w:shd w:val="clear" w:color="auto" w:fill="FFFFFF"/>
        </w:rPr>
        <w:tab/>
      </w:r>
      <w:r w:rsidRPr="00D86E22">
        <w:rPr>
          <w:rFonts w:hint="eastAsia"/>
          <w:shd w:val="clear" w:color="auto" w:fill="FFFFFF"/>
        </w:rPr>
        <w:tab/>
      </w:r>
      <w:r w:rsidRPr="00D86E22">
        <w:rPr>
          <w:shd w:val="clear" w:color="auto" w:fill="FFFFFF"/>
        </w:rPr>
        <w:t>We would like to consult the public on some relevant issues before making the appropriate recommendation(s) (if any).</w:t>
      </w:r>
    </w:p>
    <w:p w:rsidR="00DA7492" w:rsidRPr="00C71F5A" w:rsidRDefault="00DA7492">
      <w:pPr>
        <w:ind w:rightChars="153" w:right="367"/>
        <w:rPr>
          <w:rFonts w:cs="Arial"/>
          <w:shd w:val="clear" w:color="auto" w:fill="FFFF99"/>
        </w:rPr>
      </w:pPr>
    </w:p>
    <w:p w:rsidR="00DA7492" w:rsidRPr="00D86E22"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D86E22">
        <w:rPr>
          <w:rFonts w:cs="Arial"/>
          <w:b/>
          <w:shd w:val="clear" w:color="auto" w:fill="FFFFFF"/>
          <w:lang w:val="en-US"/>
        </w:rPr>
        <w:t>Consultation Questions 5</w:t>
      </w:r>
    </w:p>
    <w:p w:rsidR="00DA7492" w:rsidRPr="00D86E22"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D86E22"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D86E22">
        <w:rPr>
          <w:rFonts w:cs="Arial"/>
          <w:b/>
          <w:shd w:val="clear" w:color="auto" w:fill="FFFFFF"/>
          <w:lang w:val="en-US"/>
        </w:rPr>
        <w:t>(i)</w:t>
      </w:r>
      <w:r w:rsidRPr="00D86E22">
        <w:rPr>
          <w:rFonts w:cs="Arial"/>
          <w:b/>
          <w:shd w:val="clear" w:color="auto" w:fill="FFFFFF"/>
          <w:lang w:val="en-US"/>
        </w:rPr>
        <w:tab/>
        <w:t>Is the current mechanism for transfer of government records to the Public Records Office for appraisal appropriate?</w:t>
      </w:r>
    </w:p>
    <w:p w:rsidR="00DA7492" w:rsidRPr="00D86E22"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D86E22">
        <w:rPr>
          <w:rFonts w:cs="Arial"/>
          <w:b/>
          <w:shd w:val="clear" w:color="auto" w:fill="FFFFFF"/>
          <w:lang w:val="en-US"/>
        </w:rPr>
        <w:t>(ii)</w:t>
      </w:r>
      <w:r w:rsidRPr="00D86E22">
        <w:rPr>
          <w:rFonts w:cs="Arial"/>
          <w:b/>
          <w:shd w:val="clear" w:color="auto" w:fill="FFFFFF"/>
          <w:lang w:val="en-US"/>
        </w:rPr>
        <w:tab/>
        <w:t>If the answer to (i) is in the negative, in what way should the current mechanism be improved, and what are the reasons for your suggestions?</w:t>
      </w: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D86E22">
        <w:rPr>
          <w:rFonts w:cs="Arial"/>
          <w:b/>
          <w:shd w:val="clear" w:color="auto" w:fill="FFFFFF"/>
          <w:lang w:val="en-US"/>
        </w:rPr>
        <w:t>(iii)</w:t>
      </w:r>
      <w:r w:rsidRPr="00D86E22">
        <w:rPr>
          <w:rFonts w:cs="Arial"/>
          <w:b/>
          <w:shd w:val="clear" w:color="auto" w:fill="FFFFFF"/>
          <w:lang w:val="en-US"/>
        </w:rPr>
        <w:tab/>
        <w:t>Is the current arrangement for deferral of transfer of records by B/Ds appropriate?</w:t>
      </w: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D86E22">
        <w:rPr>
          <w:rFonts w:cs="Arial"/>
          <w:b/>
          <w:shd w:val="clear" w:color="auto" w:fill="FFFFFF"/>
          <w:lang w:val="en-US"/>
        </w:rPr>
        <w:t>(iv)</w:t>
      </w:r>
      <w:r w:rsidRPr="00D86E22">
        <w:rPr>
          <w:rFonts w:cs="Arial"/>
          <w:b/>
          <w:shd w:val="clear" w:color="auto" w:fill="FFFFFF"/>
          <w:lang w:val="en-US"/>
        </w:rPr>
        <w:tab/>
        <w:t>If the answer to (iii) is in the negative, in what way should the current arrangement be improved, and what are the reasons for your suggestions?</w:t>
      </w: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r w:rsidRPr="00D86E22">
        <w:rPr>
          <w:rFonts w:cs="Arial"/>
          <w:b/>
          <w:shd w:val="clear" w:color="auto" w:fill="FFFFFF"/>
          <w:lang w:val="en-US"/>
        </w:rPr>
        <w:t>(v)</w:t>
      </w:r>
      <w:r w:rsidRPr="00D86E22">
        <w:rPr>
          <w:rFonts w:cs="Arial"/>
          <w:b/>
          <w:shd w:val="clear" w:color="auto" w:fill="FFFFFF"/>
          <w:lang w:val="en-US"/>
        </w:rPr>
        <w:tab/>
        <w:t>Is the current mechanism on review and determination by B/Ds of the access status of records before their transfer to the Public Records Office for preservation and public access appropriate?</w:t>
      </w:r>
    </w:p>
    <w:p w:rsidR="00DA7492" w:rsidRPr="00D86E22" w:rsidRDefault="00DA7492" w:rsidP="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lang w:val="en-US"/>
        </w:rPr>
      </w:pPr>
    </w:p>
    <w:p w:rsidR="00DA7492" w:rsidRPr="00D86E22" w:rsidRDefault="00DA7492">
      <w:pPr>
        <w:pBdr>
          <w:top w:val="single" w:sz="4" w:space="8" w:color="auto"/>
          <w:left w:val="single" w:sz="4" w:space="8" w:color="auto"/>
          <w:bottom w:val="single" w:sz="4" w:space="8" w:color="auto"/>
          <w:right w:val="single" w:sz="4" w:space="8" w:color="auto"/>
        </w:pBdr>
        <w:ind w:left="1440" w:right="720" w:hanging="720"/>
        <w:rPr>
          <w:rFonts w:cs="Arial"/>
          <w:b/>
          <w:shd w:val="clear" w:color="auto" w:fill="FFFFFF"/>
        </w:rPr>
      </w:pPr>
      <w:r w:rsidRPr="00D86E22">
        <w:rPr>
          <w:rFonts w:cs="Arial"/>
          <w:b/>
          <w:shd w:val="clear" w:color="auto" w:fill="FFFFFF"/>
          <w:lang w:val="en-US"/>
        </w:rPr>
        <w:t>(vi)</w:t>
      </w:r>
      <w:r w:rsidRPr="00D86E22">
        <w:rPr>
          <w:rFonts w:cs="Arial"/>
          <w:b/>
          <w:shd w:val="clear" w:color="auto" w:fill="FFFFFF"/>
          <w:lang w:val="en-US"/>
        </w:rPr>
        <w:tab/>
        <w:t>If the answer to (v) is in the negative, in what way should the current mechanism be improved, and what are the reasons for your suggestions?</w:t>
      </w:r>
    </w:p>
    <w:p w:rsidR="00DA7492" w:rsidRPr="00A641F5" w:rsidRDefault="00DA7492">
      <w:pPr>
        <w:pStyle w:val="ListParagraph"/>
        <w:ind w:left="0"/>
        <w:rPr>
          <w:rFonts w:cs="Arial"/>
          <w:b/>
          <w:sz w:val="28"/>
          <w:szCs w:val="28"/>
          <w:shd w:val="clear" w:color="auto" w:fill="FFFFFF"/>
          <w:lang w:val="en-US"/>
        </w:rPr>
      </w:pPr>
    </w:p>
    <w:p w:rsidR="00DA7492" w:rsidRPr="00C71F5A" w:rsidRDefault="00DA7492" w:rsidP="00A641F5">
      <w:pPr>
        <w:pStyle w:val="Heading2"/>
        <w:tabs>
          <w:tab w:val="clear" w:pos="1418"/>
          <w:tab w:val="left" w:pos="720"/>
        </w:tabs>
      </w:pPr>
      <w:r w:rsidRPr="00C71F5A">
        <w:t xml:space="preserve">(V) </w:t>
      </w:r>
      <w:r w:rsidRPr="00C71F5A">
        <w:rPr>
          <w:rFonts w:hint="eastAsia"/>
        </w:rPr>
        <w:tab/>
      </w:r>
      <w:r w:rsidRPr="00C71F5A">
        <w:t xml:space="preserve">Professional and </w:t>
      </w:r>
      <w:r w:rsidRPr="00C71F5A">
        <w:rPr>
          <w:rFonts w:hint="eastAsia"/>
        </w:rPr>
        <w:t>s</w:t>
      </w:r>
      <w:r w:rsidRPr="00C71F5A">
        <w:t xml:space="preserve">taff </w:t>
      </w:r>
      <w:r w:rsidRPr="00C71F5A">
        <w:rPr>
          <w:rFonts w:hint="eastAsia"/>
        </w:rPr>
        <w:t>s</w:t>
      </w:r>
      <w:r w:rsidRPr="00C71F5A">
        <w:t>upport for GRS</w:t>
      </w:r>
    </w:p>
    <w:p w:rsidR="00DA7492" w:rsidRPr="00C71F5A" w:rsidRDefault="00DA7492">
      <w:pPr>
        <w:pStyle w:val="ListParagraph"/>
        <w:keepNext/>
        <w:ind w:left="0"/>
        <w:rPr>
          <w:rFonts w:cs="Arial"/>
          <w:b/>
          <w:sz w:val="28"/>
          <w:szCs w:val="28"/>
        </w:rPr>
      </w:pPr>
    </w:p>
    <w:p w:rsidR="00DA7492" w:rsidRPr="00C71F5A" w:rsidRDefault="00DA7492" w:rsidP="00A641F5">
      <w:pPr>
        <w:pStyle w:val="ListParagraph"/>
        <w:widowControl/>
        <w:numPr>
          <w:ilvl w:val="0"/>
          <w:numId w:val="30"/>
        </w:numPr>
        <w:tabs>
          <w:tab w:val="clear" w:pos="1418"/>
          <w:tab w:val="left" w:pos="720"/>
        </w:tabs>
        <w:ind w:left="720" w:hanging="720"/>
        <w:contextualSpacing w:val="0"/>
        <w:rPr>
          <w:rFonts w:cs="Arial"/>
          <w:b/>
          <w:i/>
          <w:sz w:val="20"/>
        </w:rPr>
      </w:pPr>
      <w:r w:rsidRPr="00C71F5A">
        <w:rPr>
          <w:rFonts w:cs="Arial"/>
          <w:b/>
          <w:i/>
        </w:rPr>
        <w:t>Lack of professional support</w:t>
      </w:r>
    </w:p>
    <w:p w:rsidR="00DA7492" w:rsidRPr="00D86E22" w:rsidRDefault="00DA7492">
      <w:pPr>
        <w:pStyle w:val="ListParagraph"/>
        <w:ind w:left="0"/>
        <w:rPr>
          <w:rFonts w:cs="Arial"/>
          <w:i/>
          <w:shd w:val="clear" w:color="auto" w:fill="FFFFFF"/>
        </w:rPr>
      </w:pPr>
    </w:p>
    <w:p w:rsidR="00DA7492" w:rsidRPr="00D86E22" w:rsidRDefault="00DA7492" w:rsidP="00DA7492">
      <w:pPr>
        <w:pStyle w:val="ListParagraph"/>
        <w:tabs>
          <w:tab w:val="clear" w:pos="1418"/>
          <w:tab w:val="left" w:pos="720"/>
        </w:tabs>
        <w:ind w:left="0"/>
        <w:rPr>
          <w:rFonts w:cs="Arial"/>
          <w:i/>
          <w:shd w:val="clear" w:color="auto" w:fill="FFFFFF"/>
        </w:rPr>
      </w:pPr>
      <w:r w:rsidRPr="00D86E22">
        <w:rPr>
          <w:rFonts w:cs="Arial"/>
          <w:i/>
          <w:shd w:val="clear" w:color="auto" w:fill="FFFFFF"/>
        </w:rPr>
        <w:t xml:space="preserve">(a) </w:t>
      </w:r>
      <w:r w:rsidRPr="00D86E22">
        <w:rPr>
          <w:rFonts w:cs="Arial"/>
          <w:i/>
          <w:shd w:val="clear" w:color="auto" w:fill="FFFFFF"/>
        </w:rPr>
        <w:tab/>
        <w:t>Comments</w:t>
      </w:r>
    </w:p>
    <w:p w:rsidR="00DA7492" w:rsidRPr="00C71F5A" w:rsidRDefault="00DA7492">
      <w:pPr>
        <w:pStyle w:val="ListParagraph"/>
        <w:ind w:left="0"/>
        <w:rPr>
          <w:rFonts w:cs="Arial"/>
        </w:rPr>
      </w:pPr>
    </w:p>
    <w:p w:rsidR="00DA7492" w:rsidRPr="00D86E22" w:rsidRDefault="00DA7492">
      <w:pPr>
        <w:rPr>
          <w:shd w:val="clear" w:color="auto" w:fill="FFFFFF"/>
        </w:rPr>
      </w:pPr>
      <w:r w:rsidRPr="00C71F5A">
        <w:t>5.80</w:t>
      </w:r>
      <w:r w:rsidRPr="00C71F5A">
        <w:tab/>
      </w:r>
      <w:r w:rsidRPr="00C71F5A">
        <w:tab/>
        <w:t>Being the central records management and service agency of the Government under the existing framework, there have been opinions that the GRS is suffering from a lack of professional and staff support</w:t>
      </w:r>
      <w:r w:rsidRPr="00D86E22">
        <w:rPr>
          <w:shd w:val="clear" w:color="auto" w:fill="FFFFFF"/>
        </w:rPr>
        <w:t xml:space="preserve">.  </w:t>
      </w:r>
    </w:p>
    <w:p w:rsidR="00DA7492" w:rsidRPr="00D86E22" w:rsidRDefault="00DA7492">
      <w:pPr>
        <w:pStyle w:val="ListParagraph"/>
        <w:ind w:left="0"/>
        <w:rPr>
          <w:rFonts w:cs="Arial"/>
          <w:shd w:val="clear" w:color="auto" w:fill="FFFFFF"/>
        </w:rPr>
      </w:pPr>
    </w:p>
    <w:p w:rsidR="00DA7492" w:rsidRPr="00C71F5A" w:rsidRDefault="00DA7492">
      <w:r w:rsidRPr="00C71F5A">
        <w:t>5.81</w:t>
      </w:r>
      <w:r w:rsidRPr="00C71F5A">
        <w:tab/>
      </w:r>
      <w:r w:rsidRPr="00C71F5A">
        <w:tab/>
        <w:t>The 2011 Civic Exchange Report pointed out that most of the DRMs in B/Ds lack the appropriate expertise or professional training as records managers.  The mandatory requirements in GC09 have placed inappropriate obligations on B/Ds whose core functions and expertise are not about records management.</w:t>
      </w:r>
      <w:r w:rsidRPr="00C71F5A">
        <w:rPr>
          <w:rStyle w:val="FootnoteReference"/>
          <w:rFonts w:cs="Arial"/>
        </w:rPr>
        <w:footnoteReference w:id="333"/>
      </w:r>
      <w:r w:rsidRPr="00C71F5A">
        <w:t xml:space="preserve"> </w:t>
      </w:r>
    </w:p>
    <w:p w:rsidR="00DA7492" w:rsidRPr="00C71F5A" w:rsidRDefault="00DA7492">
      <w:pPr>
        <w:pStyle w:val="ListParagraph"/>
        <w:ind w:hanging="720"/>
        <w:rPr>
          <w:rFonts w:cs="Arial"/>
        </w:rPr>
      </w:pPr>
    </w:p>
    <w:p w:rsidR="00DA7492" w:rsidRPr="00C71F5A" w:rsidRDefault="00DA7492">
      <w:r w:rsidRPr="00C71F5A">
        <w:lastRenderedPageBreak/>
        <w:t>5.82</w:t>
      </w:r>
      <w:r w:rsidRPr="00C71F5A">
        <w:tab/>
      </w:r>
      <w:r w:rsidRPr="00C71F5A">
        <w:tab/>
        <w:t xml:space="preserve">The Civic Exchange also noted that the GRS Director post, who is intended as the professional personnel to </w:t>
      </w:r>
      <w:r>
        <w:t>"</w:t>
      </w:r>
      <w:r w:rsidRPr="00C71F5A">
        <w:t>plan, lead and guide</w:t>
      </w:r>
      <w:r>
        <w:t>"</w:t>
      </w:r>
      <w:r w:rsidRPr="00C71F5A">
        <w:t xml:space="preserve"> all professional archives and records functions and activities of the GRS, is filled by a </w:t>
      </w:r>
      <w:r>
        <w:t>"</w:t>
      </w:r>
      <w:r w:rsidRPr="00C71F5A">
        <w:t>generalist</w:t>
      </w:r>
      <w:r>
        <w:t>"</w:t>
      </w:r>
      <w:r w:rsidRPr="00C71F5A">
        <w:t>, and such an approach has rendered the GRS</w:t>
      </w:r>
      <w:r>
        <w:t>'</w:t>
      </w:r>
      <w:r w:rsidRPr="00C71F5A">
        <w:t xml:space="preserve"> operation ineffective.</w:t>
      </w:r>
      <w:r w:rsidRPr="00C71F5A">
        <w:rPr>
          <w:rStyle w:val="FootnoteReference"/>
          <w:rFonts w:cs="Arial"/>
        </w:rPr>
        <w:footnoteReference w:id="334"/>
      </w:r>
      <w:r w:rsidRPr="00C71F5A">
        <w:t xml:space="preserve"> </w:t>
      </w:r>
    </w:p>
    <w:p w:rsidR="00DA7492" w:rsidRPr="00C71F5A" w:rsidRDefault="00DA7492">
      <w:pPr>
        <w:pStyle w:val="ListParagraph"/>
        <w:ind w:hanging="720"/>
        <w:rPr>
          <w:rFonts w:cs="Arial"/>
        </w:rPr>
      </w:pPr>
    </w:p>
    <w:p w:rsidR="00DA7492" w:rsidRPr="00C71F5A" w:rsidRDefault="00DA7492">
      <w:pPr>
        <w:rPr>
          <w:lang w:eastAsia="zh-HK"/>
        </w:rPr>
      </w:pPr>
      <w:r w:rsidRPr="00C71F5A">
        <w:t>5.83</w:t>
      </w:r>
      <w:r w:rsidRPr="00C71F5A">
        <w:tab/>
      </w:r>
      <w:r w:rsidRPr="00C71F5A">
        <w:tab/>
        <w:t>In addition, the Archivist of the Records Management Office has been replaced by a Chief Executive Officer since 1994.  Other archivist staff were also gradually removed from the Records Management Office, leaving training, records consultancy and professional development work to Executive Officer</w:t>
      </w:r>
      <w:r w:rsidRPr="00C71F5A">
        <w:rPr>
          <w:rFonts w:hint="eastAsia"/>
          <w:lang w:eastAsia="zh-HK"/>
        </w:rPr>
        <w:t xml:space="preserve"> </w:t>
      </w:r>
      <w:r w:rsidRPr="00C71F5A">
        <w:t xml:space="preserve">grade officers.  It follows that GRS officers responsible for records management training courses are not trained themselves.  </w:t>
      </w:r>
    </w:p>
    <w:p w:rsidR="00DA7492" w:rsidRPr="00C71F5A" w:rsidRDefault="00DA7492"/>
    <w:p w:rsidR="00DA7492" w:rsidRPr="00C71F5A" w:rsidRDefault="00DA7492" w:rsidP="00A641F5">
      <w:pPr>
        <w:tabs>
          <w:tab w:val="clear" w:pos="1418"/>
          <w:tab w:val="left" w:pos="720"/>
        </w:tabs>
        <w:rPr>
          <w:lang w:eastAsia="zh-HK"/>
        </w:rPr>
      </w:pPr>
      <w:r w:rsidRPr="00C71F5A">
        <w:rPr>
          <w:i/>
          <w:lang w:eastAsia="zh-HK"/>
        </w:rPr>
        <w:t>(b)</w:t>
      </w:r>
      <w:r w:rsidRPr="00C71F5A">
        <w:rPr>
          <w:lang w:eastAsia="zh-HK"/>
        </w:rPr>
        <w:tab/>
      </w:r>
      <w:r w:rsidRPr="00936121">
        <w:rPr>
          <w:i/>
          <w:lang w:eastAsia="zh-HK"/>
        </w:rPr>
        <w:t>Government's stance or response</w:t>
      </w:r>
    </w:p>
    <w:p w:rsidR="00DA7492" w:rsidRPr="00C71F5A" w:rsidRDefault="00DA7492">
      <w:pPr>
        <w:rPr>
          <w:rFonts w:cs="Arial"/>
          <w:b/>
          <w:lang w:eastAsia="zh-HK"/>
        </w:rPr>
      </w:pPr>
    </w:p>
    <w:p w:rsidR="00DA7492" w:rsidRPr="00C71F5A" w:rsidRDefault="00DA7492">
      <w:pPr>
        <w:rPr>
          <w:i/>
          <w:lang w:eastAsia="zh-HK"/>
        </w:rPr>
      </w:pPr>
      <w:r w:rsidRPr="00C71F5A">
        <w:t>5.84</w:t>
      </w:r>
      <w:r w:rsidRPr="00C71F5A">
        <w:tab/>
      </w:r>
      <w:r w:rsidRPr="00C71F5A">
        <w:tab/>
      </w:r>
      <w:r w:rsidRPr="00C71F5A">
        <w:rPr>
          <w:lang w:eastAsia="zh-HK"/>
        </w:rPr>
        <w:t xml:space="preserve">Noting that the </w:t>
      </w:r>
      <w:r w:rsidRPr="00C71F5A">
        <w:t xml:space="preserve">GRS Director plays an administrative role in managing the four offices of the GRS, the Government is mindful that the incumbent must possess strong leadership capabilities and extensive experience in government management.  </w:t>
      </w:r>
      <w:r w:rsidRPr="00C71F5A">
        <w:rPr>
          <w:lang w:eastAsia="zh-HK"/>
        </w:rPr>
        <w:t xml:space="preserve">In </w:t>
      </w:r>
      <w:r w:rsidRPr="00C71F5A">
        <w:rPr>
          <w:rFonts w:hint="eastAsia"/>
          <w:lang w:eastAsia="zh-HK"/>
        </w:rPr>
        <w:t>executing his duties,</w:t>
      </w:r>
      <w:r w:rsidRPr="00C71F5A">
        <w:rPr>
          <w:lang w:eastAsia="zh-HK"/>
        </w:rPr>
        <w:t xml:space="preserve"> t</w:t>
      </w:r>
      <w:r w:rsidRPr="00C71F5A">
        <w:t>he GRS Director</w:t>
      </w:r>
      <w:r w:rsidRPr="00C71F5A">
        <w:rPr>
          <w:lang w:eastAsia="zh-HK"/>
        </w:rPr>
        <w:t xml:space="preserve"> </w:t>
      </w:r>
      <w:r w:rsidRPr="00C71F5A">
        <w:t xml:space="preserve">is supported by Archivist, Curator, Executive Officer </w:t>
      </w:r>
      <w:r w:rsidRPr="00C71F5A">
        <w:rPr>
          <w:lang w:eastAsia="zh-HK"/>
        </w:rPr>
        <w:t xml:space="preserve">and Librarian </w:t>
      </w:r>
      <w:r w:rsidRPr="00C71F5A">
        <w:t>grades officers</w:t>
      </w:r>
      <w:r w:rsidRPr="00C71F5A">
        <w:rPr>
          <w:rFonts w:hint="eastAsia"/>
          <w:lang w:eastAsia="zh-HK"/>
        </w:rPr>
        <w:t xml:space="preserve">. </w:t>
      </w:r>
      <w:r w:rsidRPr="00C71F5A">
        <w:rPr>
          <w:lang w:eastAsia="zh-HK"/>
        </w:rPr>
        <w:t xml:space="preserve"> </w:t>
      </w:r>
      <w:r w:rsidRPr="00C71F5A">
        <w:t xml:space="preserve">As there is yet an Archivist Grade officer ready for the GRS Director post, a Principal Executive Officer is currently </w:t>
      </w:r>
      <w:r w:rsidRPr="00C71F5A">
        <w:rPr>
          <w:lang w:eastAsia="zh-HK"/>
        </w:rPr>
        <w:t xml:space="preserve">taking up </w:t>
      </w:r>
      <w:r w:rsidRPr="00C71F5A">
        <w:t>the post.</w:t>
      </w:r>
    </w:p>
    <w:p w:rsidR="00DA7492" w:rsidRPr="00C71F5A" w:rsidRDefault="00DA7492">
      <w:pPr>
        <w:pStyle w:val="ListParagraph"/>
        <w:ind w:left="0"/>
        <w:rPr>
          <w:rFonts w:cs="Arial"/>
        </w:rPr>
      </w:pPr>
    </w:p>
    <w:p w:rsidR="00DA7492" w:rsidRPr="00C71F5A" w:rsidRDefault="00DA7492">
      <w:pPr>
        <w:rPr>
          <w:lang w:eastAsia="zh-HK"/>
        </w:rPr>
      </w:pPr>
      <w:r w:rsidRPr="00C71F5A">
        <w:t>5.85</w:t>
      </w:r>
      <w:r w:rsidRPr="00C71F5A">
        <w:tab/>
      </w:r>
      <w:r w:rsidRPr="00C71F5A">
        <w:tab/>
      </w:r>
      <w:r w:rsidRPr="00C71F5A">
        <w:rPr>
          <w:rFonts w:hint="eastAsia"/>
        </w:rPr>
        <w:t>The</w:t>
      </w:r>
      <w:r w:rsidRPr="00C71F5A">
        <w:t xml:space="preserve"> Government has stated that it </w:t>
      </w:r>
      <w:r w:rsidRPr="00C71F5A">
        <w:rPr>
          <w:rFonts w:hint="eastAsia"/>
        </w:rPr>
        <w:t>will keep in view the personnel development needs in GRS and</w:t>
      </w:r>
      <w:r w:rsidRPr="00C71F5A">
        <w:t xml:space="preserve"> will</w:t>
      </w:r>
      <w:r w:rsidRPr="00C71F5A">
        <w:rPr>
          <w:rFonts w:hint="eastAsia"/>
        </w:rPr>
        <w:t xml:space="preserve"> embark on reviews as necessary in future.  </w:t>
      </w:r>
      <w:r w:rsidRPr="00C71F5A">
        <w:rPr>
          <w:rFonts w:hint="eastAsia"/>
          <w:lang w:eastAsia="zh-HK"/>
        </w:rPr>
        <w:t>It</w:t>
      </w:r>
      <w:r w:rsidRPr="00C71F5A">
        <w:rPr>
          <w:lang w:eastAsia="zh-HK"/>
        </w:rPr>
        <w:t xml:space="preserve"> will also examine the staffing and skills mix of GRS (including the filling of the head of the </w:t>
      </w:r>
      <w:r w:rsidRPr="00C71F5A">
        <w:t xml:space="preserve">Records Management </w:t>
      </w:r>
      <w:r w:rsidRPr="00C71F5A">
        <w:rPr>
          <w:rFonts w:hint="eastAsia"/>
          <w:lang w:eastAsia="zh-HK"/>
        </w:rPr>
        <w:t xml:space="preserve">and </w:t>
      </w:r>
      <w:r w:rsidRPr="00C71F5A">
        <w:t>Administration Office</w:t>
      </w:r>
      <w:r w:rsidRPr="00C71F5A">
        <w:rPr>
          <w:lang w:eastAsia="zh-HK"/>
        </w:rPr>
        <w:t xml:space="preserve"> by Executive Officer-Grade officer) in the longer term, having regard to the recommendations of the consultancy study commissioned by the Efficiency </w:t>
      </w:r>
      <w:r>
        <w:rPr>
          <w:lang w:eastAsia="zh-HK"/>
        </w:rPr>
        <w:t>Office</w:t>
      </w:r>
      <w:r w:rsidRPr="00C71F5A">
        <w:rPr>
          <w:lang w:eastAsia="zh-HK"/>
        </w:rPr>
        <w:t xml:space="preserve"> of the Government discussed below.</w:t>
      </w:r>
      <w:r w:rsidRPr="00C71F5A">
        <w:rPr>
          <w:rStyle w:val="FootnoteReference"/>
          <w:rFonts w:cs="Arial"/>
          <w:lang w:eastAsia="zh-HK"/>
        </w:rPr>
        <w:footnoteReference w:id="335"/>
      </w:r>
      <w:r w:rsidRPr="00C71F5A">
        <w:rPr>
          <w:rFonts w:hint="eastAsia"/>
          <w:lang w:eastAsia="zh-HK"/>
        </w:rPr>
        <w:t xml:space="preserve">  </w:t>
      </w:r>
      <w:r w:rsidRPr="00C71F5A">
        <w:rPr>
          <w:lang w:eastAsia="zh-HK"/>
        </w:rPr>
        <w:t>As regards the training of DRMs and their assistants who are responsible for the implementation of records management programme in the B/Ds, GRS has all along arranged various training courses regularly to facilitate them to perform their records management duties effectively and efficiently.  GRS has also tailor-made seminars and workshops for B/Ds on a need basis to promote good records management practices.  These training events cover different aspects of records management principles and requirements, such as filing practices, records creation, classification, scheduling and disposal.  Officers responsible for these training events include Archivist, Curator and Executive Officer grade officers.  These training events are open for government staff in addition to DRMs, including directorate officers, registry supervisors as well as other government servants from different grades and ranks.</w:t>
      </w:r>
    </w:p>
    <w:p w:rsidR="00DA7492" w:rsidRPr="00C71F5A" w:rsidRDefault="00DA7492">
      <w:pPr>
        <w:pStyle w:val="ListParagraph"/>
        <w:ind w:left="0"/>
        <w:rPr>
          <w:rFonts w:cs="Arial"/>
          <w:lang w:eastAsia="zh-HK"/>
        </w:rPr>
      </w:pPr>
    </w:p>
    <w:p w:rsidR="00DA7492" w:rsidRPr="00C71F5A" w:rsidRDefault="00DA7492" w:rsidP="00A641F5">
      <w:pPr>
        <w:pStyle w:val="ListParagraph"/>
        <w:keepNext/>
        <w:widowControl/>
        <w:numPr>
          <w:ilvl w:val="0"/>
          <w:numId w:val="30"/>
        </w:numPr>
        <w:tabs>
          <w:tab w:val="clear" w:pos="1418"/>
          <w:tab w:val="left" w:pos="720"/>
        </w:tabs>
        <w:ind w:left="720" w:hanging="720"/>
        <w:contextualSpacing w:val="0"/>
        <w:rPr>
          <w:rFonts w:cs="Arial"/>
          <w:b/>
          <w:i/>
          <w:sz w:val="20"/>
        </w:rPr>
      </w:pPr>
      <w:r w:rsidRPr="00C71F5A">
        <w:rPr>
          <w:rFonts w:cs="Arial"/>
          <w:b/>
          <w:i/>
        </w:rPr>
        <w:lastRenderedPageBreak/>
        <w:t xml:space="preserve">Shortage of </w:t>
      </w:r>
      <w:r w:rsidRPr="00C71F5A">
        <w:rPr>
          <w:rFonts w:cs="Arial" w:hint="eastAsia"/>
          <w:b/>
          <w:i/>
        </w:rPr>
        <w:t>s</w:t>
      </w:r>
      <w:r w:rsidRPr="00C71F5A">
        <w:rPr>
          <w:rFonts w:cs="Arial"/>
          <w:b/>
          <w:i/>
        </w:rPr>
        <w:t xml:space="preserve">taff in GRS and </w:t>
      </w:r>
      <w:r w:rsidRPr="00C71F5A">
        <w:rPr>
          <w:rFonts w:cs="Arial" w:hint="eastAsia"/>
          <w:b/>
          <w:i/>
        </w:rPr>
        <w:t>b</w:t>
      </w:r>
      <w:r w:rsidRPr="00C71F5A">
        <w:rPr>
          <w:rFonts w:cs="Arial"/>
          <w:b/>
          <w:i/>
        </w:rPr>
        <w:t xml:space="preserve">uilding up of </w:t>
      </w:r>
      <w:r w:rsidRPr="00C71F5A">
        <w:rPr>
          <w:rFonts w:cs="Arial" w:hint="eastAsia"/>
          <w:b/>
          <w:i/>
        </w:rPr>
        <w:t>b</w:t>
      </w:r>
      <w:r w:rsidRPr="00C71F5A">
        <w:rPr>
          <w:rFonts w:cs="Arial"/>
          <w:b/>
          <w:i/>
        </w:rPr>
        <w:t>acklog</w:t>
      </w:r>
    </w:p>
    <w:p w:rsidR="00DA7492" w:rsidRPr="00C71F5A" w:rsidRDefault="00DA7492">
      <w:pPr>
        <w:keepNext/>
        <w:rPr>
          <w:rFonts w:cs="Arial"/>
          <w:b/>
          <w:sz w:val="28"/>
          <w:szCs w:val="28"/>
        </w:rPr>
      </w:pPr>
    </w:p>
    <w:p w:rsidR="00DA7492" w:rsidRPr="00C71F5A" w:rsidRDefault="00DA7492" w:rsidP="00A641F5">
      <w:pPr>
        <w:pStyle w:val="Heading4"/>
        <w:tabs>
          <w:tab w:val="clear" w:pos="1418"/>
          <w:tab w:val="left" w:pos="720"/>
        </w:tabs>
      </w:pPr>
      <w:r w:rsidRPr="00C71F5A">
        <w:rPr>
          <w:rFonts w:hint="eastAsia"/>
        </w:rPr>
        <w:t>(a)</w:t>
      </w:r>
      <w:r w:rsidRPr="00C71F5A">
        <w:tab/>
        <w:t>Comments</w:t>
      </w:r>
    </w:p>
    <w:p w:rsidR="00DA7492" w:rsidRPr="00C71F5A" w:rsidRDefault="00DA7492">
      <w:pPr>
        <w:pStyle w:val="ListParagraph"/>
        <w:keepNext/>
        <w:ind w:left="622"/>
        <w:rPr>
          <w:rFonts w:cs="Arial"/>
          <w:b/>
          <w:sz w:val="28"/>
          <w:szCs w:val="28"/>
        </w:rPr>
      </w:pPr>
    </w:p>
    <w:p w:rsidR="00DA7492" w:rsidRPr="00C71F5A" w:rsidRDefault="00DA7492">
      <w:r w:rsidRPr="00C71F5A">
        <w:t>5.86</w:t>
      </w:r>
      <w:r w:rsidRPr="00C71F5A">
        <w:tab/>
      </w:r>
      <w:r w:rsidRPr="00C71F5A">
        <w:rPr>
          <w:b/>
          <w:sz w:val="28"/>
          <w:szCs w:val="28"/>
        </w:rPr>
        <w:tab/>
      </w:r>
      <w:r w:rsidRPr="00C71F5A">
        <w:t>According to The Ombudsman</w:t>
      </w:r>
      <w:r>
        <w:t>'</w:t>
      </w:r>
      <w:r w:rsidRPr="00C71F5A">
        <w:t>s Report, out of the total 13,117 draft disposals schedules submitted by the B/Ds to the GRS as at 31</w:t>
      </w:r>
      <w:r w:rsidRPr="00C71F5A">
        <w:rPr>
          <w:lang w:val="en-US"/>
        </w:rPr>
        <w:t> </w:t>
      </w:r>
      <w:r w:rsidRPr="00C71F5A">
        <w:t>December 2013, only 7% had been approved and established.</w:t>
      </w:r>
      <w:r w:rsidRPr="00C71F5A">
        <w:rPr>
          <w:rStyle w:val="FootnoteReference"/>
          <w:rFonts w:cs="Arial"/>
        </w:rPr>
        <w:footnoteReference w:id="336"/>
      </w:r>
      <w:r w:rsidRPr="00C71F5A">
        <w:t xml:space="preserve"> </w:t>
      </w:r>
      <w:r w:rsidRPr="00C71F5A">
        <w:rPr>
          <w:lang w:eastAsia="zh-HK"/>
        </w:rPr>
        <w:t xml:space="preserve"> </w:t>
      </w:r>
      <w:r w:rsidRPr="00C71F5A">
        <w:t xml:space="preserve">In the same period, over 139,000 records were pending </w:t>
      </w:r>
      <w:r>
        <w:t>"</w:t>
      </w:r>
      <w:r w:rsidRPr="00C71F5A">
        <w:t>accessioning and description</w:t>
      </w:r>
      <w:r>
        <w:t>"</w:t>
      </w:r>
      <w:r w:rsidRPr="00C71F5A">
        <w:t>.  However, the numbers of officers responsible for appraising records within the GRS had only increased from 2 in 2008 to 3 in 2011 and 5 in 2012, lagging behind the number of records coming in.</w:t>
      </w:r>
      <w:r w:rsidRPr="00C71F5A">
        <w:rPr>
          <w:rStyle w:val="FootnoteReference"/>
          <w:rFonts w:cs="Arial"/>
        </w:rPr>
        <w:footnoteReference w:id="337"/>
      </w:r>
      <w:r w:rsidRPr="00C71F5A">
        <w:t xml:space="preserve">  The Civic Exchange was concerned that the number of archivists working for the Public Records Office had significantly reduced between 2003 and 2010 with vacant positions either unfilled or being filled very slowly.</w:t>
      </w:r>
      <w:r w:rsidRPr="00C71F5A">
        <w:rPr>
          <w:rStyle w:val="FootnoteReference"/>
        </w:rPr>
        <w:footnoteReference w:id="338"/>
      </w:r>
    </w:p>
    <w:p w:rsidR="00DA7492" w:rsidRPr="00C71F5A" w:rsidRDefault="00DA7492">
      <w:pPr>
        <w:pStyle w:val="ListParagraph"/>
        <w:ind w:hanging="720"/>
        <w:rPr>
          <w:rFonts w:cs="Arial"/>
          <w:b/>
        </w:rPr>
      </w:pPr>
    </w:p>
    <w:p w:rsidR="00DA7492" w:rsidRPr="00C71F5A" w:rsidRDefault="00DA7492">
      <w:r w:rsidRPr="00C71F5A">
        <w:t>5.87</w:t>
      </w:r>
      <w:r w:rsidRPr="00C71F5A">
        <w:tab/>
      </w:r>
      <w:r w:rsidRPr="00C71F5A">
        <w:tab/>
        <w:t>The Ombudsman recommended that the Government should, pending legislation, review the staffing of GRS, so as to enable it to handle its heavy workload with efficiency and professionalism and to clear its backlogs expeditiously.</w:t>
      </w:r>
      <w:r w:rsidRPr="00C71F5A">
        <w:rPr>
          <w:rStyle w:val="FootnoteReference"/>
          <w:rFonts w:cs="Arial"/>
        </w:rPr>
        <w:footnoteReference w:id="339"/>
      </w:r>
    </w:p>
    <w:p w:rsidR="00DA7492" w:rsidRPr="00C71F5A" w:rsidRDefault="00DA7492">
      <w:pPr>
        <w:pStyle w:val="ListParagraph"/>
        <w:rPr>
          <w:rFonts w:cs="Arial"/>
        </w:rPr>
      </w:pPr>
    </w:p>
    <w:p w:rsidR="00DA7492" w:rsidRPr="00C71F5A" w:rsidRDefault="00DA7492" w:rsidP="00A641F5">
      <w:pPr>
        <w:pStyle w:val="Heading4"/>
        <w:keepNext w:val="0"/>
        <w:tabs>
          <w:tab w:val="clear" w:pos="1418"/>
          <w:tab w:val="left" w:pos="720"/>
        </w:tabs>
      </w:pPr>
      <w:r w:rsidRPr="00C71F5A">
        <w:rPr>
          <w:rFonts w:hint="eastAsia"/>
        </w:rPr>
        <w:t>(b)</w:t>
      </w:r>
      <w:r w:rsidRPr="00C71F5A">
        <w:tab/>
        <w:t>Government</w:t>
      </w:r>
      <w:r>
        <w:t>'</w:t>
      </w:r>
      <w:r w:rsidRPr="00C71F5A">
        <w:t xml:space="preserve">s </w:t>
      </w:r>
      <w:r w:rsidRPr="00C71F5A">
        <w:rPr>
          <w:rFonts w:hint="eastAsia"/>
        </w:rPr>
        <w:t>s</w:t>
      </w:r>
      <w:r w:rsidRPr="00C71F5A">
        <w:t xml:space="preserve">tance or </w:t>
      </w:r>
      <w:r w:rsidRPr="00C71F5A">
        <w:rPr>
          <w:rFonts w:hint="eastAsia"/>
        </w:rPr>
        <w:t>r</w:t>
      </w:r>
      <w:r w:rsidRPr="00C71F5A">
        <w:t>esponse</w:t>
      </w:r>
    </w:p>
    <w:p w:rsidR="00DA7492" w:rsidRPr="00C71F5A" w:rsidRDefault="00DA7492">
      <w:pPr>
        <w:pStyle w:val="ListParagraph"/>
        <w:rPr>
          <w:rFonts w:cs="Arial"/>
          <w:b/>
        </w:rPr>
      </w:pPr>
    </w:p>
    <w:p w:rsidR="00DA7492" w:rsidRPr="00C71F5A" w:rsidRDefault="00DA7492">
      <w:pPr>
        <w:pStyle w:val="ListParagraph"/>
        <w:ind w:left="0"/>
        <w:rPr>
          <w:rFonts w:cs="Arial"/>
        </w:rPr>
      </w:pPr>
      <w:r w:rsidRPr="00C71F5A">
        <w:rPr>
          <w:rFonts w:cs="Arial"/>
        </w:rPr>
        <w:t>5.88</w:t>
      </w:r>
      <w:r w:rsidRPr="00C71F5A">
        <w:rPr>
          <w:rFonts w:cs="Arial"/>
        </w:rPr>
        <w:tab/>
      </w:r>
      <w:r w:rsidRPr="00C71F5A">
        <w:rPr>
          <w:rFonts w:cs="Arial"/>
        </w:rPr>
        <w:tab/>
        <w:t xml:space="preserve">In view of the comments and suggestions, the Government has increased </w:t>
      </w:r>
      <w:r w:rsidRPr="00C71F5A">
        <w:rPr>
          <w:rFonts w:cs="Arial" w:hint="eastAsia"/>
          <w:lang w:eastAsia="zh-HK"/>
        </w:rPr>
        <w:t xml:space="preserve">the number of posts in GRS from 85 in 2011-12 </w:t>
      </w:r>
      <w:r w:rsidRPr="00C71F5A">
        <w:rPr>
          <w:rFonts w:cs="Arial"/>
          <w:lang w:eastAsia="zh-HK"/>
        </w:rPr>
        <w:t xml:space="preserve">to 111 </w:t>
      </w:r>
      <w:r w:rsidRPr="00C71F5A">
        <w:rPr>
          <w:rFonts w:cs="Arial" w:hint="eastAsia"/>
          <w:lang w:eastAsia="zh-HK"/>
        </w:rPr>
        <w:t xml:space="preserve">in </w:t>
      </w:r>
      <w:r w:rsidRPr="00C71F5A">
        <w:rPr>
          <w:rFonts w:cs="Arial"/>
          <w:lang w:eastAsia="zh-HK"/>
        </w:rPr>
        <w:t>2016-17 (ie an increase of 31%</w:t>
      </w:r>
      <w:r w:rsidRPr="00C71F5A">
        <w:rPr>
          <w:rFonts w:cs="Arial" w:hint="eastAsia"/>
          <w:lang w:eastAsia="zh-HK"/>
        </w:rPr>
        <w:t xml:space="preserve"> over the past five years</w:t>
      </w:r>
      <w:r w:rsidRPr="00C71F5A">
        <w:rPr>
          <w:rFonts w:cs="Arial"/>
          <w:lang w:eastAsia="zh-HK"/>
        </w:rPr>
        <w:t>)</w:t>
      </w:r>
      <w:r w:rsidRPr="00C71F5A">
        <w:rPr>
          <w:rFonts w:cs="Arial" w:hint="eastAsia"/>
          <w:lang w:eastAsia="zh-HK"/>
        </w:rPr>
        <w:t>.</w:t>
      </w:r>
      <w:r w:rsidRPr="00C71F5A">
        <w:rPr>
          <w:rFonts w:cs="Arial"/>
        </w:rPr>
        <w:t xml:space="preserve">  </w:t>
      </w:r>
      <w:r w:rsidRPr="00C71F5A">
        <w:rPr>
          <w:rFonts w:cs="Arial" w:hint="eastAsia"/>
          <w:lang w:eastAsia="zh-HK"/>
        </w:rPr>
        <w:t>During</w:t>
      </w:r>
      <w:r w:rsidRPr="00C71F5A">
        <w:rPr>
          <w:rFonts w:cs="Arial"/>
        </w:rPr>
        <w:t xml:space="preserve"> the same period, the number of Archivist Grade posts has </w:t>
      </w:r>
      <w:r w:rsidRPr="00C71F5A">
        <w:rPr>
          <w:rFonts w:cs="Arial"/>
          <w:lang w:eastAsia="zh-HK"/>
        </w:rPr>
        <w:t>also</w:t>
      </w:r>
      <w:r w:rsidRPr="00C71F5A">
        <w:rPr>
          <w:rFonts w:cs="Arial" w:hint="eastAsia"/>
          <w:lang w:eastAsia="zh-HK"/>
        </w:rPr>
        <w:t xml:space="preserve"> risen</w:t>
      </w:r>
      <w:r w:rsidRPr="00C71F5A">
        <w:rPr>
          <w:rFonts w:cs="Arial"/>
        </w:rPr>
        <w:t xml:space="preserve"> from 1</w:t>
      </w:r>
      <w:r w:rsidRPr="00C71F5A">
        <w:rPr>
          <w:rFonts w:cs="Arial" w:hint="eastAsia"/>
          <w:lang w:eastAsia="zh-HK"/>
        </w:rPr>
        <w:t xml:space="preserve">1 to 19, </w:t>
      </w:r>
      <w:r w:rsidRPr="00C71F5A">
        <w:rPr>
          <w:rFonts w:cs="Arial"/>
          <w:lang w:eastAsia="zh-HK"/>
        </w:rPr>
        <w:t>an all-time high in history with an increase of 73%.</w:t>
      </w:r>
      <w:r w:rsidRPr="00C71F5A">
        <w:rPr>
          <w:rFonts w:cs="Arial" w:hint="eastAsia"/>
          <w:lang w:eastAsia="zh-HK"/>
        </w:rPr>
        <w:t xml:space="preserve">  As at </w:t>
      </w:r>
      <w:r w:rsidRPr="00C71F5A">
        <w:rPr>
          <w:rFonts w:cs="Arial"/>
          <w:lang w:eastAsia="zh-HK"/>
        </w:rPr>
        <w:t xml:space="preserve">31 </w:t>
      </w:r>
      <w:r w:rsidRPr="00C71F5A">
        <w:rPr>
          <w:rFonts w:cs="Arial" w:hint="eastAsia"/>
          <w:lang w:eastAsia="zh-HK"/>
        </w:rPr>
        <w:t>December</w:t>
      </w:r>
      <w:r w:rsidRPr="00C71F5A">
        <w:rPr>
          <w:rFonts w:cs="Arial"/>
          <w:lang w:eastAsia="zh-HK"/>
        </w:rPr>
        <w:t xml:space="preserve"> 2017</w:t>
      </w:r>
      <w:r w:rsidRPr="00C71F5A">
        <w:rPr>
          <w:rFonts w:cs="Arial" w:hint="eastAsia"/>
          <w:lang w:eastAsia="zh-HK"/>
        </w:rPr>
        <w:t xml:space="preserve">, </w:t>
      </w:r>
      <w:r w:rsidRPr="00C71F5A">
        <w:rPr>
          <w:rFonts w:cs="Arial"/>
        </w:rPr>
        <w:t xml:space="preserve">GRS </w:t>
      </w:r>
      <w:r w:rsidRPr="00C71F5A">
        <w:rPr>
          <w:rFonts w:cs="Arial" w:hint="eastAsia"/>
          <w:lang w:eastAsia="zh-HK"/>
        </w:rPr>
        <w:t xml:space="preserve">had </w:t>
      </w:r>
      <w:r w:rsidRPr="00C71F5A">
        <w:rPr>
          <w:rFonts w:cs="Arial"/>
        </w:rPr>
        <w:t xml:space="preserve">a total of </w:t>
      </w:r>
      <w:r w:rsidRPr="00C71F5A">
        <w:rPr>
          <w:rFonts w:cs="Arial"/>
          <w:lang w:eastAsia="zh-HK"/>
        </w:rPr>
        <w:t>104</w:t>
      </w:r>
      <w:r w:rsidRPr="00C71F5A">
        <w:rPr>
          <w:rFonts w:cs="Arial" w:hint="eastAsia"/>
          <w:lang w:eastAsia="zh-HK"/>
        </w:rPr>
        <w:t xml:space="preserve"> </w:t>
      </w:r>
      <w:r w:rsidRPr="00C71F5A">
        <w:rPr>
          <w:rFonts w:cs="Arial"/>
        </w:rPr>
        <w:t>staff members</w:t>
      </w:r>
      <w:r w:rsidRPr="00C71F5A">
        <w:rPr>
          <w:rFonts w:cs="Arial" w:hint="eastAsia"/>
        </w:rPr>
        <w:t>.</w:t>
      </w:r>
    </w:p>
    <w:p w:rsidR="00DA7492" w:rsidRPr="00C71F5A" w:rsidRDefault="00DA7492">
      <w:pPr>
        <w:pStyle w:val="ListParagraph"/>
        <w:ind w:left="0"/>
        <w:rPr>
          <w:rFonts w:cs="Arial"/>
        </w:rPr>
      </w:pPr>
    </w:p>
    <w:p w:rsidR="00DA7492" w:rsidRPr="00C71F5A" w:rsidRDefault="00DA7492">
      <w:r w:rsidRPr="00C71F5A">
        <w:t>5.89</w:t>
      </w:r>
      <w:r w:rsidRPr="00C71F5A">
        <w:tab/>
      </w:r>
      <w:r w:rsidRPr="00C71F5A">
        <w:tab/>
      </w:r>
      <w:r w:rsidRPr="00C71F5A">
        <w:rPr>
          <w:lang w:eastAsia="zh-HK"/>
        </w:rPr>
        <w:t xml:space="preserve">The GRS cleared </w:t>
      </w:r>
      <w:r w:rsidRPr="00C71F5A">
        <w:rPr>
          <w:rFonts w:hint="eastAsia"/>
          <w:lang w:eastAsia="zh-HK"/>
        </w:rPr>
        <w:t>the</w:t>
      </w:r>
      <w:r w:rsidRPr="00C71F5A">
        <w:rPr>
          <w:lang w:eastAsia="zh-HK"/>
        </w:rPr>
        <w:t xml:space="preserve"> backlogs on appraisal of records and accessioning of archival records in May 2015.</w:t>
      </w:r>
      <w:r w:rsidRPr="00C71F5A">
        <w:rPr>
          <w:rFonts w:hint="eastAsia"/>
          <w:lang w:eastAsia="zh-HK"/>
        </w:rPr>
        <w:t xml:space="preserve">  Separately, since December 2013, over 13,000 disposal schedules have been processed and around 450 draft disposal schedules </w:t>
      </w:r>
      <w:r w:rsidRPr="00C71F5A">
        <w:rPr>
          <w:lang w:eastAsia="zh-HK"/>
        </w:rPr>
        <w:t xml:space="preserve">were being processed </w:t>
      </w:r>
      <w:r w:rsidRPr="00C71F5A">
        <w:rPr>
          <w:rFonts w:hint="eastAsia"/>
          <w:lang w:eastAsia="zh-HK"/>
        </w:rPr>
        <w:t xml:space="preserve">as at 31 December 2017. </w:t>
      </w:r>
      <w:r w:rsidRPr="00C71F5A">
        <w:t>According to the Government</w:t>
      </w:r>
      <w:r w:rsidRPr="00C71F5A">
        <w:rPr>
          <w:rFonts w:hint="eastAsia"/>
        </w:rPr>
        <w:t xml:space="preserve">, </w:t>
      </w:r>
      <w:r w:rsidRPr="00C71F5A">
        <w:t xml:space="preserve">additional resources will be sought and deployed for the GRS to further strengthen its manpower provision </w:t>
      </w:r>
      <w:r w:rsidRPr="00C71F5A">
        <w:rPr>
          <w:rFonts w:hint="eastAsia"/>
          <w:lang w:eastAsia="zh-HK"/>
        </w:rPr>
        <w:t>if necessary</w:t>
      </w:r>
      <w:r w:rsidRPr="00C71F5A">
        <w:t>.</w:t>
      </w:r>
      <w:r w:rsidRPr="00C71F5A">
        <w:rPr>
          <w:rStyle w:val="FootnoteReference"/>
          <w:rFonts w:cs="Arial"/>
        </w:rPr>
        <w:footnoteReference w:id="340"/>
      </w:r>
    </w:p>
    <w:p w:rsidR="00DA7492" w:rsidRPr="00C71F5A" w:rsidRDefault="00DA7492">
      <w:pPr>
        <w:pStyle w:val="ListParagraph"/>
        <w:ind w:hanging="720"/>
        <w:rPr>
          <w:rFonts w:cs="Arial"/>
          <w:lang w:eastAsia="zh-HK"/>
        </w:rPr>
      </w:pPr>
    </w:p>
    <w:p w:rsidR="00DA7492" w:rsidRPr="00C71F5A" w:rsidRDefault="00DA7492">
      <w:pPr>
        <w:rPr>
          <w:lang w:val="en-US" w:eastAsia="zh-HK"/>
        </w:rPr>
      </w:pPr>
      <w:r w:rsidRPr="00C71F5A">
        <w:t>5.90</w:t>
      </w:r>
      <w:r w:rsidRPr="00C71F5A">
        <w:tab/>
      </w:r>
      <w:r w:rsidRPr="00C71F5A">
        <w:tab/>
        <w:t xml:space="preserve">In 2014, the Efficiency </w:t>
      </w:r>
      <w:r>
        <w:t>Office</w:t>
      </w:r>
      <w:r w:rsidRPr="00C71F5A">
        <w:t xml:space="preserve"> of the Government commissioned a consultancy study to critically examine the staffing and skills mix of the GRS and to make recommendations for improvement.  The resulting report </w:t>
      </w:r>
      <w:r w:rsidRPr="00C71F5A">
        <w:lastRenderedPageBreak/>
        <w:t>published in 2015 (</w:t>
      </w:r>
      <w:r>
        <w:t>"</w:t>
      </w:r>
      <w:r w:rsidRPr="00C71F5A">
        <w:rPr>
          <w:b/>
        </w:rPr>
        <w:t>Consultancy Report</w:t>
      </w:r>
      <w:r>
        <w:t>"</w:t>
      </w:r>
      <w:r w:rsidRPr="00C71F5A">
        <w:t>)</w:t>
      </w:r>
      <w:r w:rsidRPr="00C71F5A">
        <w:rPr>
          <w:rStyle w:val="FootnoteReference"/>
        </w:rPr>
        <w:footnoteReference w:id="341"/>
      </w:r>
      <w:r w:rsidRPr="00C71F5A">
        <w:t xml:space="preserve"> has made </w:t>
      </w:r>
      <w:r w:rsidRPr="00C71F5A">
        <w:rPr>
          <w:rFonts w:hint="eastAsia"/>
          <w:lang w:eastAsia="zh-HK"/>
        </w:rPr>
        <w:t xml:space="preserve">a number of </w:t>
      </w:r>
      <w:r w:rsidRPr="00C71F5A">
        <w:rPr>
          <w:lang w:eastAsia="zh-HK"/>
        </w:rPr>
        <w:t xml:space="preserve">recommendations.  They include </w:t>
      </w:r>
      <w:r w:rsidRPr="00C71F5A">
        <w:rPr>
          <w:rFonts w:hint="eastAsia"/>
        </w:rPr>
        <w:t>the need to upgrade the ranking of the GRS</w:t>
      </w:r>
      <w:r w:rsidRPr="00C71F5A">
        <w:rPr>
          <w:rFonts w:hint="eastAsia"/>
          <w:lang w:eastAsia="zh-HK"/>
        </w:rPr>
        <w:t xml:space="preserve"> </w:t>
      </w:r>
      <w:r w:rsidRPr="00C71F5A">
        <w:rPr>
          <w:rFonts w:hint="eastAsia"/>
        </w:rPr>
        <w:t>D</w:t>
      </w:r>
      <w:r w:rsidRPr="00C71F5A">
        <w:rPr>
          <w:rFonts w:hint="eastAsia"/>
          <w:lang w:eastAsia="zh-HK"/>
        </w:rPr>
        <w:t>irector</w:t>
      </w:r>
      <w:r w:rsidRPr="00C71F5A">
        <w:rPr>
          <w:rFonts w:hint="eastAsia"/>
        </w:rPr>
        <w:t xml:space="preserve"> post</w:t>
      </w:r>
      <w:r w:rsidRPr="00C71F5A">
        <w:t>,</w:t>
      </w:r>
      <w:r w:rsidRPr="00C71F5A">
        <w:rPr>
          <w:rStyle w:val="FootnoteReference"/>
        </w:rPr>
        <w:footnoteReference w:id="342"/>
      </w:r>
      <w:r w:rsidRPr="00C71F5A">
        <w:rPr>
          <w:rFonts w:hint="eastAsia"/>
        </w:rPr>
        <w:t xml:space="preserve"> and set up a unit </w:t>
      </w:r>
      <w:r w:rsidRPr="00C71F5A">
        <w:t>to develop and implement a transition pla</w:t>
      </w:r>
      <w:r w:rsidRPr="00C71F5A">
        <w:rPr>
          <w:rFonts w:hint="eastAsia"/>
        </w:rPr>
        <w:t>n</w:t>
      </w:r>
      <w:r w:rsidRPr="00C71F5A">
        <w:rPr>
          <w:rFonts w:hint="eastAsia"/>
          <w:lang w:eastAsia="zh-HK"/>
        </w:rPr>
        <w:t xml:space="preserve"> in order to reposition </w:t>
      </w:r>
      <w:r w:rsidRPr="00C71F5A">
        <w:rPr>
          <w:lang w:eastAsia="zh-HK"/>
        </w:rPr>
        <w:t xml:space="preserve">the </w:t>
      </w:r>
      <w:r w:rsidRPr="00C71F5A">
        <w:rPr>
          <w:rFonts w:hint="eastAsia"/>
          <w:lang w:eastAsia="zh-HK"/>
        </w:rPr>
        <w:t>GRS and to respond to the paradigm shift brought by digital technology.</w:t>
      </w:r>
      <w:r w:rsidRPr="00C71F5A">
        <w:rPr>
          <w:rStyle w:val="FootnoteReference"/>
          <w:lang w:eastAsia="zh-HK"/>
        </w:rPr>
        <w:footnoteReference w:id="343"/>
      </w:r>
      <w:r w:rsidRPr="00C71F5A">
        <w:rPr>
          <w:rFonts w:hint="eastAsia"/>
        </w:rPr>
        <w:t xml:space="preserve">  </w:t>
      </w:r>
      <w:r w:rsidRPr="00C71F5A">
        <w:t>T</w:t>
      </w:r>
      <w:r w:rsidRPr="00C71F5A">
        <w:rPr>
          <w:rFonts w:hint="eastAsia"/>
        </w:rPr>
        <w:t xml:space="preserve">he </w:t>
      </w:r>
      <w:r w:rsidRPr="00C71F5A">
        <w:t xml:space="preserve">Consultancy Report </w:t>
      </w:r>
      <w:r w:rsidRPr="00C71F5A">
        <w:rPr>
          <w:rFonts w:hint="eastAsia"/>
        </w:rPr>
        <w:t>noted</w:t>
      </w:r>
      <w:r w:rsidRPr="00C71F5A">
        <w:t>, amongst others,</w:t>
      </w:r>
      <w:r w:rsidRPr="00C71F5A">
        <w:rPr>
          <w:rFonts w:hint="eastAsia"/>
        </w:rPr>
        <w:t xml:space="preserve"> </w:t>
      </w:r>
      <w:r w:rsidRPr="00C71F5A">
        <w:t xml:space="preserve">that </w:t>
      </w:r>
      <w:r w:rsidRPr="00C71F5A">
        <w:rPr>
          <w:rFonts w:hint="eastAsia"/>
        </w:rPr>
        <w:t xml:space="preserve">the current mix of </w:t>
      </w:r>
      <w:r w:rsidRPr="00C71F5A">
        <w:t>Executive Officer</w:t>
      </w:r>
      <w:r w:rsidRPr="00C71F5A">
        <w:rPr>
          <w:rFonts w:hint="eastAsia"/>
          <w:lang w:eastAsia="zh-HK"/>
        </w:rPr>
        <w:t xml:space="preserve"> and Archivist Grade </w:t>
      </w:r>
      <w:r w:rsidRPr="00C71F5A">
        <w:rPr>
          <w:lang w:eastAsia="zh-HK"/>
        </w:rPr>
        <w:t>staff</w:t>
      </w:r>
      <w:r w:rsidRPr="00C71F5A">
        <w:rPr>
          <w:rFonts w:hint="eastAsia"/>
          <w:lang w:eastAsia="zh-HK"/>
        </w:rPr>
        <w:t xml:space="preserve"> is essential to help develop </w:t>
      </w:r>
      <w:r w:rsidRPr="00C71F5A">
        <w:rPr>
          <w:lang w:eastAsia="zh-HK"/>
        </w:rPr>
        <w:t xml:space="preserve">the </w:t>
      </w:r>
      <w:r w:rsidRPr="00C71F5A">
        <w:rPr>
          <w:rFonts w:hint="eastAsia"/>
          <w:lang w:eastAsia="zh-HK"/>
        </w:rPr>
        <w:t>GRS</w:t>
      </w:r>
      <w:r>
        <w:rPr>
          <w:lang w:eastAsia="zh-HK"/>
        </w:rPr>
        <w:t>'</w:t>
      </w:r>
      <w:r w:rsidRPr="00C71F5A">
        <w:rPr>
          <w:rFonts w:hint="eastAsia"/>
          <w:lang w:eastAsia="zh-HK"/>
        </w:rPr>
        <w:t xml:space="preserve"> capabilities in the long run.</w:t>
      </w:r>
      <w:r w:rsidRPr="00C71F5A">
        <w:rPr>
          <w:rStyle w:val="FootnoteReference"/>
          <w:lang w:eastAsia="zh-HK"/>
        </w:rPr>
        <w:footnoteReference w:id="344"/>
      </w:r>
      <w:r w:rsidRPr="00C71F5A">
        <w:rPr>
          <w:rFonts w:hint="eastAsia"/>
          <w:lang w:eastAsia="zh-HK"/>
        </w:rPr>
        <w:t xml:space="preserve">  </w:t>
      </w:r>
      <w:r w:rsidRPr="00C71F5A">
        <w:rPr>
          <w:lang w:eastAsia="zh-HK"/>
        </w:rPr>
        <w:t xml:space="preserve">It also observed </w:t>
      </w:r>
      <w:r w:rsidRPr="00C71F5A">
        <w:rPr>
          <w:rFonts w:hint="eastAsia"/>
          <w:lang w:eastAsia="zh-HK"/>
        </w:rPr>
        <w:t xml:space="preserve">that enhancing </w:t>
      </w:r>
      <w:r w:rsidRPr="00C71F5A">
        <w:rPr>
          <w:lang w:eastAsia="zh-HK"/>
        </w:rPr>
        <w:t xml:space="preserve">the </w:t>
      </w:r>
      <w:r w:rsidRPr="00C71F5A">
        <w:rPr>
          <w:rFonts w:hint="eastAsia"/>
          <w:lang w:eastAsia="zh-HK"/>
        </w:rPr>
        <w:t xml:space="preserve">collaboration between recordkeeping specialists and </w:t>
      </w:r>
      <w:r w:rsidRPr="00C71F5A">
        <w:rPr>
          <w:lang w:eastAsia="zh-HK"/>
        </w:rPr>
        <w:t>Executive Officer</w:t>
      </w:r>
      <w:r w:rsidRPr="00C71F5A">
        <w:rPr>
          <w:rFonts w:hint="eastAsia"/>
          <w:lang w:eastAsia="zh-HK"/>
        </w:rPr>
        <w:t xml:space="preserve">-grade staff would be beneficial for </w:t>
      </w:r>
      <w:r w:rsidRPr="00C71F5A">
        <w:rPr>
          <w:lang w:eastAsia="zh-HK"/>
        </w:rPr>
        <w:t xml:space="preserve">the </w:t>
      </w:r>
      <w:r w:rsidRPr="00C71F5A">
        <w:rPr>
          <w:rFonts w:hint="eastAsia"/>
          <w:lang w:eastAsia="zh-HK"/>
        </w:rPr>
        <w:t xml:space="preserve">GRS to become a leader in supporting the management of </w:t>
      </w:r>
      <w:r w:rsidRPr="00C71F5A">
        <w:rPr>
          <w:lang w:eastAsia="zh-HK"/>
        </w:rPr>
        <w:t xml:space="preserve">records and </w:t>
      </w:r>
      <w:r w:rsidRPr="00C71F5A">
        <w:rPr>
          <w:rFonts w:hint="eastAsia"/>
          <w:lang w:eastAsia="zh-HK"/>
        </w:rPr>
        <w:t>archives in the Government</w:t>
      </w:r>
      <w:r w:rsidRPr="00C71F5A">
        <w:rPr>
          <w:rFonts w:hint="eastAsia"/>
        </w:rPr>
        <w:t>.</w:t>
      </w:r>
      <w:r w:rsidRPr="00C71F5A">
        <w:rPr>
          <w:rStyle w:val="FootnoteReference"/>
        </w:rPr>
        <w:footnoteReference w:id="345"/>
      </w:r>
      <w:r w:rsidRPr="00C71F5A">
        <w:rPr>
          <w:rFonts w:hint="eastAsia"/>
        </w:rPr>
        <w:t xml:space="preserve">  </w:t>
      </w:r>
      <w:r w:rsidRPr="00C71F5A">
        <w:rPr>
          <w:lang w:eastAsia="zh-HK"/>
        </w:rPr>
        <w:t xml:space="preserve">Furthermore, the Consultancy Report found that the heads of archival authorities in Australia, Canada and </w:t>
      </w:r>
      <w:r w:rsidRPr="00C71F5A">
        <w:rPr>
          <w:rFonts w:hint="eastAsia"/>
          <w:lang w:eastAsia="zh-HK"/>
        </w:rPr>
        <w:t>England</w:t>
      </w:r>
      <w:r w:rsidRPr="00C71F5A">
        <w:rPr>
          <w:lang w:eastAsia="zh-HK"/>
        </w:rPr>
        <w:t xml:space="preserve"> were not required to have formal qualifications in archives management, </w:t>
      </w:r>
      <w:r w:rsidRPr="00C71F5A">
        <w:rPr>
          <w:rFonts w:hint="eastAsia"/>
          <w:lang w:eastAsia="zh-HK"/>
        </w:rPr>
        <w:t xml:space="preserve">whereas in the </w:t>
      </w:r>
      <w:r w:rsidRPr="00C71F5A">
        <w:rPr>
          <w:lang w:eastAsia="zh-HK"/>
        </w:rPr>
        <w:t>Netherlands, the General State Archivist must have formal archival qualifications.  However, it should be noted that the General Director of the National Archives who was responsible for leading N</w:t>
      </w:r>
      <w:r w:rsidRPr="00C71F5A">
        <w:rPr>
          <w:rFonts w:hint="eastAsia"/>
          <w:lang w:eastAsia="zh-HK"/>
        </w:rPr>
        <w:t xml:space="preserve">ational </w:t>
      </w:r>
      <w:r w:rsidRPr="00C71F5A">
        <w:rPr>
          <w:lang w:eastAsia="zh-HK"/>
        </w:rPr>
        <w:t>A</w:t>
      </w:r>
      <w:r w:rsidRPr="00C71F5A">
        <w:rPr>
          <w:rFonts w:hint="eastAsia"/>
          <w:lang w:eastAsia="zh-HK"/>
        </w:rPr>
        <w:t xml:space="preserve">rchives of the </w:t>
      </w:r>
      <w:r w:rsidRPr="00C71F5A">
        <w:rPr>
          <w:lang w:eastAsia="zh-HK"/>
        </w:rPr>
        <w:t>N</w:t>
      </w:r>
      <w:r w:rsidRPr="00C71F5A">
        <w:rPr>
          <w:rFonts w:hint="eastAsia"/>
          <w:lang w:eastAsia="zh-HK"/>
        </w:rPr>
        <w:t>etherlands</w:t>
      </w:r>
      <w:r w:rsidRPr="00C71F5A">
        <w:rPr>
          <w:lang w:eastAsia="zh-HK"/>
        </w:rPr>
        <w:t xml:space="preserve"> as an institution, was not required to have similar qualifications.</w:t>
      </w:r>
      <w:r w:rsidRPr="00C71F5A">
        <w:rPr>
          <w:rStyle w:val="FootnoteReference"/>
          <w:lang w:eastAsia="zh-HK"/>
        </w:rPr>
        <w:footnoteReference w:id="346"/>
      </w:r>
    </w:p>
    <w:p w:rsidR="00DA7492" w:rsidRPr="00C71F5A" w:rsidRDefault="00DA7492">
      <w:pPr>
        <w:pStyle w:val="ListParagraph"/>
        <w:ind w:left="0"/>
        <w:rPr>
          <w:rFonts w:cs="Arial"/>
        </w:rPr>
      </w:pPr>
    </w:p>
    <w:p w:rsidR="00DA7492" w:rsidRPr="00C71F5A" w:rsidRDefault="00DA7492">
      <w:r w:rsidRPr="00C71F5A">
        <w:t>5.91</w:t>
      </w:r>
      <w:r w:rsidRPr="00C71F5A">
        <w:tab/>
      </w:r>
      <w:r w:rsidRPr="00C71F5A">
        <w:tab/>
        <w:t>The Administration Wing of the Chief Secretary for Administration</w:t>
      </w:r>
      <w:r>
        <w:t>'</w:t>
      </w:r>
      <w:r w:rsidRPr="00C71F5A">
        <w:t xml:space="preserve">s Office and the GRS will </w:t>
      </w:r>
      <w:r w:rsidRPr="00C71F5A">
        <w:rPr>
          <w:lang w:eastAsia="zh-HK"/>
        </w:rPr>
        <w:t>consider</w:t>
      </w:r>
      <w:r w:rsidRPr="00C71F5A">
        <w:t xml:space="preserve"> the recommendations in the Consultancy Report and</w:t>
      </w:r>
      <w:r w:rsidRPr="00C71F5A">
        <w:rPr>
          <w:rFonts w:hint="eastAsia"/>
        </w:rPr>
        <w:t xml:space="preserve"> the outcome of the L</w:t>
      </w:r>
      <w:r w:rsidRPr="00C71F5A">
        <w:t xml:space="preserve">aw </w:t>
      </w:r>
      <w:r w:rsidRPr="00C71F5A">
        <w:rPr>
          <w:rFonts w:hint="eastAsia"/>
        </w:rPr>
        <w:t>R</w:t>
      </w:r>
      <w:r w:rsidRPr="00C71F5A">
        <w:t xml:space="preserve">eform </w:t>
      </w:r>
      <w:r w:rsidRPr="00C71F5A">
        <w:rPr>
          <w:rFonts w:hint="eastAsia"/>
        </w:rPr>
        <w:t>C</w:t>
      </w:r>
      <w:r w:rsidRPr="00C71F5A">
        <w:t>ommission of Hong Kong</w:t>
      </w:r>
      <w:r w:rsidRPr="00C71F5A">
        <w:rPr>
          <w:rFonts w:hint="eastAsia"/>
        </w:rPr>
        <w:t xml:space="preserve"> study</w:t>
      </w:r>
      <w:r w:rsidRPr="00C71F5A">
        <w:t xml:space="preserve"> in determining the way forward</w:t>
      </w:r>
      <w:r w:rsidRPr="00C71F5A">
        <w:rPr>
          <w:rFonts w:hint="eastAsia"/>
        </w:rPr>
        <w:t>.</w:t>
      </w:r>
    </w:p>
    <w:p w:rsidR="00DA7492" w:rsidRPr="00C71F5A" w:rsidRDefault="00DA7492">
      <w:pPr>
        <w:pStyle w:val="ListParagraph"/>
        <w:ind w:left="0"/>
        <w:rPr>
          <w:rFonts w:cs="Arial"/>
        </w:rPr>
      </w:pPr>
    </w:p>
    <w:p w:rsidR="00DA7492" w:rsidRPr="00C71F5A" w:rsidRDefault="00DA7492">
      <w:pPr>
        <w:rPr>
          <w:lang w:eastAsia="zh-HK"/>
        </w:rPr>
      </w:pPr>
      <w:r w:rsidRPr="00C71F5A">
        <w:rPr>
          <w:lang w:eastAsia="zh-HK"/>
        </w:rPr>
        <w:t>5.92</w:t>
      </w:r>
      <w:r w:rsidRPr="00C71F5A">
        <w:rPr>
          <w:lang w:eastAsia="zh-HK"/>
        </w:rPr>
        <w:tab/>
      </w:r>
      <w:r w:rsidRPr="00C71F5A">
        <w:rPr>
          <w:lang w:eastAsia="zh-HK"/>
        </w:rPr>
        <w:tab/>
        <w:t>In August 2016, the Government widened the scope of academic qualification for appointment of Assistant Archivist to include the subjects of information management and library studies, and archives and records management in addition to history, political science, and public administration.  The GRS believes that this is in line with the trend in overseas jurisdictions, and will enable it to recruit Assistant Archivists with suitable academic knowledge in order to build up a team with good mix of expertise to face the challenge under the paradigm shift.</w:t>
      </w:r>
    </w:p>
    <w:p w:rsidR="00DA7492" w:rsidRPr="00C71F5A" w:rsidRDefault="00DA7492">
      <w:pPr>
        <w:pStyle w:val="ListParagraph"/>
        <w:ind w:left="0"/>
        <w:rPr>
          <w:rFonts w:cs="Arial"/>
          <w:lang w:eastAsia="zh-HK"/>
        </w:rPr>
      </w:pPr>
    </w:p>
    <w:p w:rsidR="00DA7492" w:rsidRPr="00C71F5A" w:rsidRDefault="00DA7492">
      <w:pPr>
        <w:rPr>
          <w:lang w:eastAsia="zh-HK"/>
        </w:rPr>
      </w:pPr>
      <w:r w:rsidRPr="00C71F5A">
        <w:rPr>
          <w:lang w:eastAsia="zh-HK"/>
        </w:rPr>
        <w:t>5.93</w:t>
      </w:r>
      <w:r w:rsidRPr="00C71F5A">
        <w:rPr>
          <w:lang w:eastAsia="zh-HK"/>
        </w:rPr>
        <w:tab/>
      </w:r>
      <w:r w:rsidRPr="00C71F5A">
        <w:rPr>
          <w:lang w:eastAsia="zh-HK"/>
        </w:rPr>
        <w:tab/>
        <w:t xml:space="preserve">In addition, </w:t>
      </w:r>
      <w:r w:rsidRPr="00C71F5A">
        <w:t>Archivist Grade officers are provided with intensive on-the-job training in their first year.  After passing the internal proficiency test, they will take a recognised postgraduate diploma programme in archives and records management.  Obtaining this diploma is a p</w:t>
      </w:r>
      <w:r w:rsidRPr="00C71F5A">
        <w:rPr>
          <w:rFonts w:hint="eastAsia"/>
          <w:lang w:eastAsia="zh-HK"/>
        </w:rPr>
        <w:t>rere</w:t>
      </w:r>
      <w:r w:rsidRPr="00C71F5A">
        <w:t>quisite for being considered for promotion.</w:t>
      </w:r>
      <w:r w:rsidRPr="00C71F5A">
        <w:rPr>
          <w:rStyle w:val="FootnoteReference"/>
          <w:rFonts w:cs="Arial"/>
          <w:color w:val="000000"/>
        </w:rPr>
        <w:footnoteReference w:id="347"/>
      </w:r>
    </w:p>
    <w:p w:rsidR="00DA7492" w:rsidRPr="00C71F5A" w:rsidRDefault="00DA7492">
      <w:pPr>
        <w:pStyle w:val="ListParagraph"/>
        <w:ind w:hanging="720"/>
        <w:rPr>
          <w:rFonts w:cs="Arial"/>
        </w:rPr>
      </w:pPr>
    </w:p>
    <w:p w:rsidR="00DA7492" w:rsidRPr="00C71F5A" w:rsidRDefault="00DA7492">
      <w:pPr>
        <w:ind w:left="720" w:hanging="720"/>
        <w:rPr>
          <w:rFonts w:cs="Arial"/>
          <w:b/>
          <w:sz w:val="28"/>
          <w:szCs w:val="28"/>
        </w:rPr>
      </w:pPr>
    </w:p>
    <w:p w:rsidR="00DA7492" w:rsidRPr="00C71F5A" w:rsidRDefault="00DA7492" w:rsidP="00DA7492">
      <w:pPr>
        <w:pStyle w:val="Heading3"/>
        <w:rPr>
          <w:u w:val="single"/>
        </w:rPr>
      </w:pPr>
      <w:r w:rsidRPr="00C71F5A">
        <w:t xml:space="preserve">Our </w:t>
      </w:r>
      <w:r w:rsidRPr="00C71F5A">
        <w:rPr>
          <w:rFonts w:hint="eastAsia"/>
        </w:rPr>
        <w:t>o</w:t>
      </w:r>
      <w:r w:rsidRPr="00C71F5A">
        <w:t>bservation</w:t>
      </w:r>
    </w:p>
    <w:p w:rsidR="00DA7492" w:rsidRPr="00C71F5A" w:rsidRDefault="00DA7492" w:rsidP="00DA7492">
      <w:pPr>
        <w:keepNext/>
        <w:ind w:left="720" w:hanging="720"/>
        <w:rPr>
          <w:rFonts w:cs="Arial"/>
        </w:rPr>
      </w:pPr>
    </w:p>
    <w:p w:rsidR="00DA7492" w:rsidRPr="00D86E22" w:rsidRDefault="00DA7492">
      <w:pPr>
        <w:rPr>
          <w:shd w:val="clear" w:color="auto" w:fill="FFFFFF"/>
        </w:rPr>
      </w:pPr>
      <w:r w:rsidRPr="00C71F5A">
        <w:t>5.94</w:t>
      </w:r>
      <w:r w:rsidRPr="00C71F5A">
        <w:tab/>
      </w:r>
      <w:r w:rsidRPr="00C71F5A">
        <w:tab/>
        <w:t>H</w:t>
      </w:r>
      <w:r w:rsidRPr="00D86E22">
        <w:rPr>
          <w:shd w:val="clear" w:color="auto" w:fill="FFFFFF"/>
        </w:rPr>
        <w:t>aving reviewed comprehensively the situation in Hong Kong and the other jurisdictions, the Consultancy Report set out a number of recommendations around the GRS' role, structure and staffing requirements, including workforce skills and grade level or rank mix, to help the GRS face the challenges and make use of opportunities brought by changing information technologies and practices.</w:t>
      </w:r>
    </w:p>
    <w:p w:rsidR="00DA7492" w:rsidRPr="00D86E22" w:rsidRDefault="00DA7492">
      <w:pPr>
        <w:pStyle w:val="ListParagraph"/>
        <w:ind w:left="0"/>
        <w:rPr>
          <w:rFonts w:cs="Arial"/>
          <w:shd w:val="clear" w:color="auto" w:fill="FFFFFF"/>
        </w:rPr>
      </w:pPr>
    </w:p>
    <w:p w:rsidR="00DA7492" w:rsidRPr="00D86E22" w:rsidRDefault="00DA7492">
      <w:pPr>
        <w:rPr>
          <w:shd w:val="clear" w:color="auto" w:fill="FFFFFF"/>
        </w:rPr>
      </w:pPr>
      <w:r w:rsidRPr="00D86E22">
        <w:rPr>
          <w:shd w:val="clear" w:color="auto" w:fill="FFFFFF"/>
        </w:rPr>
        <w:t>5.95</w:t>
      </w:r>
      <w:r w:rsidRPr="00D86E22">
        <w:rPr>
          <w:shd w:val="clear" w:color="auto" w:fill="FFFFFF"/>
        </w:rPr>
        <w:tab/>
      </w:r>
      <w:r w:rsidRPr="00D86E22">
        <w:rPr>
          <w:shd w:val="clear" w:color="auto" w:fill="FFFFFF"/>
        </w:rPr>
        <w:tab/>
        <w:t xml:space="preserve">With the comprehensive study in the Consultancy Report, we do not intend to reinvent the wheel.  Moreover, resources and manpower supply or allocation within the Government often involves policy, financial, operational and other practical considerations which are outside the Terms of Reference of this study.  These considerations would best be deliberated and balanced by the Government in the light of all relevant data and information.  In the circumstances, we do not make any recommendation on this matter.     </w:t>
      </w:r>
    </w:p>
    <w:p w:rsidR="00DA7492" w:rsidRPr="00D86E22" w:rsidRDefault="00DA7492">
      <w:pPr>
        <w:pStyle w:val="ListParagraph"/>
        <w:ind w:left="0"/>
        <w:rPr>
          <w:rFonts w:cs="Arial"/>
          <w:shd w:val="clear" w:color="auto" w:fill="FFFFFF"/>
        </w:rPr>
      </w:pPr>
    </w:p>
    <w:p w:rsidR="00DA7492" w:rsidRPr="00D86E22" w:rsidRDefault="00DA7492">
      <w:pPr>
        <w:pStyle w:val="ListParagraph"/>
        <w:ind w:left="0"/>
        <w:rPr>
          <w:rFonts w:cs="Arial"/>
          <w:shd w:val="clear" w:color="auto" w:fill="FFFFFF"/>
        </w:rPr>
      </w:pPr>
    </w:p>
    <w:p w:rsidR="00DA7492" w:rsidRPr="00C71F5A" w:rsidRDefault="00DA7492" w:rsidP="00A641F5">
      <w:pPr>
        <w:pStyle w:val="Heading2"/>
        <w:keepNext w:val="0"/>
        <w:tabs>
          <w:tab w:val="clear" w:pos="1418"/>
          <w:tab w:val="left" w:pos="720"/>
        </w:tabs>
      </w:pPr>
      <w:r w:rsidRPr="00C71F5A">
        <w:t xml:space="preserve">(VI) </w:t>
      </w:r>
      <w:r w:rsidRPr="00C71F5A">
        <w:rPr>
          <w:rFonts w:hint="eastAsia"/>
        </w:rPr>
        <w:tab/>
      </w:r>
      <w:r w:rsidRPr="00C71F5A">
        <w:t xml:space="preserve">Electronic </w:t>
      </w:r>
      <w:r w:rsidRPr="00C71F5A">
        <w:rPr>
          <w:rFonts w:hint="eastAsia"/>
        </w:rPr>
        <w:t>r</w:t>
      </w:r>
      <w:r w:rsidRPr="00C71F5A">
        <w:t>ecords</w:t>
      </w:r>
    </w:p>
    <w:p w:rsidR="00DA7492" w:rsidRPr="00C71F5A" w:rsidRDefault="00DA7492" w:rsidP="00DA7492">
      <w:pPr>
        <w:ind w:left="720" w:hanging="720"/>
        <w:rPr>
          <w:rFonts w:cs="Arial"/>
        </w:rPr>
      </w:pPr>
    </w:p>
    <w:p w:rsidR="00DA7492" w:rsidRPr="00C71F5A" w:rsidRDefault="00DA7492" w:rsidP="00A641F5">
      <w:pPr>
        <w:pStyle w:val="Heading3"/>
        <w:keepNext w:val="0"/>
        <w:tabs>
          <w:tab w:val="clear" w:pos="1418"/>
          <w:tab w:val="left" w:pos="720"/>
        </w:tabs>
      </w:pPr>
      <w:r w:rsidRPr="00C71F5A">
        <w:rPr>
          <w:rFonts w:hint="eastAsia"/>
        </w:rPr>
        <w:t>(a)</w:t>
      </w:r>
      <w:r w:rsidRPr="00C71F5A">
        <w:tab/>
        <w:t>Comments</w:t>
      </w:r>
    </w:p>
    <w:p w:rsidR="00DA7492" w:rsidRPr="00C71F5A" w:rsidRDefault="00DA7492" w:rsidP="00DA7492">
      <w:pPr>
        <w:ind w:left="720" w:hanging="720"/>
        <w:rPr>
          <w:rFonts w:cs="Arial"/>
        </w:rPr>
      </w:pPr>
    </w:p>
    <w:p w:rsidR="00DA7492" w:rsidRPr="00C71F5A" w:rsidRDefault="00DA7492" w:rsidP="00A641F5">
      <w:pPr>
        <w:pStyle w:val="ListParagraph"/>
        <w:widowControl/>
        <w:numPr>
          <w:ilvl w:val="0"/>
          <w:numId w:val="30"/>
        </w:numPr>
        <w:tabs>
          <w:tab w:val="clear" w:pos="1418"/>
          <w:tab w:val="left" w:pos="720"/>
        </w:tabs>
        <w:ind w:left="720" w:hanging="720"/>
        <w:contextualSpacing w:val="0"/>
        <w:rPr>
          <w:rFonts w:cs="Arial"/>
          <w:i/>
          <w:sz w:val="20"/>
        </w:rPr>
      </w:pPr>
      <w:r w:rsidRPr="00C71F5A">
        <w:rPr>
          <w:rFonts w:cs="Arial"/>
          <w:i/>
        </w:rPr>
        <w:t>Print-and-file approach</w:t>
      </w:r>
    </w:p>
    <w:p w:rsidR="00DA7492" w:rsidRPr="00C71F5A" w:rsidRDefault="00DA7492" w:rsidP="00DA7492">
      <w:pPr>
        <w:pStyle w:val="ListParagraph"/>
        <w:ind w:hanging="720"/>
        <w:rPr>
          <w:rFonts w:cs="Arial"/>
        </w:rPr>
      </w:pPr>
    </w:p>
    <w:p w:rsidR="00DA7492" w:rsidRPr="00C71F5A" w:rsidRDefault="00DA7492">
      <w:r w:rsidRPr="00C71F5A">
        <w:t>5.96</w:t>
      </w:r>
      <w:r w:rsidRPr="00C71F5A">
        <w:tab/>
      </w:r>
      <w:r w:rsidRPr="00C71F5A">
        <w:tab/>
        <w:t xml:space="preserve">There have been concerns about the current </w:t>
      </w:r>
      <w:r>
        <w:t>"</w:t>
      </w:r>
      <w:r w:rsidRPr="00C71F5A">
        <w:t>print-and-file</w:t>
      </w:r>
      <w:r>
        <w:t>"</w:t>
      </w:r>
      <w:r w:rsidRPr="00C71F5A">
        <w:t xml:space="preserve"> approach mandated by paragraph 7 of </w:t>
      </w:r>
      <w:r w:rsidRPr="00C71F5A">
        <w:rPr>
          <w:rFonts w:hint="eastAsia"/>
          <w:lang w:eastAsia="zh-HK"/>
        </w:rPr>
        <w:t>GC09</w:t>
      </w:r>
      <w:r w:rsidRPr="00C71F5A">
        <w:rPr>
          <w:lang w:eastAsia="zh-HK"/>
        </w:rPr>
        <w:t>, including that</w:t>
      </w:r>
      <w:r w:rsidRPr="00C71F5A">
        <w:t>:-</w:t>
      </w:r>
    </w:p>
    <w:p w:rsidR="00DA7492" w:rsidRPr="00C71F5A" w:rsidRDefault="00DA7492">
      <w:pPr>
        <w:pStyle w:val="ListParagraph"/>
        <w:ind w:hanging="720"/>
        <w:rPr>
          <w:rFonts w:cs="Arial"/>
        </w:rPr>
      </w:pPr>
    </w:p>
    <w:p w:rsidR="00DA7492" w:rsidRPr="00C71F5A" w:rsidRDefault="00DA7492">
      <w:pPr>
        <w:ind w:left="1440" w:hanging="720"/>
        <w:rPr>
          <w:rFonts w:cs="Arial"/>
        </w:rPr>
      </w:pPr>
      <w:r w:rsidRPr="00C71F5A">
        <w:rPr>
          <w:rFonts w:cs="Arial"/>
        </w:rPr>
        <w:t>(</w:t>
      </w:r>
      <w:r w:rsidRPr="00C71F5A">
        <w:rPr>
          <w:rFonts w:cs="Arial" w:hint="eastAsia"/>
        </w:rPr>
        <w:t>i</w:t>
      </w:r>
      <w:r w:rsidRPr="00C71F5A">
        <w:rPr>
          <w:rFonts w:cs="Arial"/>
        </w:rPr>
        <w:t>)</w:t>
      </w:r>
      <w:r w:rsidRPr="00C71F5A">
        <w:rPr>
          <w:rFonts w:cs="Arial"/>
        </w:rPr>
        <w:tab/>
        <w:t>It is environmentally hostile;</w:t>
      </w:r>
    </w:p>
    <w:p w:rsidR="00DA7492" w:rsidRPr="00C71F5A" w:rsidRDefault="00DA7492">
      <w:pPr>
        <w:pStyle w:val="ListParagraph"/>
        <w:ind w:left="1440" w:hanging="720"/>
        <w:rPr>
          <w:rFonts w:cs="Arial"/>
        </w:rPr>
      </w:pPr>
    </w:p>
    <w:p w:rsidR="00DA7492" w:rsidRPr="00C71F5A" w:rsidRDefault="00DA7492">
      <w:pPr>
        <w:ind w:left="1440" w:hanging="720"/>
        <w:rPr>
          <w:rFonts w:cs="Arial"/>
        </w:rPr>
      </w:pPr>
      <w:r w:rsidRPr="00C71F5A">
        <w:rPr>
          <w:rFonts w:cs="Arial"/>
        </w:rPr>
        <w:t>(</w:t>
      </w:r>
      <w:r w:rsidRPr="00C71F5A">
        <w:rPr>
          <w:rFonts w:cs="Arial" w:hint="eastAsia"/>
        </w:rPr>
        <w:t>ii</w:t>
      </w:r>
      <w:r w:rsidRPr="00C71F5A">
        <w:rPr>
          <w:rFonts w:cs="Arial"/>
        </w:rPr>
        <w:t>)</w:t>
      </w:r>
      <w:r w:rsidRPr="00C71F5A">
        <w:rPr>
          <w:rFonts w:cs="Arial"/>
        </w:rPr>
        <w:tab/>
        <w:t>It hinges predominantly on the conscientiousness of individual officers to print and file electronic documents, and is prone to mistakes and omissions;</w:t>
      </w:r>
      <w:r w:rsidRPr="00C71F5A">
        <w:rPr>
          <w:rStyle w:val="FootnoteReference"/>
          <w:rFonts w:cs="Arial"/>
        </w:rPr>
        <w:footnoteReference w:id="348"/>
      </w:r>
    </w:p>
    <w:p w:rsidR="00DA7492" w:rsidRPr="00C71F5A" w:rsidRDefault="00DA7492">
      <w:pPr>
        <w:pStyle w:val="ListParagraph"/>
        <w:ind w:left="1440" w:hanging="720"/>
        <w:rPr>
          <w:rFonts w:cs="Arial"/>
        </w:rPr>
      </w:pPr>
    </w:p>
    <w:p w:rsidR="00DA7492" w:rsidRPr="00C71F5A" w:rsidRDefault="00DA7492">
      <w:pPr>
        <w:ind w:left="1440" w:hanging="720"/>
        <w:rPr>
          <w:rFonts w:cs="Arial"/>
        </w:rPr>
      </w:pPr>
      <w:r w:rsidRPr="00C71F5A">
        <w:rPr>
          <w:rFonts w:cs="Arial"/>
        </w:rPr>
        <w:t>(</w:t>
      </w:r>
      <w:r w:rsidRPr="00C71F5A">
        <w:rPr>
          <w:rFonts w:cs="Arial" w:hint="eastAsia"/>
        </w:rPr>
        <w:t>iii</w:t>
      </w:r>
      <w:r w:rsidRPr="00C71F5A">
        <w:rPr>
          <w:rFonts w:cs="Arial"/>
        </w:rPr>
        <w:t>)</w:t>
      </w:r>
      <w:r w:rsidRPr="00C71F5A">
        <w:rPr>
          <w:rFonts w:cs="Arial"/>
        </w:rPr>
        <w:tab/>
        <w:t>It does not ensure consistency and applicability across the board;</w:t>
      </w:r>
      <w:r w:rsidRPr="00C71F5A">
        <w:rPr>
          <w:rStyle w:val="FootnoteReference"/>
          <w:rFonts w:cs="Arial"/>
        </w:rPr>
        <w:footnoteReference w:id="349"/>
      </w:r>
    </w:p>
    <w:p w:rsidR="00DA7492" w:rsidRPr="00C71F5A" w:rsidRDefault="00DA7492">
      <w:pPr>
        <w:pStyle w:val="ListParagraph"/>
        <w:ind w:left="1440" w:hanging="720"/>
        <w:rPr>
          <w:rFonts w:cs="Arial"/>
        </w:rPr>
      </w:pPr>
    </w:p>
    <w:p w:rsidR="00DA7492" w:rsidRPr="00C71F5A" w:rsidRDefault="00DA7492">
      <w:pPr>
        <w:ind w:left="1440" w:hanging="720"/>
        <w:rPr>
          <w:rFonts w:cs="Arial"/>
        </w:rPr>
      </w:pPr>
      <w:r w:rsidRPr="00C71F5A">
        <w:rPr>
          <w:rFonts w:cs="Arial"/>
        </w:rPr>
        <w:t>(</w:t>
      </w:r>
      <w:r w:rsidRPr="00C71F5A">
        <w:rPr>
          <w:rFonts w:cs="Arial" w:hint="eastAsia"/>
        </w:rPr>
        <w:t>iv</w:t>
      </w:r>
      <w:r w:rsidRPr="00C71F5A">
        <w:rPr>
          <w:rFonts w:cs="Arial"/>
        </w:rPr>
        <w:t>)</w:t>
      </w:r>
      <w:r w:rsidRPr="00C71F5A">
        <w:rPr>
          <w:rFonts w:cs="Arial"/>
        </w:rPr>
        <w:tab/>
        <w:t>It is unsatisfactory because electronic records can be easily and undetectably altered before being printed;</w:t>
      </w:r>
    </w:p>
    <w:p w:rsidR="00DA7492" w:rsidRPr="00C71F5A" w:rsidRDefault="00DA7492">
      <w:pPr>
        <w:pStyle w:val="ListParagraph"/>
        <w:ind w:left="1440" w:hanging="720"/>
        <w:rPr>
          <w:rFonts w:cs="Arial"/>
        </w:rPr>
      </w:pPr>
    </w:p>
    <w:p w:rsidR="00DA7492" w:rsidRPr="00C71F5A" w:rsidRDefault="00DA7492">
      <w:pPr>
        <w:ind w:left="1440" w:hanging="720"/>
        <w:rPr>
          <w:rFonts w:cs="Arial"/>
        </w:rPr>
      </w:pPr>
      <w:r w:rsidRPr="00C71F5A">
        <w:rPr>
          <w:rFonts w:cs="Arial"/>
        </w:rPr>
        <w:t>(</w:t>
      </w:r>
      <w:r w:rsidRPr="00C71F5A">
        <w:rPr>
          <w:rFonts w:cs="Arial" w:hint="eastAsia"/>
        </w:rPr>
        <w:t>v</w:t>
      </w:r>
      <w:r w:rsidRPr="00C71F5A">
        <w:rPr>
          <w:rFonts w:cs="Arial"/>
        </w:rPr>
        <w:t>)</w:t>
      </w:r>
      <w:r w:rsidRPr="00C71F5A">
        <w:rPr>
          <w:rFonts w:cs="Arial"/>
        </w:rPr>
        <w:tab/>
        <w:t>It is inefficient because some records such as audio and video files simply cannot be reproduced in printed form.</w:t>
      </w:r>
      <w:r w:rsidRPr="00C71F5A">
        <w:rPr>
          <w:rStyle w:val="FootnoteReference"/>
          <w:rFonts w:cs="Arial"/>
        </w:rPr>
        <w:footnoteReference w:id="350"/>
      </w:r>
    </w:p>
    <w:p w:rsidR="00DA7492" w:rsidRPr="00C71F5A" w:rsidRDefault="00DA7492">
      <w:pPr>
        <w:ind w:left="720" w:hanging="720"/>
        <w:rPr>
          <w:rFonts w:cs="Arial"/>
        </w:rPr>
      </w:pPr>
    </w:p>
    <w:p w:rsidR="00DA7492" w:rsidRPr="00C71F5A" w:rsidRDefault="00DA7492" w:rsidP="00A641F5">
      <w:pPr>
        <w:pStyle w:val="ListParagraph"/>
        <w:keepNext/>
        <w:widowControl/>
        <w:numPr>
          <w:ilvl w:val="0"/>
          <w:numId w:val="30"/>
        </w:numPr>
        <w:tabs>
          <w:tab w:val="clear" w:pos="1418"/>
          <w:tab w:val="left" w:pos="720"/>
        </w:tabs>
        <w:ind w:left="720" w:hanging="720"/>
        <w:contextualSpacing w:val="0"/>
        <w:rPr>
          <w:rFonts w:cs="Arial"/>
          <w:i/>
          <w:sz w:val="20"/>
          <w:lang w:eastAsia="zh-HK"/>
        </w:rPr>
      </w:pPr>
      <w:r w:rsidRPr="00C71F5A">
        <w:rPr>
          <w:rFonts w:cs="Arial"/>
          <w:i/>
        </w:rPr>
        <w:lastRenderedPageBreak/>
        <w:t>Pace of implementation of ERKS</w:t>
      </w:r>
    </w:p>
    <w:p w:rsidR="00DA7492" w:rsidRPr="00C71F5A" w:rsidRDefault="00DA7492" w:rsidP="00DA7492">
      <w:pPr>
        <w:pStyle w:val="ListParagraph"/>
        <w:keepNext/>
        <w:ind w:hanging="720"/>
        <w:rPr>
          <w:rFonts w:cs="Arial"/>
        </w:rPr>
      </w:pPr>
    </w:p>
    <w:p w:rsidR="00DA7492" w:rsidRPr="00C71F5A" w:rsidRDefault="00DA7492">
      <w:r w:rsidRPr="00C71F5A">
        <w:t>5.97</w:t>
      </w:r>
      <w:r w:rsidRPr="00C71F5A">
        <w:tab/>
      </w:r>
      <w:r w:rsidRPr="00C71F5A">
        <w:rPr>
          <w:rFonts w:hint="eastAsia"/>
        </w:rPr>
        <w:tab/>
      </w:r>
      <w:r w:rsidRPr="00C71F5A">
        <w:t xml:space="preserve">The GRS has since 2001 been working with the OCGIO and the Efficiency </w:t>
      </w:r>
      <w:r>
        <w:t>Office</w:t>
      </w:r>
      <w:r w:rsidRPr="00C71F5A">
        <w:t xml:space="preserve"> to devise a policy, strategies, standards and management tools for the effective management of both electronic and non-electronic records with the long-term goal for each B/D to develop ERKS.</w:t>
      </w:r>
      <w:r w:rsidRPr="00C71F5A">
        <w:rPr>
          <w:rStyle w:val="FootnoteReference"/>
          <w:rFonts w:cs="Arial"/>
        </w:rPr>
        <w:footnoteReference w:id="351"/>
      </w:r>
    </w:p>
    <w:p w:rsidR="00DA7492" w:rsidRPr="00C71F5A" w:rsidRDefault="00DA7492">
      <w:pPr>
        <w:pStyle w:val="ListParagraph"/>
        <w:ind w:left="622"/>
        <w:rPr>
          <w:rFonts w:cs="Arial"/>
        </w:rPr>
      </w:pPr>
    </w:p>
    <w:p w:rsidR="00DA7492" w:rsidRPr="00C71F5A" w:rsidRDefault="00DA7492">
      <w:r w:rsidRPr="00C71F5A">
        <w:t>5.98</w:t>
      </w:r>
      <w:r w:rsidRPr="00C71F5A">
        <w:tab/>
      </w:r>
      <w:r w:rsidRPr="00C71F5A">
        <w:rPr>
          <w:rFonts w:hint="eastAsia"/>
        </w:rPr>
        <w:tab/>
      </w:r>
      <w:r w:rsidRPr="00C71F5A">
        <w:t>There were concerns that the progress was slow and the Government had not specified a timetable for B/Ds to develop or adopt ERKS.  The Ombudsman cautioned that more records might fail to be captured and be lost forever.  This would result in irreversible disappearance of information and hence risks in legal actions, decrease in efficiency and damage to reputation.</w:t>
      </w:r>
      <w:r w:rsidRPr="00C71F5A">
        <w:rPr>
          <w:rStyle w:val="FootnoteReference"/>
          <w:rFonts w:cs="Arial"/>
        </w:rPr>
        <w:footnoteReference w:id="352"/>
      </w:r>
    </w:p>
    <w:p w:rsidR="00DA7492" w:rsidRPr="00C71F5A" w:rsidRDefault="00DA7492">
      <w:pPr>
        <w:pStyle w:val="ListParagraph"/>
        <w:ind w:hanging="720"/>
        <w:rPr>
          <w:rFonts w:cs="Arial"/>
          <w:b/>
        </w:rPr>
      </w:pPr>
    </w:p>
    <w:p w:rsidR="00DA7492" w:rsidRPr="00C71F5A" w:rsidRDefault="00DA7492">
      <w:r w:rsidRPr="00C71F5A">
        <w:t>5.99</w:t>
      </w:r>
      <w:r w:rsidRPr="00C71F5A">
        <w:tab/>
      </w:r>
      <w:r w:rsidRPr="00C71F5A">
        <w:rPr>
          <w:rFonts w:hint="eastAsia"/>
        </w:rPr>
        <w:tab/>
      </w:r>
      <w:r w:rsidRPr="00C71F5A">
        <w:t>The Ombudsman suggested that the Government should, pending legislation,</w:t>
      </w:r>
    </w:p>
    <w:p w:rsidR="00DA7492" w:rsidRPr="00C71F5A" w:rsidRDefault="00DA7492">
      <w:pPr>
        <w:pStyle w:val="ListParagraph"/>
        <w:ind w:hanging="720"/>
        <w:rPr>
          <w:rFonts w:cs="Arial"/>
        </w:rPr>
      </w:pPr>
    </w:p>
    <w:p w:rsidR="00DA7492" w:rsidRPr="00C71F5A" w:rsidRDefault="00DA7492" w:rsidP="00D86E22">
      <w:pPr>
        <w:pStyle w:val="ListParagraph"/>
        <w:widowControl/>
        <w:numPr>
          <w:ilvl w:val="0"/>
          <w:numId w:val="42"/>
        </w:numPr>
        <w:ind w:left="1418" w:hanging="938"/>
        <w:contextualSpacing w:val="0"/>
        <w:rPr>
          <w:rFonts w:cs="Arial"/>
        </w:rPr>
      </w:pPr>
      <w:r w:rsidRPr="00C71F5A">
        <w:rPr>
          <w:rFonts w:cs="Arial"/>
        </w:rPr>
        <w:t xml:space="preserve">map out as soon as possible a clear and comprehensive implementation plan of ERKS and </w:t>
      </w:r>
      <w:r w:rsidRPr="00C71F5A">
        <w:rPr>
          <w:rFonts w:cs="Arial" w:hint="eastAsia"/>
          <w:lang w:eastAsia="zh-HK"/>
        </w:rPr>
        <w:t>electronic records management (</w:t>
      </w:r>
      <w:r w:rsidRPr="00C71F5A">
        <w:rPr>
          <w:rFonts w:cs="Arial"/>
        </w:rPr>
        <w:t>ERM</w:t>
      </w:r>
      <w:r w:rsidRPr="00C71F5A">
        <w:rPr>
          <w:rFonts w:cs="Arial" w:hint="eastAsia"/>
          <w:lang w:eastAsia="zh-HK"/>
        </w:rPr>
        <w:t>)</w:t>
      </w:r>
      <w:r w:rsidRPr="00C71F5A">
        <w:rPr>
          <w:rFonts w:cs="Arial"/>
        </w:rPr>
        <w:t xml:space="preserve"> with timelines for all parties concerned;</w:t>
      </w:r>
    </w:p>
    <w:p w:rsidR="00DA7492" w:rsidRPr="00C71F5A" w:rsidRDefault="00DA7492" w:rsidP="00DA7492">
      <w:pPr>
        <w:pStyle w:val="ListParagraph"/>
        <w:ind w:left="1418" w:hanging="938"/>
        <w:rPr>
          <w:rFonts w:cs="Arial"/>
        </w:rPr>
      </w:pPr>
    </w:p>
    <w:p w:rsidR="00DA7492" w:rsidRPr="00C71F5A" w:rsidRDefault="00DA7492" w:rsidP="00D86E22">
      <w:pPr>
        <w:pStyle w:val="ListParagraph"/>
        <w:widowControl/>
        <w:numPr>
          <w:ilvl w:val="0"/>
          <w:numId w:val="42"/>
        </w:numPr>
        <w:ind w:left="1418" w:hanging="938"/>
        <w:contextualSpacing w:val="0"/>
        <w:rPr>
          <w:rFonts w:cs="Arial"/>
        </w:rPr>
      </w:pPr>
      <w:r w:rsidRPr="00C71F5A">
        <w:rPr>
          <w:rFonts w:cs="Arial"/>
        </w:rPr>
        <w:t>as a matter of priority, conduct studies to gauge the electronic records management situations in B/Ds, with a view to identifying problems in the different practices and plugging loopholes; and</w:t>
      </w:r>
    </w:p>
    <w:p w:rsidR="00DA7492" w:rsidRPr="00C71F5A" w:rsidRDefault="00DA7492" w:rsidP="00DA7492">
      <w:pPr>
        <w:pStyle w:val="ListParagraph"/>
        <w:ind w:left="1418" w:hanging="938"/>
        <w:rPr>
          <w:rFonts w:cs="Arial"/>
        </w:rPr>
      </w:pPr>
    </w:p>
    <w:p w:rsidR="00DA7492" w:rsidRPr="00C71F5A" w:rsidRDefault="00DA7492" w:rsidP="00D86E22">
      <w:pPr>
        <w:pStyle w:val="ListParagraph"/>
        <w:widowControl/>
        <w:numPr>
          <w:ilvl w:val="0"/>
          <w:numId w:val="42"/>
        </w:numPr>
        <w:ind w:left="1418" w:hanging="938"/>
        <w:contextualSpacing w:val="0"/>
        <w:rPr>
          <w:rFonts w:cs="Arial"/>
        </w:rPr>
      </w:pPr>
      <w:r w:rsidRPr="00C71F5A">
        <w:rPr>
          <w:rFonts w:cs="Arial"/>
        </w:rPr>
        <w:t>provide B/Ds with specific and practical guidelines on the management of the hybrid of paper, electronic and other forms of records.</w:t>
      </w:r>
      <w:r w:rsidRPr="00C71F5A">
        <w:rPr>
          <w:rStyle w:val="FootnoteReference"/>
          <w:rFonts w:cs="Arial"/>
        </w:rPr>
        <w:footnoteReference w:id="353"/>
      </w:r>
    </w:p>
    <w:p w:rsidR="00DA7492" w:rsidRPr="00C71F5A" w:rsidRDefault="00DA7492">
      <w:pPr>
        <w:ind w:left="720" w:hanging="720"/>
        <w:rPr>
          <w:rFonts w:cs="Arial"/>
          <w:b/>
        </w:rPr>
      </w:pPr>
    </w:p>
    <w:p w:rsidR="00DA7492" w:rsidRPr="00C71F5A" w:rsidRDefault="00DA7492">
      <w:pPr>
        <w:ind w:left="720" w:hanging="720"/>
        <w:rPr>
          <w:rFonts w:cs="Arial"/>
          <w:b/>
        </w:rPr>
      </w:pPr>
    </w:p>
    <w:p w:rsidR="00DA7492" w:rsidRPr="00C71F5A" w:rsidRDefault="00DA7492" w:rsidP="00A641F5">
      <w:pPr>
        <w:pStyle w:val="Heading3"/>
        <w:tabs>
          <w:tab w:val="clear" w:pos="1418"/>
          <w:tab w:val="left" w:pos="720"/>
        </w:tabs>
      </w:pPr>
      <w:r w:rsidRPr="00C71F5A">
        <w:rPr>
          <w:rFonts w:hint="eastAsia"/>
        </w:rPr>
        <w:t>(b)</w:t>
      </w:r>
      <w:r w:rsidRPr="00C71F5A">
        <w:tab/>
        <w:t>Government</w:t>
      </w:r>
      <w:r>
        <w:t>'</w:t>
      </w:r>
      <w:r w:rsidRPr="00C71F5A">
        <w:t xml:space="preserve">s </w:t>
      </w:r>
      <w:r w:rsidRPr="00C71F5A">
        <w:rPr>
          <w:rFonts w:hint="eastAsia"/>
        </w:rPr>
        <w:t>s</w:t>
      </w:r>
      <w:r w:rsidRPr="00C71F5A">
        <w:t xml:space="preserve">tance or </w:t>
      </w:r>
      <w:r w:rsidRPr="00C71F5A">
        <w:rPr>
          <w:rFonts w:hint="eastAsia"/>
        </w:rPr>
        <w:t>r</w:t>
      </w:r>
      <w:r w:rsidRPr="00C71F5A">
        <w:t>esponse</w:t>
      </w:r>
      <w:r w:rsidRPr="00C71F5A">
        <w:rPr>
          <w:rStyle w:val="FootnoteReference"/>
          <w:rFonts w:cs="Arial"/>
          <w:i w:val="0"/>
        </w:rPr>
        <w:footnoteReference w:id="354"/>
      </w:r>
    </w:p>
    <w:p w:rsidR="00DA7492" w:rsidRPr="00C71F5A" w:rsidRDefault="00DA7492">
      <w:pPr>
        <w:pStyle w:val="ListParagraph"/>
        <w:keepNext/>
        <w:ind w:hanging="720"/>
        <w:rPr>
          <w:rFonts w:cs="Arial"/>
        </w:rPr>
      </w:pPr>
    </w:p>
    <w:p w:rsidR="00DA7492" w:rsidRDefault="00DA7492" w:rsidP="00850126">
      <w:r w:rsidRPr="00C71F5A">
        <w:t>5.100</w:t>
      </w:r>
      <w:r w:rsidRPr="00C71F5A">
        <w:tab/>
      </w:r>
      <w:r w:rsidRPr="00C71F5A">
        <w:tab/>
        <w:t xml:space="preserve">The Electronic Information Management Steering Group convened by the Government Chief Information Officer (with members from GRS, </w:t>
      </w:r>
      <w:r w:rsidRPr="00C71F5A">
        <w:rPr>
          <w:rFonts w:hint="eastAsia"/>
          <w:lang w:eastAsia="zh-HK"/>
        </w:rPr>
        <w:t xml:space="preserve">OGCIO </w:t>
      </w:r>
      <w:r w:rsidRPr="00C71F5A">
        <w:t xml:space="preserve">and </w:t>
      </w:r>
      <w:r w:rsidRPr="00C71F5A">
        <w:rPr>
          <w:rFonts w:hint="eastAsia"/>
          <w:lang w:eastAsia="zh-HK"/>
        </w:rPr>
        <w:t>E</w:t>
      </w:r>
      <w:r>
        <w:rPr>
          <w:lang w:eastAsia="zh-HK"/>
        </w:rPr>
        <w:t>O</w:t>
      </w:r>
      <w:r w:rsidRPr="00C71F5A">
        <w:t xml:space="preserve">) </w:t>
      </w:r>
      <w:r w:rsidRPr="00C71F5A">
        <w:rPr>
          <w:lang w:eastAsia="zh-HK"/>
        </w:rPr>
        <w:t>has been</w:t>
      </w:r>
      <w:r w:rsidRPr="00C71F5A">
        <w:t xml:space="preserve"> reviewing the implementation progress of electronic information management as well as the implementation plan for B/Ds to carry out initiatives relating to ERKS and ERM, and working on providing more concrete support for B/Ds with a view to promoting a wider rollout of ERKS in the Government.</w:t>
      </w:r>
    </w:p>
    <w:p w:rsidR="00850126" w:rsidRDefault="00850126" w:rsidP="00850126"/>
    <w:p w:rsidR="00DA7492" w:rsidRPr="00C71F5A" w:rsidRDefault="00DA7492">
      <w:r w:rsidRPr="00C71F5A">
        <w:lastRenderedPageBreak/>
        <w:t>5.101</w:t>
      </w:r>
      <w:r w:rsidRPr="00C71F5A">
        <w:tab/>
      </w:r>
      <w:r w:rsidRPr="00C71F5A">
        <w:tab/>
        <w:t xml:space="preserve">The </w:t>
      </w:r>
      <w:r w:rsidRPr="00C71F5A">
        <w:rPr>
          <w:rFonts w:hint="eastAsia"/>
        </w:rPr>
        <w:t>Government has been implementing ERKS and five B/Ds</w:t>
      </w:r>
      <w:r w:rsidRPr="00C71F5A">
        <w:t xml:space="preserve"> </w:t>
      </w:r>
      <w:r w:rsidRPr="00C71F5A">
        <w:rPr>
          <w:rFonts w:hint="eastAsia"/>
        </w:rPr>
        <w:t>have implemented ERKS in the first phase.</w:t>
      </w:r>
      <w:r w:rsidRPr="00C71F5A">
        <w:rPr>
          <w:rStyle w:val="FootnoteReference"/>
          <w:rFonts w:cs="Arial"/>
        </w:rPr>
        <w:footnoteReference w:id="355"/>
      </w:r>
      <w:r w:rsidRPr="00C71F5A">
        <w:t xml:space="preserve"> </w:t>
      </w:r>
      <w:r w:rsidRPr="00C71F5A">
        <w:rPr>
          <w:rFonts w:hint="eastAsia"/>
        </w:rPr>
        <w:t xml:space="preserve"> </w:t>
      </w:r>
      <w:r w:rsidRPr="00C71F5A">
        <w:rPr>
          <w:lang w:eastAsia="zh-HK"/>
        </w:rPr>
        <w:t>T</w:t>
      </w:r>
      <w:r w:rsidRPr="00C71F5A">
        <w:t xml:space="preserve">he </w:t>
      </w:r>
      <w:r w:rsidRPr="00C71F5A">
        <w:rPr>
          <w:rFonts w:hint="eastAsia"/>
          <w:lang w:eastAsia="zh-HK"/>
        </w:rPr>
        <w:t>second phase</w:t>
      </w:r>
      <w:r w:rsidRPr="00C71F5A">
        <w:t xml:space="preserve"> involves six B/Ds of a larger scale and with more complex recordkeeping requirements, with the aim of ensuring that implementation issues have been comprehensively addressed and a more certain evaluation of costs and benefits can be made before full extension of ERKS across the Government.</w:t>
      </w:r>
    </w:p>
    <w:p w:rsidR="00DA7492" w:rsidRPr="00C71F5A" w:rsidRDefault="00DA7492">
      <w:pPr>
        <w:pStyle w:val="ListParagraph"/>
        <w:ind w:left="622"/>
        <w:rPr>
          <w:rFonts w:cs="Arial"/>
        </w:rPr>
      </w:pPr>
    </w:p>
    <w:p w:rsidR="00DA7492" w:rsidRPr="00C71F5A" w:rsidRDefault="00DA7492">
      <w:r w:rsidRPr="00C71F5A">
        <w:rPr>
          <w:lang w:eastAsia="zh-HK"/>
        </w:rPr>
        <w:t>5.102</w:t>
      </w:r>
      <w:r w:rsidRPr="00C71F5A">
        <w:rPr>
          <w:lang w:eastAsia="zh-HK"/>
        </w:rPr>
        <w:tab/>
      </w:r>
      <w:r w:rsidRPr="00C71F5A">
        <w:rPr>
          <w:lang w:eastAsia="zh-HK"/>
        </w:rPr>
        <w:tab/>
        <w:t xml:space="preserve">The second phase started </w:t>
      </w:r>
      <w:r w:rsidRPr="00C71F5A">
        <w:rPr>
          <w:rFonts w:hint="eastAsia"/>
          <w:lang w:eastAsia="zh-HK"/>
        </w:rPr>
        <w:t xml:space="preserve">in </w:t>
      </w:r>
      <w:r w:rsidRPr="00C71F5A">
        <w:rPr>
          <w:lang w:eastAsia="zh-HK"/>
        </w:rPr>
        <w:t>late 2015.</w:t>
      </w:r>
      <w:r w:rsidRPr="00C71F5A">
        <w:rPr>
          <w:rFonts w:hint="eastAsia"/>
          <w:lang w:eastAsia="zh-HK"/>
        </w:rPr>
        <w:t xml:space="preserve"> </w:t>
      </w:r>
      <w:r w:rsidRPr="00C71F5A">
        <w:rPr>
          <w:lang w:eastAsia="zh-HK"/>
        </w:rPr>
        <w:t xml:space="preserve"> Three out of the </w:t>
      </w:r>
      <w:r w:rsidRPr="00C71F5A">
        <w:rPr>
          <w:rFonts w:hint="eastAsia"/>
          <w:lang w:eastAsia="zh-HK"/>
        </w:rPr>
        <w:t>six B/Ds</w:t>
      </w:r>
      <w:r w:rsidRPr="00C71F5A">
        <w:rPr>
          <w:lang w:eastAsia="zh-HK"/>
        </w:rPr>
        <w:t xml:space="preserve"> involved have successfully launched their ERKS</w:t>
      </w:r>
      <w:r w:rsidRPr="00C71F5A">
        <w:rPr>
          <w:rFonts w:hint="eastAsia"/>
          <w:lang w:eastAsia="zh-HK"/>
        </w:rPr>
        <w:t xml:space="preserve"> by March 2017</w:t>
      </w:r>
      <w:r w:rsidRPr="00C71F5A">
        <w:rPr>
          <w:lang w:eastAsia="zh-HK"/>
        </w:rPr>
        <w:t>.</w:t>
      </w:r>
      <w:r w:rsidRPr="00C71F5A">
        <w:rPr>
          <w:rStyle w:val="FootnoteReference"/>
          <w:rFonts w:cs="Arial"/>
          <w:lang w:eastAsia="zh-HK"/>
        </w:rPr>
        <w:footnoteReference w:id="356"/>
      </w:r>
      <w:r w:rsidRPr="00C71F5A">
        <w:rPr>
          <w:lang w:eastAsia="zh-HK"/>
        </w:rPr>
        <w:t xml:space="preserve"> </w:t>
      </w:r>
      <w:r w:rsidRPr="00C71F5A">
        <w:rPr>
          <w:rFonts w:hint="eastAsia"/>
          <w:lang w:eastAsia="zh-HK"/>
        </w:rPr>
        <w:t xml:space="preserve"> </w:t>
      </w:r>
      <w:r w:rsidRPr="00C71F5A">
        <w:rPr>
          <w:lang w:eastAsia="zh-HK"/>
        </w:rPr>
        <w:t xml:space="preserve">The remaining </w:t>
      </w:r>
      <w:r w:rsidRPr="00C71F5A">
        <w:rPr>
          <w:rFonts w:hint="eastAsia"/>
          <w:lang w:eastAsia="zh-HK"/>
        </w:rPr>
        <w:t>three</w:t>
      </w:r>
      <w:r w:rsidRPr="00C71F5A">
        <w:rPr>
          <w:lang w:eastAsia="zh-HK"/>
        </w:rPr>
        <w:t xml:space="preserve"> have been implementing the</w:t>
      </w:r>
      <w:r w:rsidRPr="00C71F5A">
        <w:rPr>
          <w:rFonts w:hint="eastAsia"/>
          <w:lang w:eastAsia="zh-HK"/>
        </w:rPr>
        <w:t>ir</w:t>
      </w:r>
      <w:r w:rsidRPr="00C71F5A">
        <w:rPr>
          <w:lang w:eastAsia="zh-HK"/>
        </w:rPr>
        <w:t xml:space="preserve"> ERKS progressively from March 2017 to January 2020.</w:t>
      </w:r>
      <w:r w:rsidRPr="00C71F5A">
        <w:rPr>
          <w:rStyle w:val="FootnoteReference"/>
          <w:rFonts w:cs="Arial"/>
          <w:lang w:eastAsia="zh-HK"/>
        </w:rPr>
        <w:footnoteReference w:id="357"/>
      </w:r>
      <w:r w:rsidRPr="00C71F5A">
        <w:rPr>
          <w:rFonts w:hint="eastAsia"/>
          <w:lang w:eastAsia="zh-HK"/>
        </w:rPr>
        <w:t xml:space="preserve"> </w:t>
      </w:r>
      <w:r w:rsidRPr="00C71F5A">
        <w:rPr>
          <w:lang w:eastAsia="zh-HK"/>
        </w:rPr>
        <w:t xml:space="preserve"> </w:t>
      </w:r>
      <w:r w:rsidRPr="00C71F5A">
        <w:rPr>
          <w:rFonts w:hint="eastAsia"/>
          <w:lang w:eastAsia="zh-HK"/>
        </w:rPr>
        <w:t xml:space="preserve">The Government </w:t>
      </w:r>
      <w:r w:rsidRPr="00C71F5A">
        <w:rPr>
          <w:lang w:eastAsia="zh-HK"/>
        </w:rPr>
        <w:t>will conduct a review in 2018 with a view to formulating the long-term strategy for full extension of ERKS across the Government.</w:t>
      </w:r>
    </w:p>
    <w:p w:rsidR="00DA7492" w:rsidRPr="00C71F5A" w:rsidRDefault="00DA7492">
      <w:pPr>
        <w:pStyle w:val="ListParagraph"/>
        <w:ind w:left="622"/>
        <w:rPr>
          <w:rFonts w:cs="Arial"/>
        </w:rPr>
      </w:pPr>
    </w:p>
    <w:p w:rsidR="00DA7492" w:rsidRPr="00C71F5A" w:rsidRDefault="00DA7492">
      <w:r w:rsidRPr="00C71F5A">
        <w:rPr>
          <w:lang w:eastAsia="zh-HK"/>
        </w:rPr>
        <w:t>5.103</w:t>
      </w:r>
      <w:r w:rsidRPr="00C71F5A">
        <w:rPr>
          <w:lang w:eastAsia="zh-HK"/>
        </w:rPr>
        <w:tab/>
      </w:r>
      <w:r w:rsidRPr="00C71F5A">
        <w:rPr>
          <w:lang w:eastAsia="zh-HK"/>
        </w:rPr>
        <w:tab/>
      </w:r>
      <w:r w:rsidRPr="00C71F5A">
        <w:rPr>
          <w:rFonts w:hint="eastAsia"/>
          <w:lang w:eastAsia="zh-HK"/>
        </w:rPr>
        <w:t xml:space="preserve">Looking ahead, </w:t>
      </w:r>
      <w:r w:rsidRPr="00C71F5A">
        <w:rPr>
          <w:lang w:eastAsia="zh-HK"/>
        </w:rPr>
        <w:t xml:space="preserve">the Government has placed key priority on </w:t>
      </w:r>
      <w:r w:rsidRPr="00C71F5A">
        <w:rPr>
          <w:rFonts w:hint="eastAsia"/>
          <w:lang w:eastAsia="zh-HK"/>
        </w:rPr>
        <w:t xml:space="preserve">promoting a wider adoption of ERKS </w:t>
      </w:r>
      <w:r w:rsidRPr="00C71F5A">
        <w:rPr>
          <w:lang w:eastAsia="zh-HK"/>
        </w:rPr>
        <w:t>in B/Ds</w:t>
      </w:r>
      <w:r w:rsidRPr="00C71F5A">
        <w:rPr>
          <w:rFonts w:hint="eastAsia"/>
          <w:lang w:eastAsia="zh-HK"/>
        </w:rPr>
        <w:t xml:space="preserve"> in a more rapid manner and equipping GRS to </w:t>
      </w:r>
      <w:r w:rsidRPr="00C71F5A">
        <w:rPr>
          <w:lang w:eastAsia="zh-HK"/>
        </w:rPr>
        <w:t>respond</w:t>
      </w:r>
      <w:r w:rsidRPr="00C71F5A">
        <w:rPr>
          <w:rFonts w:hint="eastAsia"/>
          <w:lang w:eastAsia="zh-HK"/>
        </w:rPr>
        <w:t xml:space="preserve"> to the </w:t>
      </w:r>
      <w:r w:rsidRPr="00C71F5A">
        <w:rPr>
          <w:lang w:eastAsia="zh-HK"/>
        </w:rPr>
        <w:t>paradigm</w:t>
      </w:r>
      <w:r w:rsidRPr="00C71F5A">
        <w:rPr>
          <w:rFonts w:hint="eastAsia"/>
          <w:lang w:eastAsia="zh-HK"/>
        </w:rPr>
        <w:t xml:space="preserve"> shift </w:t>
      </w:r>
      <w:r w:rsidRPr="00C71F5A">
        <w:rPr>
          <w:lang w:eastAsia="zh-HK"/>
        </w:rPr>
        <w:t xml:space="preserve">brought by digital technology </w:t>
      </w:r>
      <w:r w:rsidRPr="00C71F5A">
        <w:rPr>
          <w:rFonts w:hint="eastAsia"/>
          <w:lang w:eastAsia="zh-HK"/>
        </w:rPr>
        <w:t>by</w:t>
      </w:r>
      <w:r w:rsidRPr="00C71F5A">
        <w:rPr>
          <w:lang w:eastAsia="zh-HK"/>
        </w:rPr>
        <w:t xml:space="preserve">, </w:t>
      </w:r>
      <w:r w:rsidRPr="00C71F5A">
        <w:rPr>
          <w:i/>
          <w:lang w:eastAsia="zh-HK"/>
        </w:rPr>
        <w:t>inter alia,</w:t>
      </w:r>
      <w:r w:rsidRPr="00C71F5A">
        <w:rPr>
          <w:rFonts w:hint="eastAsia"/>
          <w:lang w:eastAsia="zh-HK"/>
        </w:rPr>
        <w:t xml:space="preserve"> setting </w:t>
      </w:r>
      <w:r w:rsidRPr="00C71F5A">
        <w:rPr>
          <w:lang w:eastAsia="zh-HK"/>
        </w:rPr>
        <w:t>up a digital archive and developing</w:t>
      </w:r>
      <w:r w:rsidRPr="00C71F5A">
        <w:rPr>
          <w:rFonts w:hint="eastAsia"/>
          <w:lang w:eastAsia="zh-HK"/>
        </w:rPr>
        <w:t xml:space="preserve"> transfer standards for </w:t>
      </w:r>
      <w:r w:rsidRPr="00C71F5A">
        <w:rPr>
          <w:lang w:eastAsia="zh-HK"/>
        </w:rPr>
        <w:t xml:space="preserve">B/Ds to transfer </w:t>
      </w:r>
      <w:r w:rsidRPr="00C71F5A">
        <w:rPr>
          <w:rFonts w:hint="eastAsia"/>
          <w:lang w:eastAsia="zh-HK"/>
        </w:rPr>
        <w:t xml:space="preserve">archival records </w:t>
      </w:r>
      <w:r w:rsidRPr="00C71F5A">
        <w:rPr>
          <w:lang w:eastAsia="zh-HK"/>
        </w:rPr>
        <w:t xml:space="preserve">to the </w:t>
      </w:r>
      <w:r w:rsidRPr="00C71F5A">
        <w:rPr>
          <w:rFonts w:hint="eastAsia"/>
          <w:lang w:eastAsia="zh-HK"/>
        </w:rPr>
        <w:t>digital archive.</w:t>
      </w:r>
      <w:r w:rsidRPr="00C71F5A">
        <w:rPr>
          <w:lang w:eastAsia="zh-HK"/>
        </w:rPr>
        <w:t xml:space="preserve">  The proposed digital archive will follow the Open Archival Information System Reference Model, which is a widely adopted key standard for managing digital materials. </w:t>
      </w:r>
      <w:r>
        <w:rPr>
          <w:lang w:eastAsia="zh-HK"/>
        </w:rPr>
        <w:t xml:space="preserve"> </w:t>
      </w:r>
      <w:r w:rsidRPr="00C71F5A">
        <w:rPr>
          <w:lang w:eastAsia="zh-HK"/>
        </w:rPr>
        <w:t>Digital records with archival values will be transferred from B/Ds to the digital archive for preservation through a Submission Information Package</w:t>
      </w:r>
      <w:r w:rsidRPr="00C71F5A">
        <w:rPr>
          <w:rFonts w:hint="eastAsia"/>
          <w:lang w:eastAsia="zh-HK"/>
        </w:rPr>
        <w:t xml:space="preserve"> </w:t>
      </w:r>
      <w:r w:rsidRPr="00C71F5A">
        <w:rPr>
          <w:lang w:eastAsia="zh-HK"/>
        </w:rPr>
        <w:t>which consists of the digital records, plus any descriptive and technical metadata accompanying the digital records and/or other information that B/Ds consider relevant.</w:t>
      </w:r>
    </w:p>
    <w:p w:rsidR="00DA7492" w:rsidRPr="00C71F5A" w:rsidRDefault="00DA7492">
      <w:pPr>
        <w:pStyle w:val="ListParagraph"/>
        <w:ind w:hanging="720"/>
        <w:rPr>
          <w:rFonts w:cs="Arial"/>
        </w:rPr>
      </w:pPr>
    </w:p>
    <w:p w:rsidR="00DA7492" w:rsidRPr="00C71F5A" w:rsidRDefault="00DA7492">
      <w:r w:rsidRPr="00C71F5A">
        <w:rPr>
          <w:lang w:eastAsia="zh-HK"/>
        </w:rPr>
        <w:t>5.104</w:t>
      </w:r>
      <w:r w:rsidRPr="00C71F5A">
        <w:rPr>
          <w:lang w:eastAsia="zh-HK"/>
        </w:rPr>
        <w:tab/>
      </w:r>
      <w:r w:rsidRPr="00C71F5A">
        <w:rPr>
          <w:lang w:eastAsia="zh-HK"/>
        </w:rPr>
        <w:tab/>
        <w:t>The GRS, with the support of OGCIO, conducted a survey to gauge the ERM situations in B/Ds in February 2015</w:t>
      </w:r>
      <w:r w:rsidRPr="00C71F5A">
        <w:rPr>
          <w:rFonts w:hint="eastAsia"/>
          <w:lang w:eastAsia="zh-HK"/>
        </w:rPr>
        <w:t xml:space="preserve"> </w:t>
      </w:r>
      <w:r w:rsidRPr="00C71F5A">
        <w:rPr>
          <w:lang w:eastAsia="zh-HK"/>
        </w:rPr>
        <w:t xml:space="preserve">with a view to making improvement. </w:t>
      </w:r>
      <w:r w:rsidRPr="00C71F5A">
        <w:rPr>
          <w:rFonts w:hint="eastAsia"/>
          <w:lang w:eastAsia="zh-HK"/>
        </w:rPr>
        <w:t xml:space="preserve"> </w:t>
      </w:r>
      <w:r w:rsidRPr="00C71F5A">
        <w:rPr>
          <w:lang w:eastAsia="zh-HK"/>
        </w:rPr>
        <w:t xml:space="preserve">The GRS also conducted random checks and carried out on-site inspections </w:t>
      </w:r>
      <w:r w:rsidRPr="00C71F5A">
        <w:rPr>
          <w:rFonts w:hint="eastAsia"/>
          <w:lang w:eastAsia="zh-HK"/>
        </w:rPr>
        <w:t xml:space="preserve">in a number of B/Ds </w:t>
      </w:r>
      <w:r w:rsidRPr="00C71F5A">
        <w:rPr>
          <w:lang w:eastAsia="zh-HK"/>
        </w:rPr>
        <w:t xml:space="preserve">to verify the information gathered.  The survey was completed in September 2015.  According to the Government, the survey results show that </w:t>
      </w:r>
      <w:r w:rsidRPr="00C71F5A">
        <w:rPr>
          <w:rFonts w:hint="eastAsia"/>
          <w:lang w:eastAsia="zh-HK"/>
        </w:rPr>
        <w:t xml:space="preserve">most </w:t>
      </w:r>
      <w:r w:rsidRPr="00C71F5A">
        <w:rPr>
          <w:lang w:eastAsia="zh-HK"/>
        </w:rPr>
        <w:t>B/Ds have no major problems in ERM</w:t>
      </w:r>
      <w:r w:rsidRPr="00C71F5A">
        <w:rPr>
          <w:rFonts w:hint="eastAsia"/>
          <w:lang w:eastAsia="zh-HK"/>
        </w:rPr>
        <w:t xml:space="preserve"> and </w:t>
      </w:r>
      <w:r w:rsidRPr="00C71F5A">
        <w:rPr>
          <w:lang w:eastAsia="zh-HK"/>
        </w:rPr>
        <w:t xml:space="preserve">have </w:t>
      </w:r>
      <w:r w:rsidRPr="00C71F5A">
        <w:rPr>
          <w:rFonts w:hint="eastAsia"/>
          <w:lang w:eastAsia="zh-HK"/>
        </w:rPr>
        <w:t xml:space="preserve">generally </w:t>
      </w:r>
      <w:r w:rsidRPr="00C71F5A">
        <w:rPr>
          <w:lang w:eastAsia="zh-HK"/>
        </w:rPr>
        <w:t xml:space="preserve">followed the mandatory </w:t>
      </w:r>
      <w:r>
        <w:rPr>
          <w:lang w:eastAsia="zh-HK"/>
        </w:rPr>
        <w:t>"</w:t>
      </w:r>
      <w:r w:rsidRPr="00C71F5A">
        <w:rPr>
          <w:lang w:eastAsia="zh-HK"/>
        </w:rPr>
        <w:t>print-and-file</w:t>
      </w:r>
      <w:r>
        <w:rPr>
          <w:lang w:eastAsia="zh-HK"/>
        </w:rPr>
        <w:t>"</w:t>
      </w:r>
      <w:r w:rsidRPr="00C71F5A">
        <w:rPr>
          <w:lang w:eastAsia="zh-HK"/>
        </w:rPr>
        <w:t xml:space="preserve"> requirement for handling e</w:t>
      </w:r>
      <w:r w:rsidRPr="00C71F5A">
        <w:rPr>
          <w:rFonts w:hint="eastAsia"/>
          <w:lang w:eastAsia="zh-HK"/>
        </w:rPr>
        <w:t>-</w:t>
      </w:r>
      <w:r w:rsidRPr="00C71F5A">
        <w:rPr>
          <w:lang w:eastAsia="zh-HK"/>
        </w:rPr>
        <w:t>mail</w:t>
      </w:r>
      <w:r w:rsidRPr="00C71F5A">
        <w:rPr>
          <w:rFonts w:hint="eastAsia"/>
          <w:lang w:eastAsia="zh-HK"/>
        </w:rPr>
        <w:t>s</w:t>
      </w:r>
      <w:r w:rsidRPr="00C71F5A">
        <w:rPr>
          <w:lang w:eastAsia="zh-HK"/>
        </w:rPr>
        <w:t xml:space="preserve">.  </w:t>
      </w:r>
    </w:p>
    <w:p w:rsidR="00DA7492" w:rsidRPr="00C71F5A" w:rsidRDefault="00DA7492">
      <w:pPr>
        <w:pStyle w:val="ListParagraph"/>
        <w:ind w:hanging="720"/>
        <w:rPr>
          <w:rFonts w:cs="Arial"/>
        </w:rPr>
      </w:pPr>
    </w:p>
    <w:p w:rsidR="00DA7492" w:rsidRPr="00C71F5A" w:rsidRDefault="00DA7492">
      <w:r w:rsidRPr="00C71F5A">
        <w:t>5.105</w:t>
      </w:r>
      <w:r w:rsidRPr="00C71F5A">
        <w:tab/>
      </w:r>
      <w:r w:rsidRPr="00C71F5A">
        <w:tab/>
        <w:t xml:space="preserve"> Apart from the seven </w:t>
      </w:r>
      <w:r w:rsidRPr="00C71F5A">
        <w:rPr>
          <w:lang w:eastAsia="zh-HK"/>
        </w:rPr>
        <w:t xml:space="preserve">ERM </w:t>
      </w:r>
      <w:r w:rsidRPr="00C71F5A">
        <w:t xml:space="preserve">publications and guidelines </w:t>
      </w:r>
      <w:r>
        <w:t xml:space="preserve">issued </w:t>
      </w:r>
      <w:r w:rsidRPr="00C71F5A">
        <w:t>for compliance and reference by B/Ds from 2011 to 2014, the GRS promulgated in early 2015 two new sets of ERKS implementation guidelines to B/Ds.</w:t>
      </w:r>
      <w:r w:rsidRPr="00C71F5A">
        <w:rPr>
          <w:rStyle w:val="FootnoteReference"/>
          <w:rFonts w:cs="Arial"/>
        </w:rPr>
        <w:footnoteReference w:id="358"/>
      </w:r>
      <w:r w:rsidRPr="00C71F5A">
        <w:t xml:space="preserve">  The GRS also </w:t>
      </w:r>
      <w:r w:rsidRPr="00C71F5A">
        <w:rPr>
          <w:rFonts w:hint="eastAsia"/>
        </w:rPr>
        <w:t xml:space="preserve">promulgated a new publication in March 2016 to </w:t>
      </w:r>
      <w:r w:rsidRPr="00C71F5A">
        <w:rPr>
          <w:rFonts w:hint="eastAsia"/>
        </w:rPr>
        <w:lastRenderedPageBreak/>
        <w:t xml:space="preserve">provide </w:t>
      </w:r>
      <w:r w:rsidRPr="00C71F5A">
        <w:t>specific guidance to assist B/Ds in managing both electronic and non-electronic records under a hybrid records management environment.</w:t>
      </w:r>
      <w:r w:rsidRPr="00C71F5A">
        <w:rPr>
          <w:rStyle w:val="FootnoteReference"/>
          <w:rFonts w:cs="Arial"/>
        </w:rPr>
        <w:footnoteReference w:id="359"/>
      </w:r>
      <w:r w:rsidRPr="00C71F5A">
        <w:t xml:space="preserve">   In December 2017, the GRS updated </w:t>
      </w:r>
      <w:r w:rsidRPr="00C71F5A">
        <w:rPr>
          <w:rFonts w:hint="eastAsia"/>
        </w:rPr>
        <w:t xml:space="preserve">the </w:t>
      </w:r>
      <w:r>
        <w:t>"</w:t>
      </w:r>
      <w:r w:rsidRPr="00C71F5A">
        <w:rPr>
          <w:i/>
        </w:rPr>
        <w:t>Guideline on the Management of Electronic Mail</w:t>
      </w:r>
      <w:r>
        <w:t>"</w:t>
      </w:r>
      <w:r w:rsidRPr="00C71F5A">
        <w:t xml:space="preserve"> and renamed it as </w:t>
      </w:r>
      <w:r>
        <w:t>"</w:t>
      </w:r>
      <w:r w:rsidRPr="00C71F5A">
        <w:rPr>
          <w:i/>
        </w:rPr>
        <w:t>Guideline on the Management of Electronic Messages</w:t>
      </w:r>
      <w:r>
        <w:t>"</w:t>
      </w:r>
      <w:r w:rsidRPr="00C71F5A">
        <w:t xml:space="preserve"> (</w:t>
      </w:r>
      <w:r>
        <w:t>"</w:t>
      </w:r>
      <w:r w:rsidRPr="00C71F5A">
        <w:rPr>
          <w:b/>
        </w:rPr>
        <w:t>GMEM</w:t>
      </w:r>
      <w:r>
        <w:t>"</w:t>
      </w:r>
      <w:r w:rsidRPr="00C71F5A">
        <w:t>).</w:t>
      </w:r>
      <w:r w:rsidRPr="00C71F5A">
        <w:rPr>
          <w:rStyle w:val="FootnoteReference"/>
        </w:rPr>
        <w:footnoteReference w:id="360"/>
      </w:r>
      <w:r w:rsidRPr="00C71F5A">
        <w:rPr>
          <w:rFonts w:hint="eastAsia"/>
          <w:lang w:eastAsia="zh-HK"/>
        </w:rPr>
        <w:t xml:space="preserve">  </w:t>
      </w:r>
      <w:r w:rsidRPr="00C71F5A">
        <w:t xml:space="preserve">The </w:t>
      </w:r>
      <w:r w:rsidRPr="00C71F5A">
        <w:rPr>
          <w:rFonts w:hint="eastAsia"/>
        </w:rPr>
        <w:t xml:space="preserve">GRS </w:t>
      </w:r>
      <w:r w:rsidRPr="00C71F5A">
        <w:t xml:space="preserve">said that it </w:t>
      </w:r>
      <w:r w:rsidRPr="00C71F5A">
        <w:rPr>
          <w:rFonts w:hint="eastAsia"/>
        </w:rPr>
        <w:t>w</w:t>
      </w:r>
      <w:r w:rsidRPr="00C71F5A">
        <w:t xml:space="preserve">ould </w:t>
      </w:r>
      <w:r w:rsidRPr="00C71F5A">
        <w:rPr>
          <w:rFonts w:hint="eastAsia"/>
        </w:rPr>
        <w:t xml:space="preserve">continue to issue guidelines </w:t>
      </w:r>
      <w:r w:rsidRPr="00C71F5A">
        <w:t xml:space="preserve">to ensure proper creation, transfer and preservation </w:t>
      </w:r>
      <w:r w:rsidRPr="00C71F5A">
        <w:rPr>
          <w:rFonts w:hint="eastAsia"/>
          <w:lang w:eastAsia="zh-HK"/>
        </w:rPr>
        <w:t xml:space="preserve">of </w:t>
      </w:r>
      <w:r w:rsidRPr="00C71F5A">
        <w:t>electronic records</w:t>
      </w:r>
      <w:r w:rsidRPr="00C71F5A">
        <w:rPr>
          <w:rFonts w:hint="eastAsia"/>
          <w:lang w:eastAsia="zh-HK"/>
        </w:rPr>
        <w:t>.</w:t>
      </w:r>
    </w:p>
    <w:p w:rsidR="00DA7492" w:rsidRPr="00C71F5A" w:rsidRDefault="00DA7492">
      <w:pPr>
        <w:rPr>
          <w:rFonts w:cs="Arial"/>
        </w:rPr>
      </w:pPr>
    </w:p>
    <w:p w:rsidR="00DA7492" w:rsidRPr="00C71F5A" w:rsidRDefault="00DA7492">
      <w:pPr>
        <w:rPr>
          <w:rFonts w:cs="Arial"/>
        </w:rPr>
      </w:pPr>
    </w:p>
    <w:p w:rsidR="00DA7492" w:rsidRPr="00C71F5A" w:rsidRDefault="00DA7492" w:rsidP="00850126">
      <w:pPr>
        <w:pStyle w:val="Heading3"/>
        <w:tabs>
          <w:tab w:val="clear" w:pos="1418"/>
          <w:tab w:val="left" w:pos="720"/>
        </w:tabs>
      </w:pPr>
      <w:r w:rsidRPr="00C71F5A">
        <w:t xml:space="preserve">(c) </w:t>
      </w:r>
      <w:r w:rsidRPr="00C71F5A">
        <w:rPr>
          <w:rFonts w:hint="eastAsia"/>
        </w:rPr>
        <w:tab/>
      </w:r>
      <w:r w:rsidRPr="00C71F5A">
        <w:t>Other jurisdictions</w:t>
      </w:r>
    </w:p>
    <w:p w:rsidR="00DA7492" w:rsidRPr="00C71F5A" w:rsidRDefault="00DA7492">
      <w:pPr>
        <w:pStyle w:val="ListParagraph"/>
        <w:ind w:left="142"/>
        <w:rPr>
          <w:rFonts w:cs="Arial"/>
        </w:rPr>
      </w:pPr>
    </w:p>
    <w:p w:rsidR="00DA7492" w:rsidRPr="00C71F5A" w:rsidRDefault="00DA7492">
      <w:r w:rsidRPr="00C71F5A">
        <w:t>5.106</w:t>
      </w:r>
      <w:r w:rsidRPr="00C71F5A">
        <w:tab/>
      </w:r>
      <w:r w:rsidRPr="00C71F5A">
        <w:tab/>
        <w:t xml:space="preserve">In most of the jurisdictions studied, </w:t>
      </w:r>
      <w:r>
        <w:t>"</w:t>
      </w:r>
      <w:r w:rsidRPr="00C71F5A">
        <w:t>public record</w:t>
      </w:r>
      <w:r>
        <w:t>"</w:t>
      </w:r>
      <w:r w:rsidRPr="00C71F5A">
        <w:t xml:space="preserve"> or </w:t>
      </w:r>
      <w:r>
        <w:t>"</w:t>
      </w:r>
      <w:r w:rsidRPr="00C71F5A">
        <w:t>record</w:t>
      </w:r>
      <w:r>
        <w:t>"</w:t>
      </w:r>
      <w:r w:rsidRPr="00C71F5A">
        <w:t xml:space="preserve"> is defined in their archives law to include a document in any form, including the electronic form.</w:t>
      </w:r>
      <w:r w:rsidRPr="00C71F5A">
        <w:rPr>
          <w:rStyle w:val="FootnoteReference"/>
          <w:rFonts w:cs="Arial"/>
        </w:rPr>
        <w:footnoteReference w:id="361"/>
      </w:r>
      <w:r w:rsidRPr="00C71F5A">
        <w:t xml:space="preserve">  Statutory provisions governing the creation, transfer and disposal of government records are thus equally applicable to records collected and received in an electronic form.</w:t>
      </w:r>
    </w:p>
    <w:p w:rsidR="00DA7492" w:rsidRPr="00C71F5A" w:rsidRDefault="00DA7492">
      <w:pPr>
        <w:pStyle w:val="ListParagraph"/>
        <w:ind w:left="0"/>
        <w:rPr>
          <w:rFonts w:cs="Arial"/>
        </w:rPr>
      </w:pPr>
    </w:p>
    <w:p w:rsidR="00DA7492" w:rsidRPr="00C71F5A" w:rsidRDefault="00DA7492">
      <w:r w:rsidRPr="00C71F5A">
        <w:t>5.107</w:t>
      </w:r>
      <w:r w:rsidRPr="00C71F5A">
        <w:tab/>
      </w:r>
      <w:r w:rsidRPr="00C71F5A">
        <w:tab/>
        <w:t>TNA in England has, on its website, acknowledged the importance of preservation of digital records:-</w:t>
      </w:r>
    </w:p>
    <w:p w:rsidR="00DA7492" w:rsidRPr="00850126" w:rsidRDefault="00DA7492">
      <w:pPr>
        <w:pStyle w:val="ListParagraph"/>
        <w:ind w:hanging="720"/>
        <w:rPr>
          <w:rFonts w:cs="Arial"/>
          <w:sz w:val="20"/>
          <w:szCs w:val="20"/>
        </w:rPr>
      </w:pPr>
    </w:p>
    <w:p w:rsidR="00DA7492" w:rsidRPr="00C71F5A" w:rsidRDefault="00DA7492">
      <w:pPr>
        <w:pStyle w:val="BlockText"/>
      </w:pPr>
      <w:r w:rsidRPr="007B1220">
        <w:rPr>
          <w:i w:val="0"/>
        </w:rPr>
        <w:t>"</w:t>
      </w:r>
      <w:r w:rsidRPr="00C71F5A">
        <w:t>Everyone relies on the integrity of digital information, from the citizen to heads of government.  It is essential that this information is preserved for future generations, just as traditional records have been preserved for us on paper and parchment.</w:t>
      </w:r>
      <w:r w:rsidRPr="007B1220">
        <w:rPr>
          <w:i w:val="0"/>
        </w:rPr>
        <w:t>" </w:t>
      </w:r>
      <w:r w:rsidRPr="00C71F5A">
        <w:rPr>
          <w:rStyle w:val="FootnoteReference"/>
          <w:rFonts w:cs="Arial"/>
          <w:i w:val="0"/>
        </w:rPr>
        <w:footnoteReference w:id="362"/>
      </w:r>
      <w:r w:rsidRPr="00C71F5A">
        <w:t xml:space="preserve"> </w:t>
      </w:r>
    </w:p>
    <w:p w:rsidR="00DA7492" w:rsidRPr="00C71F5A" w:rsidRDefault="00DA7492">
      <w:pPr>
        <w:pStyle w:val="ListParagraph"/>
        <w:ind w:hanging="720"/>
        <w:rPr>
          <w:rFonts w:cs="Arial"/>
        </w:rPr>
      </w:pPr>
    </w:p>
    <w:p w:rsidR="00DA7492" w:rsidRPr="00C71F5A" w:rsidRDefault="00DA7492">
      <w:r w:rsidRPr="00C71F5A">
        <w:t>5.108</w:t>
      </w:r>
      <w:r w:rsidRPr="00C71F5A">
        <w:tab/>
      </w:r>
      <w:r w:rsidRPr="00C71F5A">
        <w:tab/>
        <w:t>In addition, TNA has developed digital preservation tools and promulgated guidance on specific topics related to the preservation and management of public records in digital form.</w:t>
      </w:r>
      <w:r w:rsidRPr="00C71F5A">
        <w:rPr>
          <w:rStyle w:val="FootnoteReference"/>
          <w:rFonts w:cs="Arial"/>
        </w:rPr>
        <w:footnoteReference w:id="363"/>
      </w:r>
      <w:r w:rsidRPr="00C71F5A">
        <w:t xml:space="preserve">  </w:t>
      </w:r>
    </w:p>
    <w:p w:rsidR="00DA7492" w:rsidRPr="00C71F5A" w:rsidRDefault="00DA7492">
      <w:pPr>
        <w:ind w:left="720" w:hanging="720"/>
        <w:rPr>
          <w:rFonts w:cs="Arial"/>
        </w:rPr>
      </w:pPr>
    </w:p>
    <w:p w:rsidR="00DA7492" w:rsidRPr="00C71F5A" w:rsidRDefault="00DA7492">
      <w:r w:rsidRPr="00C71F5A">
        <w:t>5.109</w:t>
      </w:r>
      <w:r w:rsidRPr="00C71F5A">
        <w:tab/>
      </w:r>
      <w:r w:rsidRPr="00C71F5A">
        <w:tab/>
        <w:t xml:space="preserve">The National Archives in Australia and New Zealand have similarly issued guidance and standards, and provided training to government agencies on the preservation and handling of digital records.  The website of NAA in Australia specifically sets out a </w:t>
      </w:r>
      <w:r>
        <w:t>"</w:t>
      </w:r>
      <w:r w:rsidRPr="00C71F5A">
        <w:t>Digital Continuity 2020</w:t>
      </w:r>
      <w:r>
        <w:t>"</w:t>
      </w:r>
      <w:r w:rsidRPr="00C71F5A">
        <w:t xml:space="preserve"> policy to records management, which is a whole-of-government approach to digital information governance aiming to support the Government</w:t>
      </w:r>
      <w:r>
        <w:t>'</w:t>
      </w:r>
      <w:r w:rsidRPr="00C71F5A">
        <w:t xml:space="preserve">s digital transformation initiatives and driving e-government.  One of the </w:t>
      </w:r>
      <w:r w:rsidRPr="00C71F5A">
        <w:lastRenderedPageBreak/>
        <w:t>recommendations is that all information generated as agency business will be created and managed digitally by 2020.</w:t>
      </w:r>
      <w:r w:rsidRPr="00C71F5A">
        <w:rPr>
          <w:rStyle w:val="FootnoteReference"/>
          <w:rFonts w:cs="Arial"/>
        </w:rPr>
        <w:footnoteReference w:id="364"/>
      </w:r>
    </w:p>
    <w:p w:rsidR="00DA7492" w:rsidRPr="00C71F5A" w:rsidRDefault="00DA7492">
      <w:pPr>
        <w:pStyle w:val="ListParagraph"/>
        <w:ind w:hanging="720"/>
        <w:rPr>
          <w:rFonts w:cs="Arial"/>
          <w:b/>
        </w:rPr>
      </w:pPr>
    </w:p>
    <w:p w:rsidR="00DA7492" w:rsidRPr="00C71F5A" w:rsidRDefault="00DA7492">
      <w:r w:rsidRPr="00C71F5A">
        <w:t>5.110</w:t>
      </w:r>
      <w:r w:rsidRPr="00C71F5A">
        <w:tab/>
      </w:r>
      <w:r w:rsidRPr="00C71F5A">
        <w:tab/>
        <w:t>In Singapore, specific guidelines on the management of public records in electronic form cannot be found on the NAS</w:t>
      </w:r>
      <w:r>
        <w:t>'</w:t>
      </w:r>
      <w:r w:rsidRPr="00C71F5A">
        <w:t xml:space="preserve"> website, which, however, states that the NAS offers advisory and preservation services, as well as training to government agencies on managing public records (including digital records).  Records are also </w:t>
      </w:r>
      <w:r w:rsidRPr="00C71F5A">
        <w:rPr>
          <w:rFonts w:hint="eastAsia"/>
        </w:rPr>
        <w:t>digitised</w:t>
      </w:r>
      <w:r w:rsidRPr="00C71F5A">
        <w:t xml:space="preserve"> by the NAS for preservation and access by researchers and the public.</w:t>
      </w:r>
      <w:r w:rsidRPr="00C71F5A">
        <w:rPr>
          <w:rStyle w:val="FootnoteReference"/>
          <w:rFonts w:cs="Arial"/>
        </w:rPr>
        <w:footnoteReference w:id="365"/>
      </w:r>
      <w:r w:rsidRPr="00C71F5A">
        <w:t xml:space="preserve">  </w:t>
      </w:r>
    </w:p>
    <w:p w:rsidR="00DA7492" w:rsidRPr="00850126" w:rsidRDefault="00DA7492" w:rsidP="00DA7492">
      <w:pPr>
        <w:pStyle w:val="ListParagraph"/>
        <w:ind w:left="0"/>
        <w:rPr>
          <w:rFonts w:cs="Arial"/>
          <w:i/>
          <w:color w:val="FF0000"/>
          <w:sz w:val="22"/>
          <w:szCs w:val="22"/>
        </w:rPr>
      </w:pPr>
    </w:p>
    <w:p w:rsidR="00DA7492" w:rsidRPr="00850126" w:rsidRDefault="00DA7492" w:rsidP="00DA7492">
      <w:pPr>
        <w:rPr>
          <w:rFonts w:cs="Arial"/>
          <w:sz w:val="22"/>
          <w:szCs w:val="22"/>
          <w:lang w:val="en-US"/>
        </w:rPr>
      </w:pPr>
    </w:p>
    <w:p w:rsidR="00DA7492" w:rsidRPr="00C71F5A" w:rsidRDefault="00DA7492">
      <w:pPr>
        <w:pStyle w:val="Heading3"/>
      </w:pPr>
      <w:r w:rsidRPr="00C71F5A">
        <w:t xml:space="preserve">Our </w:t>
      </w:r>
      <w:r w:rsidRPr="00C71F5A">
        <w:rPr>
          <w:rFonts w:hint="eastAsia"/>
        </w:rPr>
        <w:t>o</w:t>
      </w:r>
      <w:r w:rsidRPr="00C71F5A">
        <w:t>bservations</w:t>
      </w:r>
    </w:p>
    <w:p w:rsidR="00DA7492" w:rsidRPr="00C71F5A" w:rsidRDefault="00DA7492">
      <w:pPr>
        <w:pStyle w:val="ListParagraph"/>
        <w:ind w:hanging="720"/>
        <w:rPr>
          <w:rFonts w:cs="Arial"/>
        </w:rPr>
      </w:pPr>
    </w:p>
    <w:p w:rsidR="00DA7492" w:rsidRPr="00C71F5A" w:rsidRDefault="00DA7492">
      <w:r w:rsidRPr="00C71F5A">
        <w:t>5.111</w:t>
      </w:r>
      <w:r w:rsidRPr="00C71F5A">
        <w:tab/>
      </w:r>
      <w:r w:rsidRPr="00C71F5A">
        <w:tab/>
        <w:t xml:space="preserve">We note that the current definition of </w:t>
      </w:r>
      <w:r>
        <w:t>"</w:t>
      </w:r>
      <w:r w:rsidRPr="00C71F5A">
        <w:t>government record</w:t>
      </w:r>
      <w:r>
        <w:t>"</w:t>
      </w:r>
      <w:r w:rsidRPr="00C71F5A">
        <w:t xml:space="preserve"> in the RMM is wide enough to cover any recorded information in any physical form or media created or received by a B/D.  Provisions under the GRS</w:t>
      </w:r>
      <w:r>
        <w:t>'</w:t>
      </w:r>
      <w:r w:rsidRPr="00C71F5A">
        <w:t xml:space="preserve"> rules and guidelines are thus applicable to both paper-based and electronic records.  In this sense, the current regime is in line with the situation in other jurisdictions studied.</w:t>
      </w:r>
    </w:p>
    <w:p w:rsidR="00DA7492" w:rsidRPr="00C71F5A" w:rsidRDefault="00DA7492">
      <w:pPr>
        <w:pStyle w:val="ListParagraph"/>
        <w:ind w:left="0"/>
        <w:rPr>
          <w:rFonts w:cs="Arial"/>
        </w:rPr>
      </w:pPr>
    </w:p>
    <w:p w:rsidR="00DA7492" w:rsidRPr="00C71F5A" w:rsidRDefault="00DA7492">
      <w:pPr>
        <w:pStyle w:val="ListParagraph"/>
        <w:ind w:left="0"/>
        <w:rPr>
          <w:rFonts w:cs="Arial"/>
        </w:rPr>
      </w:pPr>
      <w:r w:rsidRPr="00C71F5A">
        <w:rPr>
          <w:rFonts w:cs="Arial"/>
        </w:rPr>
        <w:t>5.112</w:t>
      </w:r>
      <w:r w:rsidRPr="00C71F5A">
        <w:rPr>
          <w:rFonts w:cs="Arial"/>
        </w:rPr>
        <w:tab/>
      </w:r>
      <w:r w:rsidRPr="00C71F5A">
        <w:rPr>
          <w:rFonts w:cs="Arial"/>
        </w:rPr>
        <w:tab/>
        <w:t xml:space="preserve">We also note the efforts that the Government has made to promote a wider implementation of ERKS by B/Ds, set up digital archives, develop and promulgate guidelines and standards to assist B/Ds.  All these, in our view, are measures in the right direction.  Publishing specific guidelines to assist B/Ds on managing both electronic and non-electronic records under a hybrid records management environment is another proactive move, especially when the </w:t>
      </w:r>
      <w:r>
        <w:rPr>
          <w:rFonts w:cs="Arial"/>
        </w:rPr>
        <w:t>"</w:t>
      </w:r>
      <w:r w:rsidRPr="00C71F5A">
        <w:rPr>
          <w:rFonts w:cs="Arial"/>
        </w:rPr>
        <w:t>print-and-file</w:t>
      </w:r>
      <w:r>
        <w:rPr>
          <w:rFonts w:cs="Arial"/>
        </w:rPr>
        <w:t>"</w:t>
      </w:r>
      <w:r w:rsidRPr="00C71F5A">
        <w:rPr>
          <w:rFonts w:cs="Arial"/>
        </w:rPr>
        <w:t xml:space="preserve"> approach may have its own intrinsic value.  For example, the physical document itself is of heritage value.</w:t>
      </w:r>
    </w:p>
    <w:p w:rsidR="00DA7492" w:rsidRPr="00C71F5A" w:rsidRDefault="00DA7492">
      <w:pPr>
        <w:pStyle w:val="ListParagraph"/>
        <w:ind w:left="426" w:hanging="426"/>
        <w:rPr>
          <w:rFonts w:cs="Arial"/>
        </w:rPr>
      </w:pPr>
      <w:r w:rsidRPr="00C71F5A">
        <w:rPr>
          <w:rFonts w:cs="Arial"/>
        </w:rPr>
        <w:t xml:space="preserve">  </w:t>
      </w:r>
    </w:p>
    <w:p w:rsidR="00DA7492" w:rsidRPr="00C71F5A" w:rsidRDefault="00DA7492">
      <w:pPr>
        <w:rPr>
          <w:lang w:eastAsia="zh-HK"/>
        </w:rPr>
      </w:pPr>
      <w:r w:rsidRPr="00C71F5A">
        <w:t>5.113</w:t>
      </w:r>
      <w:r w:rsidRPr="00C71F5A">
        <w:tab/>
      </w:r>
      <w:r w:rsidRPr="00C71F5A">
        <w:tab/>
        <w:t xml:space="preserve">As regards the pace of implementation of ERKS, we are aware of other important considerations such as resources, technical, operational and other practical hindrance.  Challenges affecting the pace of implementation of ERKS include different recordkeeping requirements of individual B/Ds; inadequate know-how, technical skills and readiness of the IT-service industry to support </w:t>
      </w:r>
      <w:r w:rsidRPr="00C71F5A">
        <w:rPr>
          <w:rFonts w:hint="eastAsia"/>
          <w:lang w:eastAsia="zh-HK"/>
        </w:rPr>
        <w:t xml:space="preserve">timely and </w:t>
      </w:r>
      <w:r w:rsidRPr="00C71F5A">
        <w:t xml:space="preserve">service-wide ERKS implementation; time for staff to adapt to changes in records management practices and procedures under an e-filing environment; and the substantial costs and resources required for service-wide ERKS implementation.  The challenges of the transition from paper-based recordkeeping to digital recordkeeping, exacerbated by issues of records integrity, authenticity and preservation presented by the new technology, are indeed affecting all jurisdictions worldwide. </w:t>
      </w:r>
    </w:p>
    <w:p w:rsidR="00DA7492" w:rsidRPr="00C71F5A" w:rsidRDefault="00DA7492">
      <w:pPr>
        <w:pStyle w:val="ListParagraph"/>
        <w:ind w:left="567" w:hanging="426"/>
        <w:rPr>
          <w:rFonts w:cs="Arial"/>
          <w:shd w:val="clear" w:color="auto" w:fill="FFFF99"/>
        </w:rPr>
      </w:pPr>
    </w:p>
    <w:p w:rsidR="00DA7492" w:rsidRPr="00C71F5A" w:rsidRDefault="00DA7492">
      <w:r w:rsidRPr="00C71F5A">
        <w:t xml:space="preserve">5.114 </w:t>
      </w:r>
      <w:r w:rsidRPr="00C71F5A">
        <w:tab/>
        <w:t xml:space="preserve">Having said that, the Government should continue to provide the necessary advice and support to B/Ds in order to ensure that electronic </w:t>
      </w:r>
      <w:r w:rsidRPr="00C71F5A">
        <w:lastRenderedPageBreak/>
        <w:t>records are properly created, securely maintained and preserved without loss of any vital information.   The Government should also continue to equip the GRS so that it can capably respond to the challenges brought about by the widespread use of information technologies, which has led to the rapid increase in the volume and complexity of the information and records created, shared and managed.</w:t>
      </w:r>
    </w:p>
    <w:p w:rsidR="00DA7492" w:rsidRPr="00C71F5A" w:rsidRDefault="00DA7492">
      <w:pPr>
        <w:pStyle w:val="ListParagraph"/>
        <w:ind w:left="567" w:hanging="426"/>
        <w:rPr>
          <w:rFonts w:cs="Arial"/>
          <w:lang w:eastAsia="zh-HK"/>
        </w:rPr>
      </w:pPr>
    </w:p>
    <w:p w:rsidR="00DA7492" w:rsidRPr="00C71F5A" w:rsidRDefault="00DA7492">
      <w:pPr>
        <w:pStyle w:val="ListParagraph"/>
        <w:ind w:left="567" w:hanging="426"/>
        <w:rPr>
          <w:rFonts w:cs="Arial"/>
          <w:lang w:eastAsia="zh-HK"/>
        </w:rPr>
      </w:pPr>
    </w:p>
    <w:p w:rsidR="00DA7492" w:rsidRPr="00C71F5A" w:rsidRDefault="00DA7492">
      <w:pPr>
        <w:pStyle w:val="Heading2"/>
      </w:pPr>
      <w:r w:rsidRPr="00C71F5A">
        <w:t xml:space="preserve">Issues for </w:t>
      </w:r>
      <w:r w:rsidRPr="00C71F5A">
        <w:rPr>
          <w:rFonts w:hint="eastAsia"/>
        </w:rPr>
        <w:t>p</w:t>
      </w:r>
      <w:r w:rsidRPr="00C71F5A">
        <w:t xml:space="preserve">ublic </w:t>
      </w:r>
      <w:r w:rsidRPr="00C71F5A">
        <w:rPr>
          <w:rFonts w:hint="eastAsia"/>
        </w:rPr>
        <w:t>c</w:t>
      </w:r>
      <w:r w:rsidRPr="00C71F5A">
        <w:t>onsultation</w:t>
      </w:r>
    </w:p>
    <w:p w:rsidR="00DA7492" w:rsidRPr="00C71F5A" w:rsidRDefault="00DA7492">
      <w:pPr>
        <w:pStyle w:val="ListParagraph"/>
        <w:ind w:leftChars="-1" w:left="-2"/>
        <w:rPr>
          <w:rFonts w:cs="Arial"/>
          <w:b/>
          <w:shd w:val="clear" w:color="auto" w:fill="FFFF99"/>
        </w:rPr>
      </w:pPr>
    </w:p>
    <w:p w:rsidR="00DA7492" w:rsidRPr="00C71F5A" w:rsidRDefault="00DA7492">
      <w:pPr>
        <w:pStyle w:val="ListParagraph"/>
        <w:ind w:leftChars="-1" w:left="-2"/>
        <w:rPr>
          <w:rFonts w:cs="Arial"/>
          <w:b/>
          <w:shd w:val="clear" w:color="auto" w:fill="FFFF99"/>
        </w:rPr>
      </w:pPr>
    </w:p>
    <w:p w:rsidR="00DA7492" w:rsidRPr="00C71F5A" w:rsidRDefault="00DA7492">
      <w:pPr>
        <w:pStyle w:val="ListParagraph"/>
        <w:pBdr>
          <w:top w:val="single" w:sz="4" w:space="8" w:color="auto"/>
          <w:left w:val="single" w:sz="4" w:space="8" w:color="auto"/>
          <w:bottom w:val="single" w:sz="4" w:space="8" w:color="auto"/>
          <w:right w:val="single" w:sz="4" w:space="8" w:color="auto"/>
        </w:pBdr>
        <w:ind w:left="1440" w:right="720" w:hanging="720"/>
        <w:rPr>
          <w:rFonts w:cs="Arial"/>
          <w:b/>
          <w:lang w:val="en-US"/>
        </w:rPr>
      </w:pPr>
      <w:r w:rsidRPr="00C71F5A">
        <w:rPr>
          <w:rFonts w:cs="Arial"/>
          <w:b/>
          <w:lang w:val="en-US"/>
        </w:rPr>
        <w:t>Consultation Question 6</w:t>
      </w:r>
    </w:p>
    <w:p w:rsidR="00DA7492" w:rsidRPr="00C71F5A" w:rsidRDefault="00DA7492">
      <w:pPr>
        <w:pStyle w:val="ListParagraph"/>
        <w:pBdr>
          <w:top w:val="single" w:sz="4" w:space="8" w:color="auto"/>
          <w:left w:val="single" w:sz="4" w:space="8" w:color="auto"/>
          <w:bottom w:val="single" w:sz="4" w:space="8" w:color="auto"/>
          <w:right w:val="single" w:sz="4" w:space="8" w:color="auto"/>
        </w:pBdr>
        <w:ind w:left="1440" w:right="720" w:hanging="720"/>
        <w:rPr>
          <w:rFonts w:cs="Arial"/>
          <w:b/>
          <w:lang w:val="en-US"/>
        </w:rPr>
      </w:pPr>
    </w:p>
    <w:p w:rsidR="00DA7492" w:rsidRPr="00C71F5A" w:rsidRDefault="00DA7492" w:rsidP="00DA7492">
      <w:pPr>
        <w:pStyle w:val="ListParagraph"/>
        <w:pBdr>
          <w:top w:val="single" w:sz="4" w:space="8" w:color="auto"/>
          <w:left w:val="single" w:sz="4" w:space="8" w:color="auto"/>
          <w:bottom w:val="single" w:sz="4" w:space="8" w:color="auto"/>
          <w:right w:val="single" w:sz="4" w:space="8" w:color="auto"/>
        </w:pBdr>
        <w:ind w:right="720"/>
        <w:rPr>
          <w:rFonts w:cs="Arial"/>
          <w:b/>
          <w:lang w:val="en-US"/>
        </w:rPr>
      </w:pPr>
      <w:r w:rsidRPr="00C71F5A">
        <w:rPr>
          <w:rFonts w:cs="Arial"/>
          <w:b/>
        </w:rPr>
        <w:t>In your view, what other measures should the Government adopt to expedite the implementation of ERKS and what are the reasons for your suggestions?</w:t>
      </w:r>
    </w:p>
    <w:p w:rsidR="00DA7492" w:rsidRPr="00C71F5A" w:rsidRDefault="00DA7492">
      <w:pPr>
        <w:pStyle w:val="ListParagraph"/>
        <w:ind w:left="0"/>
        <w:rPr>
          <w:rFonts w:cs="Arial"/>
          <w:shd w:val="clear" w:color="auto" w:fill="FFFF99"/>
        </w:rPr>
      </w:pPr>
    </w:p>
    <w:p w:rsidR="00DA7492" w:rsidRPr="00C71F5A" w:rsidRDefault="00DA7492">
      <w:pPr>
        <w:rPr>
          <w:rFonts w:cs="Arial"/>
          <w:i/>
        </w:rPr>
      </w:pPr>
    </w:p>
    <w:p w:rsidR="00850126" w:rsidRDefault="00850126">
      <w:pPr>
        <w:rPr>
          <w:rFonts w:cs="Arial"/>
          <w:i/>
        </w:rPr>
        <w:sectPr w:rsidR="00850126" w:rsidSect="00DA7492">
          <w:footerReference w:type="default" r:id="rId20"/>
          <w:footnotePr>
            <w:numStart w:val="49"/>
            <w:numRestart w:val="eachSect"/>
          </w:footnotePr>
          <w:pgSz w:w="11906" w:h="16838" w:code="9"/>
          <w:pgMar w:top="1440" w:right="1800" w:bottom="1440" w:left="1800" w:header="720" w:footer="720" w:gutter="0"/>
          <w:cols w:space="425"/>
          <w:docGrid w:type="linesAndChars" w:linePitch="360"/>
        </w:sectPr>
      </w:pPr>
    </w:p>
    <w:p w:rsidR="00DF3CF7" w:rsidRPr="008D1229" w:rsidRDefault="00DF3CF7" w:rsidP="00DF3CF7">
      <w:pPr>
        <w:pStyle w:val="Heading1"/>
        <w:rPr>
          <w:smallCaps/>
        </w:rPr>
      </w:pPr>
      <w:r w:rsidRPr="008D1229">
        <w:lastRenderedPageBreak/>
        <w:t xml:space="preserve">Chapter </w:t>
      </w:r>
      <w:r>
        <w:t>6</w:t>
      </w:r>
      <w:r w:rsidRPr="008D1229">
        <w:rPr>
          <w:smallCaps/>
        </w:rPr>
        <w:t xml:space="preserve"> </w:t>
      </w:r>
    </w:p>
    <w:p w:rsidR="00DF3CF7" w:rsidRPr="008D1229" w:rsidRDefault="00DF3CF7" w:rsidP="00DF3CF7">
      <w:pPr>
        <w:rPr>
          <w:rFonts w:cs="Arial"/>
          <w:b/>
          <w:smallCaps/>
          <w:sz w:val="32"/>
          <w:szCs w:val="32"/>
        </w:rPr>
      </w:pPr>
    </w:p>
    <w:p w:rsidR="00DF3CF7" w:rsidRPr="008D1229" w:rsidRDefault="00DF3CF7" w:rsidP="00DF3CF7">
      <w:pPr>
        <w:pStyle w:val="Heading1"/>
      </w:pPr>
      <w:r w:rsidRPr="008D1229">
        <w:t xml:space="preserve">Impact of </w:t>
      </w:r>
      <w:r>
        <w:rPr>
          <w:rFonts w:hint="eastAsia"/>
        </w:rPr>
        <w:t>r</w:t>
      </w:r>
      <w:r w:rsidRPr="008D1229">
        <w:t xml:space="preserve">ecords-related </w:t>
      </w:r>
      <w:r>
        <w:rPr>
          <w:rFonts w:hint="eastAsia"/>
        </w:rPr>
        <w:t>l</w:t>
      </w:r>
      <w:r w:rsidRPr="008D1229">
        <w:t>egislation</w:t>
      </w:r>
    </w:p>
    <w:p w:rsidR="00DF3CF7" w:rsidRPr="008D1229" w:rsidRDefault="00DF3CF7" w:rsidP="00DF3CF7">
      <w:pPr>
        <w:pStyle w:val="Heading1"/>
      </w:pPr>
      <w:r w:rsidRPr="008D1229">
        <w:t xml:space="preserve">on </w:t>
      </w:r>
      <w:r>
        <w:rPr>
          <w:rFonts w:hint="eastAsia"/>
        </w:rPr>
        <w:t>a</w:t>
      </w:r>
      <w:r w:rsidRPr="008D1229">
        <w:t xml:space="preserve">dministrative </w:t>
      </w:r>
      <w:r>
        <w:rPr>
          <w:rFonts w:hint="eastAsia"/>
        </w:rPr>
        <w:t>g</w:t>
      </w:r>
      <w:r w:rsidRPr="008D1229">
        <w:t>uidelines</w:t>
      </w:r>
    </w:p>
    <w:p w:rsidR="00DF3CF7" w:rsidRPr="008D1229" w:rsidRDefault="00DF3CF7" w:rsidP="00DF3CF7">
      <w:pPr>
        <w:pStyle w:val="Heading1"/>
      </w:pPr>
      <w:r w:rsidRPr="008D1229">
        <w:t xml:space="preserve">on </w:t>
      </w:r>
      <w:r>
        <w:rPr>
          <w:rFonts w:hint="eastAsia"/>
        </w:rPr>
        <w:t>r</w:t>
      </w:r>
      <w:r w:rsidRPr="008D1229">
        <w:t xml:space="preserve">ecords </w:t>
      </w:r>
      <w:r>
        <w:rPr>
          <w:rFonts w:hint="eastAsia"/>
        </w:rPr>
        <w:t>m</w:t>
      </w:r>
      <w:r w:rsidRPr="008D1229">
        <w:t>anagement</w:t>
      </w:r>
    </w:p>
    <w:p w:rsidR="00DF3CF7" w:rsidRPr="008D1229" w:rsidRDefault="00DF3CF7" w:rsidP="00DF3CF7">
      <w:pPr>
        <w:rPr>
          <w:rFonts w:cs="Arial"/>
          <w:b/>
        </w:rPr>
      </w:pPr>
      <w:r w:rsidRPr="008D1229">
        <w:rPr>
          <w:rFonts w:cs="Arial"/>
          <w:b/>
        </w:rPr>
        <w:t>________________________________________________</w:t>
      </w:r>
    </w:p>
    <w:p w:rsidR="00DF3CF7" w:rsidRPr="008D1229" w:rsidRDefault="00DF3CF7" w:rsidP="00DF3CF7">
      <w:pPr>
        <w:rPr>
          <w:rFonts w:cs="Arial"/>
          <w:b/>
        </w:rPr>
      </w:pPr>
    </w:p>
    <w:p w:rsidR="00DF3CF7" w:rsidRPr="008D1229" w:rsidRDefault="00DF3CF7" w:rsidP="00DF3CF7">
      <w:pPr>
        <w:rPr>
          <w:rFonts w:cs="Arial"/>
        </w:rPr>
      </w:pPr>
    </w:p>
    <w:p w:rsidR="00DF3CF7" w:rsidRPr="008D1229" w:rsidRDefault="00DF3CF7" w:rsidP="00DF3CF7">
      <w:pPr>
        <w:rPr>
          <w:rFonts w:cs="Arial"/>
        </w:rPr>
      </w:pPr>
    </w:p>
    <w:p w:rsidR="00DF3CF7" w:rsidRPr="008D1229" w:rsidRDefault="00DF3CF7" w:rsidP="00DF3CF7">
      <w:pPr>
        <w:pStyle w:val="Heading2"/>
      </w:pPr>
      <w:r w:rsidRPr="008D1229">
        <w:t>Introduction</w:t>
      </w:r>
    </w:p>
    <w:p w:rsidR="00DF3CF7" w:rsidRPr="008D1229" w:rsidRDefault="00DF3CF7" w:rsidP="00DF3CF7">
      <w:pPr>
        <w:pStyle w:val="ListParagraph"/>
        <w:ind w:left="0"/>
        <w:rPr>
          <w:rFonts w:cs="Arial"/>
          <w:lang w:val="en-US"/>
        </w:rPr>
      </w:pPr>
    </w:p>
    <w:p w:rsidR="00DF3CF7" w:rsidRPr="008D1229" w:rsidRDefault="00DF3CF7" w:rsidP="00DF3CF7">
      <w:pPr>
        <w:rPr>
          <w:lang w:val="en-US"/>
        </w:rPr>
      </w:pPr>
      <w:r>
        <w:rPr>
          <w:lang w:val="en-US"/>
        </w:rPr>
        <w:t>6</w:t>
      </w:r>
      <w:r w:rsidRPr="008D1229">
        <w:rPr>
          <w:lang w:val="en-US"/>
        </w:rPr>
        <w:t>.1</w:t>
      </w:r>
      <w:r w:rsidRPr="008D1229">
        <w:rPr>
          <w:lang w:val="en-US"/>
        </w:rPr>
        <w:tab/>
      </w:r>
      <w:r w:rsidRPr="008D1229">
        <w:rPr>
          <w:lang w:val="en-US"/>
        </w:rPr>
        <w:tab/>
        <w:t>Administrative rules</w:t>
      </w:r>
      <w:r w:rsidRPr="00E9758C">
        <w:t xml:space="preserve"> </w:t>
      </w:r>
      <w:r w:rsidRPr="00E9758C">
        <w:rPr>
          <w:lang w:val="en-US"/>
        </w:rPr>
        <w:t>and guidelines</w:t>
      </w:r>
      <w:r w:rsidRPr="008D1229">
        <w:rPr>
          <w:lang w:val="en-US"/>
        </w:rPr>
        <w:t xml:space="preserve">, by nature, do not carry legal force. </w:t>
      </w:r>
      <w:r>
        <w:rPr>
          <w:lang w:val="en-US"/>
        </w:rPr>
        <w:t xml:space="preserve"> </w:t>
      </w:r>
      <w:r w:rsidRPr="008D1229">
        <w:rPr>
          <w:lang w:val="en-US"/>
        </w:rPr>
        <w:t xml:space="preserve">Where the rules and guidelines issued by the GRS conflict with laws that carry implications for records management, the latter always prevail. </w:t>
      </w:r>
      <w:r>
        <w:rPr>
          <w:lang w:val="en-US"/>
        </w:rPr>
        <w:t xml:space="preserve"> The c</w:t>
      </w:r>
      <w:r w:rsidRPr="008D1229">
        <w:rPr>
          <w:lang w:val="en-US"/>
        </w:rPr>
        <w:t xml:space="preserve">oncern </w:t>
      </w:r>
      <w:r>
        <w:rPr>
          <w:lang w:val="en-US"/>
        </w:rPr>
        <w:t>is that</w:t>
      </w:r>
      <w:r w:rsidRPr="008D1229">
        <w:rPr>
          <w:lang w:val="en-US"/>
        </w:rPr>
        <w:t xml:space="preserve"> as these </w:t>
      </w:r>
      <w:r w:rsidRPr="003009E2">
        <w:rPr>
          <w:i/>
          <w:lang w:val="en-US"/>
        </w:rPr>
        <w:t>administrative</w:t>
      </w:r>
      <w:r w:rsidRPr="008D1229">
        <w:rPr>
          <w:lang w:val="en-US"/>
        </w:rPr>
        <w:t xml:space="preserve"> </w:t>
      </w:r>
      <w:r w:rsidRPr="00E9758C">
        <w:rPr>
          <w:lang w:val="en-US"/>
        </w:rPr>
        <w:t>rules and guidelines</w:t>
      </w:r>
      <w:r w:rsidRPr="008D1229">
        <w:rPr>
          <w:lang w:val="en-US"/>
        </w:rPr>
        <w:t xml:space="preserve"> and </w:t>
      </w:r>
      <w:r>
        <w:rPr>
          <w:lang w:val="en-US"/>
        </w:rPr>
        <w:t>laws both</w:t>
      </w:r>
      <w:r w:rsidRPr="008D1229">
        <w:rPr>
          <w:lang w:val="en-US"/>
        </w:rPr>
        <w:t xml:space="preserve"> pursue important and legitimate objectives, the tension between them ought not </w:t>
      </w:r>
      <w:r>
        <w:rPr>
          <w:lang w:val="en-US"/>
        </w:rPr>
        <w:t>invariably</w:t>
      </w:r>
      <w:r w:rsidRPr="008D1229">
        <w:rPr>
          <w:lang w:val="en-US"/>
        </w:rPr>
        <w:t xml:space="preserve"> be resolved in favour of the latter.  </w:t>
      </w:r>
    </w:p>
    <w:p w:rsidR="00DF3CF7" w:rsidRDefault="00DF3CF7" w:rsidP="00DF3CF7">
      <w:pPr>
        <w:pStyle w:val="ListParagraph"/>
        <w:ind w:left="0"/>
        <w:rPr>
          <w:rFonts w:cs="Arial"/>
          <w:lang w:val="en-US"/>
        </w:rPr>
      </w:pPr>
    </w:p>
    <w:p w:rsidR="00DF3CF7" w:rsidRDefault="00DF3CF7" w:rsidP="00DF3CF7">
      <w:pPr>
        <w:pStyle w:val="ListParagraph"/>
        <w:ind w:left="0"/>
        <w:rPr>
          <w:rFonts w:cs="Arial"/>
          <w:lang w:val="en-US"/>
        </w:rPr>
      </w:pPr>
      <w:r>
        <w:rPr>
          <w:rFonts w:cs="Arial"/>
          <w:lang w:val="en-US"/>
        </w:rPr>
        <w:t>6.2</w:t>
      </w:r>
      <w:r>
        <w:rPr>
          <w:rFonts w:cs="Arial"/>
          <w:lang w:val="en-US"/>
        </w:rPr>
        <w:tab/>
      </w:r>
      <w:r>
        <w:rPr>
          <w:rFonts w:cs="Arial"/>
          <w:lang w:val="en-US"/>
        </w:rPr>
        <w:tab/>
        <w:t>At the heart of this concern is that the objective of records management should not, as a matter of course, be treated as subservient to the objectives of the above laws.  The Civic Exchange considers that the enactment of an archives law would help "</w:t>
      </w:r>
      <w:r>
        <w:rPr>
          <w:rFonts w:cs="Arial"/>
          <w:i/>
          <w:lang w:val="en-US"/>
        </w:rPr>
        <w:t>remove legislative obstructions to the effective management of government records.</w:t>
      </w:r>
      <w:r>
        <w:rPr>
          <w:rFonts w:cs="Arial"/>
          <w:lang w:val="en-US"/>
        </w:rPr>
        <w:t>"</w:t>
      </w:r>
      <w:r>
        <w:rPr>
          <w:rStyle w:val="FootnoteReference"/>
          <w:rFonts w:cs="Arial"/>
          <w:lang w:val="en-US"/>
        </w:rPr>
        <w:footnoteReference w:id="366"/>
      </w:r>
      <w:r>
        <w:rPr>
          <w:rFonts w:cs="Arial"/>
          <w:lang w:val="en-US"/>
        </w:rPr>
        <w:t xml:space="preserve">  But as illustrated later in this chapter, amending such laws can also achieve the same purpose. </w:t>
      </w:r>
    </w:p>
    <w:p w:rsidR="00DF3CF7" w:rsidRPr="00CF3A0D" w:rsidRDefault="00DF3CF7" w:rsidP="00DF3CF7">
      <w:pPr>
        <w:pStyle w:val="ListParagraph"/>
        <w:ind w:left="0"/>
        <w:rPr>
          <w:rFonts w:cs="Arial"/>
          <w:lang w:val="en-US"/>
        </w:rPr>
      </w:pPr>
    </w:p>
    <w:p w:rsidR="00DF3CF7" w:rsidRPr="008D1229" w:rsidRDefault="00DF3CF7" w:rsidP="00DF3CF7">
      <w:r>
        <w:rPr>
          <w:lang w:val="en-US"/>
        </w:rPr>
        <w:t>6.3</w:t>
      </w:r>
      <w:r w:rsidRPr="008D1229">
        <w:rPr>
          <w:lang w:val="en-US"/>
        </w:rPr>
        <w:tab/>
      </w:r>
      <w:r w:rsidRPr="008D1229">
        <w:rPr>
          <w:lang w:val="en-US"/>
        </w:rPr>
        <w:tab/>
      </w:r>
      <w:r w:rsidRPr="008D1229">
        <w:t xml:space="preserve">In this </w:t>
      </w:r>
      <w:r>
        <w:t>c</w:t>
      </w:r>
      <w:r w:rsidRPr="008D1229">
        <w:t xml:space="preserve">hapter, we will address this </w:t>
      </w:r>
      <w:r>
        <w:t>concern</w:t>
      </w:r>
      <w:r w:rsidRPr="008D1229">
        <w:t xml:space="preserve"> primarily through </w:t>
      </w:r>
      <w:r w:rsidRPr="00FA20E0">
        <w:t>discussing</w:t>
      </w:r>
      <w:r>
        <w:t xml:space="preserve"> </w:t>
      </w:r>
      <w:r w:rsidRPr="008D1229">
        <w:t>the (1) Personal Data (Privacy) Ordinance (Cap 486)</w:t>
      </w:r>
      <w:r>
        <w:t xml:space="preserve"> </w:t>
      </w:r>
      <w:r w:rsidRPr="008D1229">
        <w:t>(</w:t>
      </w:r>
      <w:r>
        <w:t>"</w:t>
      </w:r>
      <w:r w:rsidRPr="003009E2">
        <w:rPr>
          <w:b/>
        </w:rPr>
        <w:t>PDPO</w:t>
      </w:r>
      <w:r>
        <w:t>"</w:t>
      </w:r>
      <w:r w:rsidRPr="008D1229">
        <w:t xml:space="preserve">), </w:t>
      </w:r>
      <w:r>
        <w:t xml:space="preserve">and </w:t>
      </w:r>
      <w:r w:rsidRPr="008D1229">
        <w:t>(2) Census and Statistics Ordinance (Cap 316)</w:t>
      </w:r>
      <w:r>
        <w:t xml:space="preserve"> </w:t>
      </w:r>
      <w:r w:rsidRPr="008D1229">
        <w:t>(</w:t>
      </w:r>
      <w:r>
        <w:t>"</w:t>
      </w:r>
      <w:r w:rsidRPr="003009E2">
        <w:rPr>
          <w:b/>
        </w:rPr>
        <w:t>Census Ordinance</w:t>
      </w:r>
      <w:r>
        <w:t>"</w:t>
      </w:r>
      <w:r w:rsidRPr="008D1229">
        <w:t>)</w:t>
      </w:r>
      <w:r>
        <w:t xml:space="preserve"> which are specifically mentioned by the Civic Exchange</w:t>
      </w:r>
      <w:r w:rsidRPr="008D1229">
        <w:t>.</w:t>
      </w:r>
      <w:r w:rsidRPr="008D1229">
        <w:rPr>
          <w:rStyle w:val="FootnoteReference"/>
          <w:rFonts w:cs="Arial"/>
        </w:rPr>
        <w:footnoteReference w:id="367"/>
      </w:r>
      <w:r w:rsidRPr="008D1229">
        <w:t xml:space="preserve"> </w:t>
      </w:r>
      <w:r>
        <w:rPr>
          <w:rFonts w:hint="eastAsia"/>
        </w:rPr>
        <w:t xml:space="preserve"> </w:t>
      </w:r>
      <w:r>
        <w:t>W</w:t>
      </w:r>
      <w:r w:rsidRPr="008D1229">
        <w:t xml:space="preserve">e will </w:t>
      </w:r>
      <w:r>
        <w:t xml:space="preserve">then </w:t>
      </w:r>
      <w:r w:rsidRPr="008D1229">
        <w:t xml:space="preserve">explore how </w:t>
      </w:r>
      <w:r>
        <w:t xml:space="preserve">the </w:t>
      </w:r>
      <w:r w:rsidRPr="008D1229">
        <w:t xml:space="preserve">respective laws in overseas jurisdictions reconcile </w:t>
      </w:r>
      <w:r>
        <w:t>the</w:t>
      </w:r>
      <w:r w:rsidRPr="008D1229">
        <w:t xml:space="preserve"> conflict</w:t>
      </w:r>
      <w:r>
        <w:t xml:space="preserve"> (if any)</w:t>
      </w:r>
      <w:r w:rsidRPr="008D1229">
        <w:t xml:space="preserve"> with the archival laws there.</w:t>
      </w:r>
      <w:r>
        <w:t xml:space="preserve">  Insofar as the Census Ordinance is concerned, we set out towards the end of this chapter</w:t>
      </w:r>
      <w:r w:rsidRPr="008F6AB3">
        <w:t xml:space="preserve"> our provisional view</w:t>
      </w:r>
      <w:r>
        <w:t xml:space="preserve"> which</w:t>
      </w:r>
      <w:r w:rsidRPr="008F6AB3">
        <w:t xml:space="preserve"> is to follow the approach of the jurisdictions where census information is preserved.</w:t>
      </w:r>
    </w:p>
    <w:p w:rsidR="00DF3CF7" w:rsidRPr="00F83D08" w:rsidRDefault="00DF3CF7" w:rsidP="00DF3CF7">
      <w:pPr>
        <w:rPr>
          <w:rFonts w:cs="Arial"/>
        </w:rPr>
      </w:pPr>
    </w:p>
    <w:p w:rsidR="00DF3CF7" w:rsidRDefault="00DF3CF7" w:rsidP="00DF3CF7">
      <w:pPr>
        <w:pStyle w:val="Heading2"/>
        <w:keepNext w:val="0"/>
        <w:rPr>
          <w:rFonts w:cs="Arial"/>
        </w:rPr>
      </w:pPr>
    </w:p>
    <w:p w:rsidR="00DF3CF7" w:rsidRPr="00AB474E" w:rsidRDefault="00DF3CF7" w:rsidP="00DF3CF7">
      <w:pPr>
        <w:pStyle w:val="Heading2"/>
      </w:pPr>
      <w:r w:rsidRPr="00AB474E">
        <w:t>Privacy or data protection legislation</w:t>
      </w:r>
    </w:p>
    <w:p w:rsidR="00DF3CF7" w:rsidRPr="008D1229" w:rsidRDefault="00DF3CF7" w:rsidP="00DF3CF7">
      <w:pPr>
        <w:pStyle w:val="ListParagraph"/>
        <w:ind w:left="0"/>
        <w:rPr>
          <w:rFonts w:cs="Arial"/>
        </w:rPr>
      </w:pPr>
    </w:p>
    <w:p w:rsidR="00DF3CF7" w:rsidRPr="003009E2" w:rsidRDefault="00DF3CF7" w:rsidP="00DF3CF7">
      <w:pPr>
        <w:pStyle w:val="Heading3"/>
      </w:pPr>
      <w:r w:rsidRPr="001A421C">
        <w:t>Hong Kong</w:t>
      </w:r>
      <w:r w:rsidRPr="003009E2">
        <w:t xml:space="preserve"> </w:t>
      </w:r>
      <w:r w:rsidRPr="00D86E22">
        <w:rPr>
          <w:rFonts w:cs="Arial"/>
          <w:kern w:val="2"/>
          <w:szCs w:val="22"/>
          <w:lang w:val="en-US"/>
        </w:rPr>
        <w:t>–</w:t>
      </w:r>
      <w:r w:rsidRPr="003009E2">
        <w:t xml:space="preserve"> </w:t>
      </w:r>
      <w:r w:rsidRPr="001A421C">
        <w:t>P</w:t>
      </w:r>
      <w:r w:rsidRPr="003009E2">
        <w:t>DPO</w:t>
      </w:r>
    </w:p>
    <w:p w:rsidR="00DF3CF7" w:rsidRPr="008D1229" w:rsidRDefault="00DF3CF7" w:rsidP="00DF3CF7">
      <w:pPr>
        <w:rPr>
          <w:rFonts w:cs="Arial"/>
        </w:rPr>
      </w:pPr>
    </w:p>
    <w:p w:rsidR="00DF3CF7" w:rsidRPr="00DA29B7" w:rsidRDefault="00DF3CF7" w:rsidP="00DF3CF7">
      <w:r>
        <w:t>6</w:t>
      </w:r>
      <w:r w:rsidRPr="00AB474E">
        <w:t>.</w:t>
      </w:r>
      <w:r>
        <w:t>4</w:t>
      </w:r>
      <w:r w:rsidRPr="00AB474E">
        <w:tab/>
      </w:r>
      <w:r w:rsidRPr="00AB474E">
        <w:tab/>
        <w:t>The PDPO contains a number of provisions which directly or indirectly</w:t>
      </w:r>
      <w:r w:rsidRPr="00DA29B7">
        <w:t xml:space="preserve"> </w:t>
      </w:r>
      <w:r w:rsidRPr="008C089F">
        <w:t xml:space="preserve">address and </w:t>
      </w:r>
      <w:r w:rsidRPr="00DF1F70">
        <w:t xml:space="preserve">affect the management of government records insofar </w:t>
      </w:r>
      <w:r w:rsidRPr="00DF1F70">
        <w:lastRenderedPageBreak/>
        <w:t xml:space="preserve">as </w:t>
      </w:r>
      <w:r>
        <w:t>such records</w:t>
      </w:r>
      <w:r w:rsidRPr="00DF1F70">
        <w:t xml:space="preserve"> </w:t>
      </w:r>
      <w:r w:rsidRPr="009120F9">
        <w:t>contain personal data.</w:t>
      </w:r>
      <w:r w:rsidRPr="008D1229">
        <w:t xml:space="preserve"> </w:t>
      </w:r>
      <w:r w:rsidRPr="00AB474E">
        <w:t xml:space="preserve"> The relevant provisions are summarised below:-  </w:t>
      </w:r>
    </w:p>
    <w:p w:rsidR="00DF3CF7" w:rsidRDefault="00DF3CF7" w:rsidP="00DF3CF7">
      <w:pPr>
        <w:rPr>
          <w:rFonts w:cs="Arial"/>
          <w:lang w:val="en-US"/>
        </w:rPr>
      </w:pPr>
    </w:p>
    <w:p w:rsidR="00DF3CF7" w:rsidRPr="003009E2" w:rsidRDefault="00DF3CF7" w:rsidP="00DF3CF7">
      <w:pPr>
        <w:pStyle w:val="Heading4"/>
        <w:rPr>
          <w:b/>
        </w:rPr>
      </w:pPr>
      <w:r w:rsidRPr="003009E2">
        <w:t xml:space="preserve">Definition of </w:t>
      </w:r>
      <w:r>
        <w:rPr>
          <w:i w:val="0"/>
        </w:rPr>
        <w:t>"</w:t>
      </w:r>
      <w:r w:rsidRPr="003009E2">
        <w:t>personal data</w:t>
      </w:r>
      <w:r>
        <w:rPr>
          <w:i w:val="0"/>
        </w:rPr>
        <w:t>"</w:t>
      </w:r>
      <w:r w:rsidRPr="003009E2">
        <w:t xml:space="preserve"> </w:t>
      </w:r>
    </w:p>
    <w:p w:rsidR="00DF3CF7" w:rsidRPr="008D1229" w:rsidRDefault="00DF3CF7" w:rsidP="00DF3CF7">
      <w:pPr>
        <w:pStyle w:val="ListParagraph"/>
        <w:keepNext/>
        <w:ind w:left="0"/>
        <w:rPr>
          <w:rFonts w:cs="Arial"/>
        </w:rPr>
      </w:pPr>
    </w:p>
    <w:p w:rsidR="00DF3CF7" w:rsidRPr="008D1229" w:rsidRDefault="00DF3CF7" w:rsidP="00DF3CF7">
      <w:pPr>
        <w:pStyle w:val="ListParagraph"/>
        <w:ind w:left="0"/>
        <w:rPr>
          <w:rFonts w:cs="Arial"/>
        </w:rPr>
      </w:pPr>
      <w:r>
        <w:rPr>
          <w:rFonts w:cs="Arial"/>
        </w:rPr>
        <w:t>6.5</w:t>
      </w:r>
      <w:r w:rsidRPr="008D1229">
        <w:rPr>
          <w:rFonts w:cs="Arial"/>
        </w:rPr>
        <w:tab/>
      </w:r>
      <w:r w:rsidRPr="008D1229">
        <w:rPr>
          <w:rFonts w:cs="Arial"/>
        </w:rPr>
        <w:tab/>
      </w:r>
      <w:r>
        <w:rPr>
          <w:rFonts w:cs="Arial"/>
        </w:rPr>
        <w:t>"</w:t>
      </w:r>
      <w:r w:rsidRPr="003009E2">
        <w:rPr>
          <w:rFonts w:cs="Arial"/>
          <w:i/>
        </w:rPr>
        <w:t>Personal data</w:t>
      </w:r>
      <w:r>
        <w:rPr>
          <w:rFonts w:cs="Arial"/>
        </w:rPr>
        <w:t>"</w:t>
      </w:r>
      <w:r w:rsidRPr="008D1229">
        <w:rPr>
          <w:rFonts w:cs="Arial"/>
        </w:rPr>
        <w:t xml:space="preserve"> refers to data relating to a living individual.</w:t>
      </w:r>
      <w:r w:rsidRPr="008D1229">
        <w:rPr>
          <w:rStyle w:val="FootnoteReference"/>
          <w:rFonts w:cs="Arial"/>
        </w:rPr>
        <w:footnoteReference w:id="368"/>
      </w:r>
      <w:r w:rsidRPr="008D1229">
        <w:rPr>
          <w:rFonts w:cs="Arial"/>
        </w:rPr>
        <w:t xml:space="preserve">  In practice however, </w:t>
      </w:r>
      <w:r>
        <w:rPr>
          <w:rFonts w:cs="Arial" w:hint="eastAsia"/>
          <w:lang w:eastAsia="zh-HK"/>
        </w:rPr>
        <w:t xml:space="preserve">like the </w:t>
      </w:r>
      <w:r>
        <w:rPr>
          <w:rFonts w:cs="Arial"/>
          <w:lang w:eastAsia="zh-HK"/>
        </w:rPr>
        <w:t>archival authorities</w:t>
      </w:r>
      <w:r>
        <w:rPr>
          <w:rFonts w:cs="Arial" w:hint="eastAsia"/>
          <w:lang w:eastAsia="zh-HK"/>
        </w:rPr>
        <w:t xml:space="preserve"> in other jurisdictions, </w:t>
      </w:r>
      <w:r w:rsidRPr="008D1229">
        <w:rPr>
          <w:rFonts w:cs="Arial"/>
        </w:rPr>
        <w:t xml:space="preserve">it is usually impossible for the GRS to know whether the person to whom the personal data contained in its records relates is still alive, or </w:t>
      </w:r>
      <w:r>
        <w:rPr>
          <w:rFonts w:cs="Arial"/>
        </w:rPr>
        <w:t xml:space="preserve">even just </w:t>
      </w:r>
      <w:r w:rsidRPr="008D1229">
        <w:rPr>
          <w:rFonts w:cs="Arial"/>
        </w:rPr>
        <w:t xml:space="preserve">impracticable for it to find out.  This </w:t>
      </w:r>
      <w:r>
        <w:rPr>
          <w:rFonts w:cs="Arial"/>
        </w:rPr>
        <w:t xml:space="preserve">may </w:t>
      </w:r>
      <w:r w:rsidRPr="008D1229">
        <w:rPr>
          <w:rFonts w:cs="Arial"/>
        </w:rPr>
        <w:t xml:space="preserve">give rise to uncertainty about whether or not the data in the records held by the GRS is subject to the PDPO.  </w:t>
      </w:r>
    </w:p>
    <w:p w:rsidR="00DF3CF7" w:rsidRPr="00EE10F9" w:rsidRDefault="00DF3CF7" w:rsidP="00DF3CF7">
      <w:pPr>
        <w:rPr>
          <w:rFonts w:cs="Arial"/>
          <w:lang w:val="en-US"/>
        </w:rPr>
      </w:pPr>
    </w:p>
    <w:p w:rsidR="00DF3CF7" w:rsidRPr="003009E2" w:rsidRDefault="00DF3CF7" w:rsidP="00DF3CF7">
      <w:pPr>
        <w:pStyle w:val="Heading4"/>
        <w:rPr>
          <w:b/>
        </w:rPr>
      </w:pPr>
      <w:r w:rsidRPr="003009E2">
        <w:t>Retention of personal data</w:t>
      </w:r>
    </w:p>
    <w:p w:rsidR="00DF3CF7" w:rsidRPr="008D1229" w:rsidRDefault="00DF3CF7" w:rsidP="00DF3CF7">
      <w:pPr>
        <w:pStyle w:val="ListParagraph"/>
        <w:ind w:left="0"/>
        <w:rPr>
          <w:rFonts w:cs="Arial"/>
        </w:rPr>
      </w:pPr>
    </w:p>
    <w:p w:rsidR="00DF3CF7" w:rsidRPr="008D1229" w:rsidRDefault="00DF3CF7" w:rsidP="00DF3CF7">
      <w:r>
        <w:t>6.6</w:t>
      </w:r>
      <w:r w:rsidRPr="008D1229">
        <w:tab/>
      </w:r>
      <w:r w:rsidRPr="008D1229">
        <w:tab/>
        <w:t>Section 26 of the PDPO requires data users to erase personal data held by them where the data is no longer required for the purpose for which the data was used, or a directly related purpose.</w:t>
      </w:r>
      <w:r w:rsidRPr="008D1229">
        <w:rPr>
          <w:rStyle w:val="FootnoteReference"/>
          <w:rFonts w:cs="Arial"/>
        </w:rPr>
        <w:footnoteReference w:id="369"/>
      </w:r>
      <w:r w:rsidRPr="008D1229">
        <w:t xml:space="preserve">  An exception is where it is in the</w:t>
      </w:r>
      <w:r>
        <w:t xml:space="preserve"> public interest</w:t>
      </w:r>
      <w:r w:rsidRPr="008D1229">
        <w:t xml:space="preserve"> </w:t>
      </w:r>
      <w:r>
        <w:t xml:space="preserve">(including </w:t>
      </w:r>
      <w:r w:rsidRPr="008D1229">
        <w:t>historical interest</w:t>
      </w:r>
      <w:r>
        <w:t>)</w:t>
      </w:r>
      <w:r w:rsidRPr="008D1229">
        <w:t xml:space="preserve"> for the data not to be erased.</w:t>
      </w:r>
    </w:p>
    <w:p w:rsidR="00DF3CF7" w:rsidRPr="008D1229" w:rsidRDefault="00DF3CF7" w:rsidP="00DF3CF7">
      <w:pPr>
        <w:pStyle w:val="ListParagraph"/>
        <w:ind w:left="0"/>
        <w:rPr>
          <w:rFonts w:cs="Arial"/>
        </w:rPr>
      </w:pPr>
    </w:p>
    <w:p w:rsidR="00DF3CF7" w:rsidRDefault="00DF3CF7" w:rsidP="00DF3CF7">
      <w:pPr>
        <w:rPr>
          <w:lang w:eastAsia="zh-HK"/>
        </w:rPr>
      </w:pPr>
      <w:r>
        <w:t>6.7</w:t>
      </w:r>
      <w:r w:rsidRPr="008D1229">
        <w:tab/>
      </w:r>
      <w:r w:rsidRPr="008D1229">
        <w:tab/>
        <w:t xml:space="preserve">However the term </w:t>
      </w:r>
      <w:r>
        <w:t>"</w:t>
      </w:r>
      <w:r w:rsidRPr="00FA20E0">
        <w:rPr>
          <w:i/>
        </w:rPr>
        <w:t>historical interest</w:t>
      </w:r>
      <w:r>
        <w:t>"</w:t>
      </w:r>
      <w:r w:rsidRPr="008D1229">
        <w:t xml:space="preserve"> is not defined.  </w:t>
      </w:r>
      <w:r>
        <w:t xml:space="preserve">Nor </w:t>
      </w:r>
      <w:r w:rsidRPr="008D1229">
        <w:t xml:space="preserve">does the PDPO specify </w:t>
      </w:r>
      <w:r w:rsidRPr="00FA20E0">
        <w:t>who is to determine</w:t>
      </w:r>
      <w:r w:rsidRPr="008D1229">
        <w:t xml:space="preserve"> whether it is in the </w:t>
      </w:r>
      <w:r>
        <w:t>"</w:t>
      </w:r>
      <w:r w:rsidRPr="003009E2">
        <w:rPr>
          <w:i/>
        </w:rPr>
        <w:t>historical interest</w:t>
      </w:r>
      <w:r>
        <w:t>"</w:t>
      </w:r>
      <w:r w:rsidRPr="008D1229">
        <w:t xml:space="preserve"> to retain particular personal data.  This </w:t>
      </w:r>
      <w:r>
        <w:t xml:space="preserve">may </w:t>
      </w:r>
      <w:r w:rsidRPr="008D1229">
        <w:t xml:space="preserve">result in </w:t>
      </w:r>
      <w:r>
        <w:rPr>
          <w:rFonts w:hint="eastAsia"/>
          <w:lang w:eastAsia="zh-HK"/>
        </w:rPr>
        <w:t>hesitation on the part of B/Ds</w:t>
      </w:r>
      <w:r w:rsidRPr="008D1229">
        <w:t xml:space="preserve"> as to whether </w:t>
      </w:r>
      <w:r>
        <w:rPr>
          <w:rFonts w:hint="eastAsia"/>
        </w:rPr>
        <w:t>they are</w:t>
      </w:r>
      <w:r w:rsidRPr="008D1229">
        <w:t xml:space="preserve"> obliged to erase personal data contained in the records held by </w:t>
      </w:r>
      <w:r>
        <w:rPr>
          <w:rFonts w:hint="eastAsia"/>
        </w:rPr>
        <w:t>them</w:t>
      </w:r>
      <w:r w:rsidRPr="008D1229">
        <w:t>.</w:t>
      </w:r>
      <w:r>
        <w:rPr>
          <w:rFonts w:hint="eastAsia"/>
          <w:lang w:eastAsia="zh-HK"/>
        </w:rPr>
        <w:t xml:space="preserve"> </w:t>
      </w:r>
    </w:p>
    <w:p w:rsidR="00DF3CF7" w:rsidRPr="008B7A52" w:rsidRDefault="00DF3CF7" w:rsidP="00DF3CF7">
      <w:pPr>
        <w:rPr>
          <w:sz w:val="26"/>
          <w:szCs w:val="26"/>
          <w:lang w:eastAsia="zh-HK"/>
        </w:rPr>
      </w:pPr>
    </w:p>
    <w:p w:rsidR="00DF3CF7" w:rsidRPr="003009E2" w:rsidRDefault="00DF3CF7" w:rsidP="00DF3CF7">
      <w:pPr>
        <w:pStyle w:val="Heading4"/>
        <w:rPr>
          <w:b/>
        </w:rPr>
      </w:pPr>
      <w:r w:rsidRPr="003009E2">
        <w:t>Transfer and disclosure of personal data</w:t>
      </w:r>
    </w:p>
    <w:p w:rsidR="00DF3CF7" w:rsidRPr="008D1229" w:rsidRDefault="00DF3CF7" w:rsidP="00DF3CF7">
      <w:pPr>
        <w:rPr>
          <w:rFonts w:cs="Arial"/>
        </w:rPr>
      </w:pPr>
    </w:p>
    <w:p w:rsidR="00DF3CF7" w:rsidRPr="008D1229" w:rsidRDefault="00DF3CF7" w:rsidP="00DF3CF7">
      <w:r>
        <w:t>6.8</w:t>
      </w:r>
      <w:r w:rsidRPr="008D1229">
        <w:tab/>
      </w:r>
      <w:r w:rsidRPr="008D1229">
        <w:tab/>
        <w:t>Principle 3 in Schedule 1 to the PDPO provides that personal data shall not be used (</w:t>
      </w:r>
      <w:r>
        <w:t>"</w:t>
      </w:r>
      <w:r w:rsidRPr="003009E2">
        <w:rPr>
          <w:i/>
        </w:rPr>
        <w:t>use</w:t>
      </w:r>
      <w:r>
        <w:t>"</w:t>
      </w:r>
      <w:r w:rsidRPr="008D1229">
        <w:t xml:space="preserve"> is defined to include disclose or transfer</w:t>
      </w:r>
      <w:r w:rsidRPr="008D1229">
        <w:rPr>
          <w:rStyle w:val="FootnoteReference"/>
          <w:rFonts w:cs="Arial"/>
        </w:rPr>
        <w:footnoteReference w:id="370"/>
      </w:r>
      <w:r w:rsidRPr="008D1229">
        <w:t>) for a new purpose without the prescribed consent of the data subject.</w:t>
      </w:r>
      <w:r w:rsidRPr="008D1229">
        <w:rPr>
          <w:rStyle w:val="FootnoteReference"/>
          <w:rFonts w:cs="Arial"/>
        </w:rPr>
        <w:footnoteReference w:id="371"/>
      </w:r>
    </w:p>
    <w:p w:rsidR="00DF3CF7" w:rsidRPr="008D1229" w:rsidRDefault="00DF3CF7" w:rsidP="00DF3CF7">
      <w:pPr>
        <w:ind w:left="720"/>
        <w:rPr>
          <w:rFonts w:cs="Arial"/>
        </w:rPr>
      </w:pPr>
    </w:p>
    <w:p w:rsidR="00DF3CF7" w:rsidRPr="00527159" w:rsidRDefault="00DF3CF7" w:rsidP="00DF3CF7">
      <w:r>
        <w:t>6.9</w:t>
      </w:r>
      <w:r w:rsidRPr="008D1229">
        <w:tab/>
      </w:r>
      <w:r w:rsidRPr="008D1229">
        <w:tab/>
        <w:t>In 2012, the PDPO was amended to introduce an exemption to Principle 3 so that the data subject</w:t>
      </w:r>
      <w:r>
        <w:t>'</w:t>
      </w:r>
      <w:r w:rsidRPr="008D1229">
        <w:t>s consent is not required for transfer of records containing his personal data to the GRS for the sole purpose of appraisal of preservation value of, or organising and preserving</w:t>
      </w:r>
      <w:r>
        <w:t>,</w:t>
      </w:r>
      <w:r w:rsidRPr="008D1229">
        <w:t xml:space="preserve"> the records.</w:t>
      </w:r>
      <w:r w:rsidRPr="008D1229">
        <w:rPr>
          <w:rStyle w:val="FootnoteReference"/>
          <w:rFonts w:cs="Arial"/>
        </w:rPr>
        <w:footnoteReference w:id="372"/>
      </w:r>
      <w:r>
        <w:t xml:space="preserve">  </w:t>
      </w:r>
      <w:r w:rsidRPr="00527159">
        <w:t>This new exemption in effect answers Civic Exchange</w:t>
      </w:r>
      <w:r>
        <w:t>'</w:t>
      </w:r>
      <w:r w:rsidRPr="00527159">
        <w:t xml:space="preserve">s then concern over </w:t>
      </w:r>
      <w:r w:rsidRPr="00527159">
        <w:lastRenderedPageBreak/>
        <w:t>PDPO</w:t>
      </w:r>
      <w:r>
        <w:t>'</w:t>
      </w:r>
      <w:r w:rsidRPr="00527159">
        <w:t xml:space="preserve">s </w:t>
      </w:r>
      <w:r>
        <w:t>"</w:t>
      </w:r>
      <w:r w:rsidRPr="00527159">
        <w:rPr>
          <w:i/>
        </w:rPr>
        <w:t>crippling effect on Hong Kong</w:t>
      </w:r>
      <w:r>
        <w:rPr>
          <w:i/>
        </w:rPr>
        <w:t>'</w:t>
      </w:r>
      <w:r w:rsidRPr="00527159">
        <w:rPr>
          <w:i/>
        </w:rPr>
        <w:t>s archival operations since it restricts the disclosure or transfer of personal data without the consent of the data subject to safeguard the privacy of a living individual.</w:t>
      </w:r>
      <w:r>
        <w:t>"</w:t>
      </w:r>
      <w:r w:rsidRPr="00527159">
        <w:rPr>
          <w:rStyle w:val="FootnoteReference"/>
        </w:rPr>
        <w:footnoteReference w:id="373"/>
      </w:r>
    </w:p>
    <w:p w:rsidR="00DF3CF7" w:rsidRPr="00101146" w:rsidRDefault="00DF3CF7" w:rsidP="00DF3CF7">
      <w:pPr>
        <w:rPr>
          <w:rFonts w:cs="Arial"/>
        </w:rPr>
      </w:pPr>
    </w:p>
    <w:p w:rsidR="00DF3CF7" w:rsidRPr="003009E2" w:rsidRDefault="00DF3CF7" w:rsidP="00DF3CF7">
      <w:pPr>
        <w:pStyle w:val="Heading4"/>
        <w:rPr>
          <w:b/>
        </w:rPr>
      </w:pPr>
      <w:r w:rsidRPr="003009E2">
        <w:t>Access</w:t>
      </w:r>
    </w:p>
    <w:p w:rsidR="00DF3CF7" w:rsidRPr="008D1229" w:rsidRDefault="00DF3CF7" w:rsidP="00DF3CF7">
      <w:pPr>
        <w:rPr>
          <w:rFonts w:cs="Arial"/>
        </w:rPr>
      </w:pPr>
    </w:p>
    <w:p w:rsidR="00DF3CF7" w:rsidRPr="008D1229" w:rsidRDefault="00DF3CF7" w:rsidP="00DF3CF7">
      <w:r>
        <w:t>6.10</w:t>
      </w:r>
      <w:r w:rsidRPr="008D1229">
        <w:tab/>
      </w:r>
      <w:r w:rsidRPr="008D1229">
        <w:tab/>
        <w:t xml:space="preserve">Principle 3 in itself may also limit </w:t>
      </w:r>
      <w:r>
        <w:t>the</w:t>
      </w:r>
      <w:r w:rsidRPr="008D1229">
        <w:t xml:space="preserve"> GRS</w:t>
      </w:r>
      <w:r>
        <w:t>'</w:t>
      </w:r>
      <w:r w:rsidRPr="008D1229">
        <w:t xml:space="preserve"> ability to grant an individual access to its records that contain personal data of a third party.  However, personal data will also be exempted from Principle 3 where:</w:t>
      </w:r>
    </w:p>
    <w:p w:rsidR="00DF3CF7" w:rsidRPr="001D224E" w:rsidRDefault="00DF3CF7" w:rsidP="00DF3CF7">
      <w:pPr>
        <w:ind w:left="900"/>
        <w:jc w:val="center"/>
        <w:rPr>
          <w:rFonts w:cs="Arial"/>
          <w:sz w:val="20"/>
          <w:szCs w:val="20"/>
        </w:rPr>
      </w:pPr>
    </w:p>
    <w:p w:rsidR="00DF3CF7" w:rsidRPr="00AB474E" w:rsidRDefault="00DF3CF7" w:rsidP="00DF3CF7">
      <w:pPr>
        <w:pStyle w:val="Indent1"/>
        <w:rPr>
          <w:rFonts w:cs="Arial"/>
        </w:rPr>
      </w:pPr>
      <w:r w:rsidRPr="00AB474E">
        <w:rPr>
          <w:rFonts w:cs="Arial"/>
        </w:rPr>
        <w:t>(</w:t>
      </w:r>
      <w:r>
        <w:rPr>
          <w:rFonts w:cs="Arial" w:hint="eastAsia"/>
        </w:rPr>
        <w:t>i</w:t>
      </w:r>
      <w:r w:rsidRPr="00AB474E">
        <w:rPr>
          <w:rFonts w:cs="Arial"/>
        </w:rPr>
        <w:t>)</w:t>
      </w:r>
      <w:r w:rsidRPr="00AB474E">
        <w:rPr>
          <w:rFonts w:cs="Arial"/>
        </w:rPr>
        <w:tab/>
        <w:t>the data is to be used for preparing statistics or carrying out research;</w:t>
      </w:r>
    </w:p>
    <w:p w:rsidR="00DF3CF7" w:rsidRPr="00DA29B7" w:rsidRDefault="00DF3CF7" w:rsidP="00DF3CF7">
      <w:pPr>
        <w:pStyle w:val="Indent1"/>
        <w:rPr>
          <w:rFonts w:cs="Arial"/>
        </w:rPr>
      </w:pPr>
      <w:r w:rsidRPr="00DA29B7">
        <w:rPr>
          <w:rFonts w:cs="Arial"/>
        </w:rPr>
        <w:t>(</w:t>
      </w:r>
      <w:r>
        <w:rPr>
          <w:rFonts w:cs="Arial" w:hint="eastAsia"/>
        </w:rPr>
        <w:t>ii</w:t>
      </w:r>
      <w:r w:rsidRPr="00DA29B7">
        <w:rPr>
          <w:rFonts w:cs="Arial"/>
        </w:rPr>
        <w:t>)</w:t>
      </w:r>
      <w:r w:rsidRPr="00DA29B7">
        <w:rPr>
          <w:rFonts w:cs="Arial"/>
        </w:rPr>
        <w:tab/>
        <w:t xml:space="preserve">the data is not to be used for any other purpose; and </w:t>
      </w:r>
    </w:p>
    <w:p w:rsidR="00DF3CF7" w:rsidRPr="00DF1F70" w:rsidRDefault="00DF3CF7" w:rsidP="00DF3CF7">
      <w:pPr>
        <w:pStyle w:val="Indent1"/>
        <w:rPr>
          <w:rFonts w:cs="Arial"/>
        </w:rPr>
      </w:pPr>
      <w:r w:rsidRPr="00DF1F70">
        <w:rPr>
          <w:rFonts w:cs="Arial"/>
        </w:rPr>
        <w:t>(</w:t>
      </w:r>
      <w:r>
        <w:rPr>
          <w:rFonts w:cs="Arial" w:hint="eastAsia"/>
        </w:rPr>
        <w:t>iii</w:t>
      </w:r>
      <w:r w:rsidRPr="00DF1F70">
        <w:rPr>
          <w:rFonts w:cs="Arial"/>
        </w:rPr>
        <w:t>)</w:t>
      </w:r>
      <w:r w:rsidRPr="00DF1F70">
        <w:rPr>
          <w:rFonts w:cs="Arial"/>
        </w:rPr>
        <w:tab/>
        <w:t>the resulting statistics or results of the research are not made available in a form which identifies the data subjects or any of them.</w:t>
      </w:r>
      <w:r w:rsidRPr="00DF1F70">
        <w:rPr>
          <w:rStyle w:val="FootnoteReference"/>
          <w:rFonts w:cs="Arial"/>
        </w:rPr>
        <w:footnoteReference w:id="374"/>
      </w:r>
      <w:r w:rsidRPr="00DF1F70">
        <w:rPr>
          <w:rFonts w:cs="Arial"/>
        </w:rPr>
        <w:t xml:space="preserve"> </w:t>
      </w:r>
    </w:p>
    <w:p w:rsidR="00DF3CF7" w:rsidRPr="008B7A52" w:rsidRDefault="00DF3CF7" w:rsidP="00DF3CF7">
      <w:pPr>
        <w:rPr>
          <w:rFonts w:cs="Arial"/>
          <w:sz w:val="20"/>
          <w:szCs w:val="20"/>
        </w:rPr>
      </w:pPr>
    </w:p>
    <w:p w:rsidR="00DF3CF7" w:rsidRDefault="00DF3CF7" w:rsidP="00DF3CF7">
      <w:pPr>
        <w:rPr>
          <w:lang w:eastAsia="zh-HK"/>
        </w:rPr>
      </w:pPr>
      <w:r>
        <w:t>6.11</w:t>
      </w:r>
      <w:r w:rsidRPr="008D1229">
        <w:tab/>
      </w:r>
      <w:r w:rsidRPr="008D1229">
        <w:tab/>
        <w:t>To bring itself within the foregoing exemption</w:t>
      </w:r>
      <w:r>
        <w:rPr>
          <w:rFonts w:hint="eastAsia"/>
          <w:lang w:eastAsia="zh-HK"/>
        </w:rPr>
        <w:t xml:space="preserve"> as appropriate</w:t>
      </w:r>
      <w:r w:rsidRPr="008D1229">
        <w:t xml:space="preserve">, the GRS currently requires persons who </w:t>
      </w:r>
      <w:r>
        <w:rPr>
          <w:rFonts w:hint="eastAsia"/>
          <w:lang w:eastAsia="zh-HK"/>
        </w:rPr>
        <w:t xml:space="preserve">request for access to archival holdings or, </w:t>
      </w:r>
      <w:r w:rsidRPr="008D1229">
        <w:t xml:space="preserve">apply </w:t>
      </w:r>
      <w:r>
        <w:t>for</w:t>
      </w:r>
      <w:r w:rsidRPr="008D1229">
        <w:t xml:space="preserve"> a copy of document(s) it holds to declare that any personal data captured from the document(s) will be used</w:t>
      </w:r>
      <w:r>
        <w:t xml:space="preserve"> </w:t>
      </w:r>
      <w:r w:rsidRPr="008D1229">
        <w:t>in conformity with the above conditions.</w:t>
      </w:r>
      <w:r w:rsidRPr="008D1229">
        <w:rPr>
          <w:rStyle w:val="FootnoteReference"/>
          <w:rFonts w:cs="Arial"/>
        </w:rPr>
        <w:footnoteReference w:id="375"/>
      </w:r>
      <w:r>
        <w:rPr>
          <w:rFonts w:hint="eastAsia"/>
          <w:lang w:eastAsia="zh-HK"/>
        </w:rPr>
        <w:t xml:space="preserve"> </w:t>
      </w:r>
    </w:p>
    <w:p w:rsidR="00DF3CF7" w:rsidRPr="008B7A52" w:rsidRDefault="00DF3CF7" w:rsidP="00DF3CF7">
      <w:pPr>
        <w:rPr>
          <w:sz w:val="22"/>
          <w:szCs w:val="22"/>
          <w:lang w:eastAsia="zh-HK"/>
        </w:rPr>
      </w:pPr>
    </w:p>
    <w:p w:rsidR="00DF3CF7" w:rsidRPr="008B7A52" w:rsidRDefault="00DF3CF7" w:rsidP="00DF3CF7">
      <w:pPr>
        <w:rPr>
          <w:rFonts w:cs="Arial"/>
          <w:sz w:val="22"/>
          <w:szCs w:val="22"/>
        </w:rPr>
      </w:pPr>
    </w:p>
    <w:p w:rsidR="00DF3CF7" w:rsidRPr="00DA29B7" w:rsidRDefault="00DF3CF7" w:rsidP="00DF3CF7">
      <w:pPr>
        <w:pStyle w:val="Heading3"/>
        <w:keepNext w:val="0"/>
        <w:rPr>
          <w:rFonts w:cs="Arial"/>
        </w:rPr>
      </w:pPr>
      <w:r w:rsidRPr="00A017BD">
        <w:t>Australia</w:t>
      </w:r>
      <w:r>
        <w:rPr>
          <w:rFonts w:hint="eastAsia"/>
        </w:rPr>
        <w:t xml:space="preserve"> </w:t>
      </w:r>
      <w:r w:rsidRPr="00D86E22">
        <w:rPr>
          <w:rFonts w:cs="Arial"/>
          <w:kern w:val="2"/>
          <w:szCs w:val="22"/>
          <w:lang w:val="en-US"/>
        </w:rPr>
        <w:t>–</w:t>
      </w:r>
      <w:r>
        <w:rPr>
          <w:rFonts w:hint="eastAsia"/>
        </w:rPr>
        <w:t xml:space="preserve"> </w:t>
      </w:r>
      <w:r w:rsidRPr="00AB474E">
        <w:rPr>
          <w:rFonts w:cs="Arial"/>
        </w:rPr>
        <w:t>Privacy Act</w:t>
      </w:r>
      <w:r w:rsidRPr="00DA29B7">
        <w:rPr>
          <w:rFonts w:cs="Arial"/>
        </w:rPr>
        <w:t xml:space="preserve"> 1988</w:t>
      </w:r>
    </w:p>
    <w:p w:rsidR="00DF3CF7" w:rsidRPr="008D1229" w:rsidRDefault="00DF3CF7" w:rsidP="00DF3CF7">
      <w:pPr>
        <w:pStyle w:val="ListParagraph"/>
        <w:rPr>
          <w:rFonts w:cs="Arial"/>
        </w:rPr>
      </w:pPr>
    </w:p>
    <w:p w:rsidR="00DF3CF7" w:rsidRPr="008D1229" w:rsidRDefault="00DF3CF7" w:rsidP="00DF3CF7">
      <w:r>
        <w:t>6</w:t>
      </w:r>
      <w:r w:rsidRPr="008D1229">
        <w:t>.1</w:t>
      </w:r>
      <w:r>
        <w:t>2</w:t>
      </w:r>
      <w:r w:rsidRPr="008D1229">
        <w:tab/>
      </w:r>
      <w:r w:rsidRPr="008D1229">
        <w:tab/>
        <w:t>The Privacy Act 1988 sets out 13 Australian Privacy Principles (</w:t>
      </w:r>
      <w:r>
        <w:t>"</w:t>
      </w:r>
      <w:r w:rsidRPr="008D1229">
        <w:rPr>
          <w:b/>
        </w:rPr>
        <w:t>APPs</w:t>
      </w:r>
      <w:r>
        <w:t>"</w:t>
      </w:r>
      <w:r w:rsidRPr="008D1229">
        <w:t>) that regulate the handling of personal information.</w:t>
      </w:r>
      <w:r w:rsidRPr="008D1229">
        <w:rPr>
          <w:rStyle w:val="FootnoteReference"/>
          <w:rFonts w:cs="Arial"/>
        </w:rPr>
        <w:footnoteReference w:id="376"/>
      </w:r>
      <w:r w:rsidRPr="008D1229">
        <w:t xml:space="preserve">  The following APPs are relevant to the management of Commonwealth records:-</w:t>
      </w:r>
    </w:p>
    <w:p w:rsidR="00DF3CF7" w:rsidRPr="00EE10F9" w:rsidRDefault="00DF3CF7" w:rsidP="00DF3CF7">
      <w:pPr>
        <w:tabs>
          <w:tab w:val="left" w:pos="709"/>
        </w:tabs>
        <w:rPr>
          <w:rFonts w:cs="Arial"/>
          <w:lang w:val="en-US"/>
        </w:rPr>
      </w:pPr>
    </w:p>
    <w:p w:rsidR="00DF3CF7" w:rsidRPr="00DA29B7" w:rsidRDefault="00DF3CF7" w:rsidP="00DF3CF7">
      <w:pPr>
        <w:pStyle w:val="Heading4"/>
        <w:keepNext w:val="0"/>
      </w:pPr>
      <w:r w:rsidRPr="00AB474E">
        <w:t>Retention of personal information</w:t>
      </w:r>
    </w:p>
    <w:p w:rsidR="00DF3CF7" w:rsidRPr="008D1229" w:rsidRDefault="00DF3CF7" w:rsidP="00DF3CF7">
      <w:pPr>
        <w:pStyle w:val="ListParagraph"/>
        <w:ind w:left="0" w:firstLineChars="27" w:firstLine="65"/>
        <w:rPr>
          <w:rFonts w:cs="Arial"/>
        </w:rPr>
      </w:pPr>
    </w:p>
    <w:p w:rsidR="00DF3CF7" w:rsidRPr="008D1229" w:rsidRDefault="00DF3CF7" w:rsidP="00DF3CF7">
      <w:r>
        <w:t>6</w:t>
      </w:r>
      <w:r w:rsidRPr="008D1229">
        <w:t>.1</w:t>
      </w:r>
      <w:r>
        <w:t>3</w:t>
      </w:r>
      <w:r w:rsidRPr="008D1229">
        <w:tab/>
      </w:r>
      <w:r w:rsidRPr="008D1229">
        <w:tab/>
        <w:t xml:space="preserve">For Australian government agencies, almost all personal information, collected in the course of business, is considered </w:t>
      </w:r>
      <w:r>
        <w:t>"</w:t>
      </w:r>
      <w:r w:rsidRPr="00247DF7">
        <w:rPr>
          <w:i/>
        </w:rPr>
        <w:t>Commonwealth record</w:t>
      </w:r>
      <w:r>
        <w:t>"</w:t>
      </w:r>
      <w:r w:rsidRPr="008D1229">
        <w:t xml:space="preserve"> as defined under the 1983 Act.  As a general rule, a Commonwealth record can only be destroyed or altered in accordance with s</w:t>
      </w:r>
      <w:r>
        <w:t xml:space="preserve">ections </w:t>
      </w:r>
      <w:r w:rsidRPr="008D1229">
        <w:t xml:space="preserve">24 </w:t>
      </w:r>
      <w:r>
        <w:t xml:space="preserve">and 26 </w:t>
      </w:r>
      <w:r w:rsidRPr="008D1229">
        <w:lastRenderedPageBreak/>
        <w:t>of the 1983 Act</w:t>
      </w:r>
      <w:r w:rsidRPr="00FA20E0">
        <w:t xml:space="preserve">.  </w:t>
      </w:r>
      <w:r w:rsidRPr="00FE587F">
        <w:t>Three APPs, namely APP4, APP11 and APP13, intersect with these</w:t>
      </w:r>
      <w:r w:rsidRPr="00FA20E0">
        <w:t xml:space="preserve"> two provisions.</w:t>
      </w:r>
      <w:r w:rsidRPr="008D1229">
        <w:rPr>
          <w:rStyle w:val="FootnoteReference"/>
          <w:rFonts w:cs="Arial"/>
        </w:rPr>
        <w:footnoteReference w:id="377"/>
      </w:r>
      <w:r w:rsidRPr="008D1229">
        <w:t xml:space="preserve">  </w:t>
      </w:r>
    </w:p>
    <w:p w:rsidR="00DF3CF7" w:rsidRPr="008D1229" w:rsidRDefault="00DF3CF7" w:rsidP="00DF3CF7">
      <w:pPr>
        <w:rPr>
          <w:rFonts w:cs="Arial"/>
        </w:rPr>
      </w:pPr>
    </w:p>
    <w:p w:rsidR="00DF3CF7" w:rsidRPr="008D1229" w:rsidRDefault="00DF3CF7" w:rsidP="00DF3CF7">
      <w:r>
        <w:t>6</w:t>
      </w:r>
      <w:r w:rsidRPr="008D1229">
        <w:t>.1</w:t>
      </w:r>
      <w:r>
        <w:t>4</w:t>
      </w:r>
      <w:r w:rsidRPr="008D1229">
        <w:tab/>
      </w:r>
      <w:r w:rsidRPr="008D1229">
        <w:tab/>
        <w:t xml:space="preserve">APPs 4 and 11 respectively require an APP entity (which includes </w:t>
      </w:r>
      <w:r>
        <w:t>g</w:t>
      </w:r>
      <w:r w:rsidRPr="00545141">
        <w:t>overnment department</w:t>
      </w:r>
      <w:r w:rsidRPr="008D1229">
        <w:t xml:space="preserve">) to destroy or de-identify unsolicited personal information and personal information which is no longer needed for any authorised purpose.  These APPs however make it clear that personal information contained in a </w:t>
      </w:r>
      <w:r w:rsidRPr="00DF1F70">
        <w:t>Commonwealth record</w:t>
      </w:r>
      <w:r w:rsidRPr="008D1229">
        <w:t xml:space="preserve"> can only be destroyed or altered in accordance with the 1983 Act.</w:t>
      </w:r>
      <w:r w:rsidRPr="008D1229">
        <w:rPr>
          <w:rStyle w:val="FootnoteReference"/>
          <w:rFonts w:cs="Arial"/>
        </w:rPr>
        <w:footnoteReference w:id="378"/>
      </w:r>
      <w:r w:rsidRPr="008D1229">
        <w:t xml:space="preserve"> </w:t>
      </w:r>
    </w:p>
    <w:p w:rsidR="00DF3CF7" w:rsidRPr="008D1229" w:rsidRDefault="00DF3CF7" w:rsidP="00DF3CF7">
      <w:pPr>
        <w:pStyle w:val="ListParagraph"/>
        <w:ind w:left="0" w:firstLineChars="27" w:firstLine="65"/>
        <w:rPr>
          <w:rFonts w:cs="Arial"/>
        </w:rPr>
      </w:pPr>
    </w:p>
    <w:p w:rsidR="00DF3CF7" w:rsidRPr="008D1229" w:rsidRDefault="00DF3CF7" w:rsidP="00DF3CF7">
      <w:r>
        <w:t>6.15</w:t>
      </w:r>
      <w:r w:rsidRPr="008D1229">
        <w:tab/>
      </w:r>
      <w:r w:rsidRPr="008D1229">
        <w:tab/>
        <w:t xml:space="preserve">APP13 concerns the correction of personal information. </w:t>
      </w:r>
      <w:r>
        <w:rPr>
          <w:rFonts w:hint="eastAsia"/>
        </w:rPr>
        <w:t xml:space="preserve"> </w:t>
      </w:r>
      <w:r w:rsidRPr="008D1229">
        <w:t>Alteration of a Commonwealth record, however, can generally only be done in accordance with s</w:t>
      </w:r>
      <w:r>
        <w:t xml:space="preserve">ection </w:t>
      </w:r>
      <w:r w:rsidRPr="008D1229">
        <w:t xml:space="preserve">24 of the 1983 Act as noted above. </w:t>
      </w:r>
      <w:r>
        <w:rPr>
          <w:rFonts w:hint="eastAsia"/>
        </w:rPr>
        <w:t xml:space="preserve"> </w:t>
      </w:r>
      <w:r w:rsidRPr="008D1229">
        <w:t xml:space="preserve">Alteration of a Commonwealth record which has been in existence for more than 15 years </w:t>
      </w:r>
      <w:r>
        <w:t>is</w:t>
      </w:r>
      <w:r w:rsidRPr="008D1229">
        <w:t xml:space="preserve"> </w:t>
      </w:r>
      <w:r>
        <w:t xml:space="preserve">an </w:t>
      </w:r>
      <w:r w:rsidRPr="008D1229">
        <w:t xml:space="preserve">offence unless done in compliance with </w:t>
      </w:r>
      <w:r>
        <w:t xml:space="preserve">section </w:t>
      </w:r>
      <w:r w:rsidRPr="008D1229">
        <w:t xml:space="preserve">26.  </w:t>
      </w:r>
    </w:p>
    <w:p w:rsidR="00DF3CF7" w:rsidRDefault="00DF3CF7" w:rsidP="00DF3CF7">
      <w:pPr>
        <w:pStyle w:val="ListParagraph"/>
        <w:ind w:left="0" w:firstLineChars="27" w:firstLine="65"/>
        <w:rPr>
          <w:rFonts w:cs="Arial"/>
          <w:lang w:val="en-US"/>
        </w:rPr>
      </w:pPr>
    </w:p>
    <w:p w:rsidR="00DF3CF7" w:rsidRPr="008C089F" w:rsidRDefault="00DF3CF7" w:rsidP="00DF3CF7">
      <w:pPr>
        <w:pStyle w:val="Heading4"/>
        <w:rPr>
          <w:rFonts w:cs="Arial"/>
        </w:rPr>
      </w:pPr>
      <w:r w:rsidRPr="00AB474E">
        <w:rPr>
          <w:rFonts w:cs="Arial"/>
        </w:rPr>
        <w:t xml:space="preserve">Transfer </w:t>
      </w:r>
      <w:r>
        <w:rPr>
          <w:rFonts w:cs="Arial"/>
        </w:rPr>
        <w:t xml:space="preserve">and disclosure </w:t>
      </w:r>
      <w:r w:rsidRPr="00DA29B7">
        <w:rPr>
          <w:rFonts w:cs="Arial"/>
        </w:rPr>
        <w:t>of personal informat</w:t>
      </w:r>
      <w:r w:rsidRPr="008C089F">
        <w:rPr>
          <w:rFonts w:cs="Arial"/>
        </w:rPr>
        <w:t xml:space="preserve">ion </w:t>
      </w:r>
    </w:p>
    <w:p w:rsidR="00DF3CF7" w:rsidRPr="008D1229" w:rsidRDefault="00DF3CF7" w:rsidP="00DF3CF7">
      <w:pPr>
        <w:keepNext/>
        <w:rPr>
          <w:rFonts w:cs="Arial"/>
        </w:rPr>
      </w:pPr>
    </w:p>
    <w:p w:rsidR="00DF3CF7" w:rsidRPr="008D1229" w:rsidRDefault="00DF3CF7" w:rsidP="00DF3CF7">
      <w:r>
        <w:t>6.16</w:t>
      </w:r>
      <w:r w:rsidRPr="008D1229">
        <w:tab/>
      </w:r>
      <w:r w:rsidRPr="008D1229">
        <w:tab/>
        <w:t xml:space="preserve">APP6 prohibits generally the use or disclosure of personal information for a purpose other than </w:t>
      </w:r>
      <w:r>
        <w:t xml:space="preserve">the </w:t>
      </w:r>
      <w:r w:rsidRPr="008D1229">
        <w:t xml:space="preserve">one for which it was collected.  One exception to this is where the relevant individual has consented to this. Another exception is where such use or disclosure is required or authorised by or under an Australian law.  Thus the transfer of a record containing personal information </w:t>
      </w:r>
      <w:r>
        <w:t xml:space="preserve">to the NAA </w:t>
      </w:r>
      <w:r w:rsidRPr="008D1229">
        <w:t>as required by s</w:t>
      </w:r>
      <w:r>
        <w:t xml:space="preserve">ection </w:t>
      </w:r>
      <w:r w:rsidRPr="008D1229">
        <w:t>27 of the 1983 Act does not violate APP6.</w:t>
      </w:r>
    </w:p>
    <w:p w:rsidR="00DF3CF7" w:rsidRPr="008C089F" w:rsidRDefault="00DF3CF7" w:rsidP="00DF3CF7">
      <w:pPr>
        <w:rPr>
          <w:rFonts w:cs="Arial"/>
        </w:rPr>
      </w:pPr>
    </w:p>
    <w:p w:rsidR="00DF3CF7" w:rsidRPr="008D1229" w:rsidRDefault="00DF3CF7" w:rsidP="00DF3CF7">
      <w:r>
        <w:t>6</w:t>
      </w:r>
      <w:r w:rsidRPr="008D1229">
        <w:t>.1</w:t>
      </w:r>
      <w:r>
        <w:t>7</w:t>
      </w:r>
      <w:r w:rsidRPr="008D1229">
        <w:tab/>
      </w:r>
      <w:r w:rsidRPr="008D1229">
        <w:tab/>
        <w:t xml:space="preserve">To facilitate the work of the NAA, the Privacy Act </w:t>
      </w:r>
      <w:r>
        <w:t xml:space="preserve">1988 </w:t>
      </w:r>
      <w:r w:rsidRPr="008D1229">
        <w:t>also makes it clear that an act or practice does not breach an APP if it involves the disclosure by an organisation of personal information in a record (as defined in the 1983 Act) solely for the purpose of enabling the NAA to decide whether to accept, or to arrange, care (as defined in the 1983 Act) of the record.</w:t>
      </w:r>
      <w:r w:rsidRPr="008D1229">
        <w:rPr>
          <w:rStyle w:val="FootnoteReference"/>
          <w:rFonts w:cs="Arial"/>
        </w:rPr>
        <w:footnoteReference w:id="379"/>
      </w:r>
    </w:p>
    <w:p w:rsidR="00DF3CF7" w:rsidRDefault="00DF3CF7" w:rsidP="00DF3CF7">
      <w:pPr>
        <w:rPr>
          <w:rFonts w:cs="Arial"/>
          <w:lang w:val="en-US"/>
        </w:rPr>
      </w:pPr>
    </w:p>
    <w:p w:rsidR="00DF3CF7" w:rsidRPr="00DA29B7" w:rsidRDefault="00DF3CF7" w:rsidP="00DF3CF7">
      <w:pPr>
        <w:pStyle w:val="Heading4"/>
      </w:pPr>
      <w:r>
        <w:t xml:space="preserve">Access </w:t>
      </w:r>
    </w:p>
    <w:p w:rsidR="00DF3CF7" w:rsidRPr="008D1229" w:rsidRDefault="00DF3CF7" w:rsidP="00DF3CF7">
      <w:pPr>
        <w:pStyle w:val="ListParagraph"/>
        <w:ind w:left="0"/>
        <w:rPr>
          <w:rFonts w:cs="Arial"/>
        </w:rPr>
      </w:pPr>
    </w:p>
    <w:p w:rsidR="00DF3CF7" w:rsidRDefault="00DF3CF7" w:rsidP="00DF3CF7">
      <w:r>
        <w:t>6</w:t>
      </w:r>
      <w:r w:rsidRPr="008D1229">
        <w:t>.1</w:t>
      </w:r>
      <w:r>
        <w:t>8</w:t>
      </w:r>
      <w:r w:rsidRPr="008D1229">
        <w:tab/>
      </w:r>
      <w:r w:rsidRPr="008D1229">
        <w:tab/>
        <w:t>APP12 requires an APP entity to comply with an individual</w:t>
      </w:r>
      <w:r>
        <w:t>'</w:t>
      </w:r>
      <w:r w:rsidRPr="008D1229">
        <w:t xml:space="preserve">s request for access to personal information it holds about that individual.  </w:t>
      </w:r>
      <w:r>
        <w:t>Access may be refused, and the grounds for refusal differ depending on whether the APP entity is an "agency" or an "organisation" (ie under APP 12.2 and APP 12.3 respectively).</w:t>
      </w:r>
      <w:r>
        <w:rPr>
          <w:rStyle w:val="FootnoteReference"/>
        </w:rPr>
        <w:footnoteReference w:id="380"/>
      </w:r>
      <w:r>
        <w:t xml:space="preserve">  An agency may refuse access under APP 12.2 </w:t>
      </w:r>
      <w:r>
        <w:lastRenderedPageBreak/>
        <w:t>if it is required or authorised to do so by or under (i) the Freedom of Information Act 1982, or (ii) any other Act that provides for access by persons to documents.  Under this latter ground in (ii), access to records that have been identified as "exempt records" under the 1983 Act can be refused.</w:t>
      </w:r>
      <w:r>
        <w:rPr>
          <w:rStyle w:val="FootnoteReference"/>
        </w:rPr>
        <w:footnoteReference w:id="381"/>
      </w:r>
      <w:r>
        <w:t xml:space="preserve">   </w:t>
      </w:r>
    </w:p>
    <w:p w:rsidR="00DF3CF7" w:rsidRPr="00007D81" w:rsidRDefault="00DF3CF7" w:rsidP="00DF3CF7">
      <w:pPr>
        <w:rPr>
          <w:rFonts w:cs="Arial"/>
          <w:i/>
          <w:color w:val="FF0000"/>
          <w:lang w:val="en-US" w:eastAsia="zh-HK"/>
        </w:rPr>
      </w:pPr>
    </w:p>
    <w:p w:rsidR="00DF3CF7" w:rsidRDefault="00DF3CF7" w:rsidP="00DF3CF7">
      <w:pPr>
        <w:rPr>
          <w:rFonts w:cs="Arial"/>
          <w:lang w:val="en-US"/>
        </w:rPr>
      </w:pPr>
    </w:p>
    <w:p w:rsidR="00DF3CF7" w:rsidRPr="00D86E22" w:rsidRDefault="00DF3CF7" w:rsidP="00DF3CF7">
      <w:pPr>
        <w:snapToGrid/>
        <w:jc w:val="left"/>
        <w:rPr>
          <w:rFonts w:cs="Arial"/>
          <w:b/>
          <w:i/>
          <w:kern w:val="2"/>
          <w:szCs w:val="22"/>
          <w:lang w:val="en-US"/>
        </w:rPr>
      </w:pPr>
      <w:r w:rsidRPr="00D86E22">
        <w:rPr>
          <w:rFonts w:cs="Arial"/>
          <w:b/>
          <w:i/>
          <w:kern w:val="2"/>
          <w:szCs w:val="22"/>
          <w:lang w:val="en-US"/>
        </w:rPr>
        <w:t>England – General Data Protection Regulation and Data Protection Act 2018</w:t>
      </w:r>
    </w:p>
    <w:p w:rsidR="00DF3CF7" w:rsidRPr="00D86E22" w:rsidRDefault="00DF3CF7" w:rsidP="00DF3CF7">
      <w:pPr>
        <w:snapToGrid/>
        <w:jc w:val="left"/>
        <w:rPr>
          <w:rFonts w:cs="Arial"/>
          <w:kern w:val="2"/>
          <w:szCs w:val="22"/>
          <w:lang w:val="en-US"/>
        </w:rPr>
      </w:pPr>
    </w:p>
    <w:p w:rsidR="00DF3CF7" w:rsidRPr="00BE46E4" w:rsidRDefault="00DF3CF7" w:rsidP="00DF3CF7">
      <w:pPr>
        <w:rPr>
          <w:lang w:val="en-US"/>
        </w:rPr>
      </w:pPr>
      <w:r w:rsidRPr="00BE46E4">
        <w:rPr>
          <w:lang w:val="en-US"/>
        </w:rPr>
        <w:t>6.19</w:t>
      </w:r>
      <w:r w:rsidRPr="00BE46E4">
        <w:rPr>
          <w:lang w:val="en-US"/>
        </w:rPr>
        <w:tab/>
      </w:r>
      <w:r w:rsidRPr="00BE46E4">
        <w:rPr>
          <w:lang w:val="en-US"/>
        </w:rPr>
        <w:tab/>
        <w:t>The legal landscape on data protection and privacy in the European Union was changed with the coming into force of the General Data Protection Regulation (the “</w:t>
      </w:r>
      <w:r w:rsidRPr="00BE46E4">
        <w:rPr>
          <w:b/>
          <w:lang w:val="en-US"/>
        </w:rPr>
        <w:t>GDPR</w:t>
      </w:r>
      <w:r w:rsidRPr="00BE46E4">
        <w:rPr>
          <w:lang w:val="en-US"/>
        </w:rPr>
        <w:t>”)</w:t>
      </w:r>
      <w:r w:rsidRPr="00BE46E4">
        <w:rPr>
          <w:vertAlign w:val="superscript"/>
          <w:lang w:val="en-US"/>
        </w:rPr>
        <w:footnoteReference w:id="382"/>
      </w:r>
      <w:r w:rsidRPr="00BE46E4">
        <w:rPr>
          <w:lang w:val="en-US"/>
        </w:rPr>
        <w:t xml:space="preserve"> on 25 May 2018.  The bedrock of this new regime is some key principles relating to the processing of personal data set out in the GDPR, namely (a) lawfulness, fairness and transparency;</w:t>
      </w:r>
      <w:r w:rsidRPr="00BE46E4">
        <w:rPr>
          <w:vertAlign w:val="superscript"/>
          <w:lang w:val="en-US"/>
        </w:rPr>
        <w:footnoteReference w:id="383"/>
      </w:r>
      <w:r w:rsidRPr="00BE46E4">
        <w:rPr>
          <w:lang w:val="en-US"/>
        </w:rPr>
        <w:t xml:space="preserve"> (b) purpose limitation;</w:t>
      </w:r>
      <w:r w:rsidRPr="00BE46E4">
        <w:rPr>
          <w:vertAlign w:val="superscript"/>
          <w:lang w:val="en-US"/>
        </w:rPr>
        <w:footnoteReference w:id="384"/>
      </w:r>
      <w:r w:rsidRPr="00BE46E4">
        <w:rPr>
          <w:lang w:val="en-US"/>
        </w:rPr>
        <w:t xml:space="preserve"> (c) data minimisation;</w:t>
      </w:r>
      <w:r w:rsidRPr="00BE46E4">
        <w:rPr>
          <w:vertAlign w:val="superscript"/>
          <w:lang w:val="en-US"/>
        </w:rPr>
        <w:footnoteReference w:id="385"/>
      </w:r>
      <w:r w:rsidRPr="00BE46E4">
        <w:rPr>
          <w:lang w:val="en-US"/>
        </w:rPr>
        <w:t xml:space="preserve"> (d) accuracy;</w:t>
      </w:r>
      <w:r w:rsidRPr="00BE46E4">
        <w:rPr>
          <w:vertAlign w:val="superscript"/>
          <w:lang w:val="en-US"/>
        </w:rPr>
        <w:footnoteReference w:id="386"/>
      </w:r>
      <w:r w:rsidRPr="00BE46E4">
        <w:rPr>
          <w:lang w:val="en-US"/>
        </w:rPr>
        <w:t xml:space="preserve"> (e) storage limitation;</w:t>
      </w:r>
      <w:r w:rsidRPr="00BE46E4">
        <w:rPr>
          <w:vertAlign w:val="superscript"/>
          <w:lang w:val="en-US"/>
        </w:rPr>
        <w:footnoteReference w:id="387"/>
      </w:r>
      <w:r w:rsidRPr="00BE46E4">
        <w:rPr>
          <w:lang w:val="en-US"/>
        </w:rPr>
        <w:t xml:space="preserve"> (f) integrity and confidentiality;</w:t>
      </w:r>
      <w:r w:rsidRPr="00BE46E4">
        <w:rPr>
          <w:vertAlign w:val="superscript"/>
          <w:lang w:val="en-US"/>
        </w:rPr>
        <w:footnoteReference w:id="388"/>
      </w:r>
      <w:r w:rsidRPr="00BE46E4">
        <w:rPr>
          <w:lang w:val="en-US"/>
        </w:rPr>
        <w:t xml:space="preserve"> and (g) accountability.</w:t>
      </w:r>
      <w:r w:rsidRPr="00BE46E4">
        <w:rPr>
          <w:vertAlign w:val="superscript"/>
          <w:lang w:val="en-US"/>
        </w:rPr>
        <w:footnoteReference w:id="389"/>
      </w:r>
      <w:r w:rsidRPr="00BE46E4">
        <w:rPr>
          <w:lang w:val="en-US"/>
        </w:rPr>
        <w:t xml:space="preserve"> </w:t>
      </w:r>
    </w:p>
    <w:p w:rsidR="00DF3CF7" w:rsidRPr="00D86E22" w:rsidRDefault="00DF3CF7" w:rsidP="00DF3CF7">
      <w:pPr>
        <w:snapToGrid/>
        <w:rPr>
          <w:rFonts w:cs="Arial"/>
          <w:kern w:val="2"/>
          <w:szCs w:val="22"/>
          <w:lang w:val="en-US"/>
        </w:rPr>
      </w:pPr>
    </w:p>
    <w:p w:rsidR="00DF3CF7" w:rsidRPr="00BE46E4" w:rsidRDefault="00DF3CF7" w:rsidP="00DF3CF7">
      <w:pPr>
        <w:rPr>
          <w:lang w:val="en-US"/>
        </w:rPr>
      </w:pPr>
      <w:r w:rsidRPr="00BE46E4">
        <w:rPr>
          <w:lang w:val="en-US"/>
        </w:rPr>
        <w:t>6.20</w:t>
      </w:r>
      <w:r w:rsidRPr="00BE46E4">
        <w:rPr>
          <w:lang w:val="en-US"/>
        </w:rPr>
        <w:tab/>
      </w:r>
      <w:r w:rsidRPr="00BE46E4">
        <w:rPr>
          <w:lang w:val="en-US"/>
        </w:rPr>
        <w:tab/>
        <w:t>Ushering in a new era for data protection that gives individuals more control over their personal data,</w:t>
      </w:r>
      <w:r w:rsidRPr="00BE46E4">
        <w:rPr>
          <w:vertAlign w:val="superscript"/>
          <w:lang w:val="en-US"/>
        </w:rPr>
        <w:footnoteReference w:id="390"/>
      </w:r>
      <w:r w:rsidRPr="00BE46E4">
        <w:rPr>
          <w:lang w:val="en-US"/>
        </w:rPr>
        <w:t xml:space="preserve"> the GDPR equally recognises the importance of “processing for archiving purposes in the public interest” which manifests in its various provisions.  First, despite the principle of purpose limitation, further processing for archiving purposes in the public interest in </w:t>
      </w:r>
      <w:r w:rsidRPr="00BE46E4">
        <w:rPr>
          <w:lang w:val="en-US"/>
        </w:rPr>
        <w:lastRenderedPageBreak/>
        <w:t>accordance with Article 89 is not to be considered to be incompatible with the initial purposes.</w:t>
      </w:r>
      <w:r w:rsidRPr="00BE46E4">
        <w:rPr>
          <w:vertAlign w:val="superscript"/>
          <w:lang w:val="en-US"/>
        </w:rPr>
        <w:footnoteReference w:id="391"/>
      </w:r>
      <w:r w:rsidRPr="00BE46E4">
        <w:rPr>
          <w:lang w:val="en-US"/>
        </w:rPr>
        <w:t xml:space="preserve">  Secondly, in spite of the principle of storage limitation, personal data may be stored for longer periods insofar as such data will be processed solely for archiving purposes in the public interest in accordance with Article 89 subject to implementation of appropriate safeguards.</w:t>
      </w:r>
      <w:r w:rsidRPr="00BE46E4">
        <w:rPr>
          <w:vertAlign w:val="superscript"/>
          <w:lang w:val="en-US"/>
        </w:rPr>
        <w:footnoteReference w:id="392"/>
      </w:r>
      <w:r w:rsidRPr="00BE46E4">
        <w:rPr>
          <w:lang w:val="en-US"/>
        </w:rPr>
        <w:t xml:space="preserve"> </w:t>
      </w:r>
    </w:p>
    <w:p w:rsidR="00DF3CF7" w:rsidRPr="00D86E22" w:rsidRDefault="00DF3CF7" w:rsidP="00DF3CF7">
      <w:pPr>
        <w:snapToGrid/>
        <w:rPr>
          <w:rFonts w:cs="Arial"/>
          <w:kern w:val="2"/>
          <w:szCs w:val="22"/>
          <w:lang w:val="en-US"/>
        </w:rPr>
      </w:pPr>
    </w:p>
    <w:p w:rsidR="00DF3CF7" w:rsidRPr="00BE46E4" w:rsidRDefault="00DF3CF7" w:rsidP="00DF3CF7">
      <w:pPr>
        <w:rPr>
          <w:lang w:val="en-US"/>
        </w:rPr>
      </w:pPr>
      <w:r w:rsidRPr="00BE46E4">
        <w:rPr>
          <w:lang w:val="en-US"/>
        </w:rPr>
        <w:t>6.21</w:t>
      </w:r>
      <w:r w:rsidRPr="00BE46E4">
        <w:rPr>
          <w:lang w:val="en-US"/>
        </w:rPr>
        <w:tab/>
      </w:r>
      <w:r w:rsidRPr="00BE46E4">
        <w:rPr>
          <w:lang w:val="en-US"/>
        </w:rPr>
        <w:tab/>
        <w:t>Article 89(1) requires that processing for archiving purposes in the public interest shall be subject to appropriate safeguards for the rights and freedoms of the data subject. Those safeguards must ensure that technical and organisational measures are in place in particular to ensure respect for the principle of data minimisation.  Article 89(3) provides that where personal data are processed for archiving purposes in the public interest, Member State law may provide for derogations from the rights in Articles 15, 16, 18, 19, 20 and 21</w:t>
      </w:r>
      <w:r w:rsidRPr="00BE46E4">
        <w:rPr>
          <w:vertAlign w:val="superscript"/>
          <w:lang w:val="en-US"/>
        </w:rPr>
        <w:footnoteReference w:id="393"/>
      </w:r>
      <w:r w:rsidRPr="00BE46E4">
        <w:rPr>
          <w:lang w:val="en-US"/>
        </w:rPr>
        <w:t xml:space="preserve"> subject to the conditions and safeguards in Article 89(1) in so far as such rights are likely to render impossible or seriously impair the achievement of the specific purposes, and such derogations are necessary for the fulfilment of those purposes.</w:t>
      </w:r>
      <w:r w:rsidRPr="00BE46E4">
        <w:rPr>
          <w:vertAlign w:val="superscript"/>
          <w:lang w:val="en-US"/>
        </w:rPr>
        <w:footnoteReference w:id="394"/>
      </w:r>
    </w:p>
    <w:p w:rsidR="00DF3CF7" w:rsidRPr="00D86E22" w:rsidRDefault="00DF3CF7" w:rsidP="00DF3CF7">
      <w:pPr>
        <w:snapToGrid/>
        <w:rPr>
          <w:rFonts w:cs="Arial"/>
          <w:kern w:val="2"/>
          <w:szCs w:val="22"/>
          <w:lang w:val="en-US"/>
        </w:rPr>
      </w:pPr>
    </w:p>
    <w:p w:rsidR="00DF3CF7" w:rsidRPr="00BE46E4" w:rsidRDefault="00DF3CF7" w:rsidP="00DF3CF7">
      <w:pPr>
        <w:rPr>
          <w:lang w:val="en-US"/>
        </w:rPr>
      </w:pPr>
      <w:r w:rsidRPr="00BE46E4">
        <w:rPr>
          <w:lang w:val="en-US"/>
        </w:rPr>
        <w:t>6.22</w:t>
      </w:r>
      <w:r w:rsidRPr="00BE46E4">
        <w:rPr>
          <w:lang w:val="en-US"/>
        </w:rPr>
        <w:tab/>
      </w:r>
      <w:r w:rsidRPr="00BE46E4">
        <w:rPr>
          <w:lang w:val="en-US"/>
        </w:rPr>
        <w:tab/>
        <w:t>In England, further details of the law are fleshed out in the Data Protection Act 2018,</w:t>
      </w:r>
      <w:r w:rsidRPr="00BE46E4">
        <w:rPr>
          <w:vertAlign w:val="superscript"/>
          <w:lang w:val="en-US"/>
        </w:rPr>
        <w:footnoteReference w:id="395"/>
      </w:r>
      <w:r w:rsidRPr="00BE46E4">
        <w:rPr>
          <w:lang w:val="en-US"/>
        </w:rPr>
        <w:t xml:space="preserve"> many provisions of which took effect on the same day as the GDPR itself.</w:t>
      </w:r>
      <w:r w:rsidRPr="00BE46E4">
        <w:rPr>
          <w:vertAlign w:val="superscript"/>
          <w:lang w:val="en-US"/>
        </w:rPr>
        <w:footnoteReference w:id="396"/>
      </w:r>
      <w:r w:rsidRPr="00BE46E4">
        <w:rPr>
          <w:lang w:val="en-US"/>
        </w:rPr>
        <w:t xml:space="preserve">  In practical terms, processing for archiving purposes under the GDPR and the Data Protection Act 2018 is not very different from the previous Data Protection Act 1998.</w:t>
      </w:r>
      <w:r w:rsidRPr="00BE46E4">
        <w:rPr>
          <w:vertAlign w:val="superscript"/>
          <w:lang w:val="en-US"/>
        </w:rPr>
        <w:footnoteReference w:id="397"/>
      </w:r>
      <w:r w:rsidRPr="00BE46E4">
        <w:rPr>
          <w:lang w:val="en-US"/>
        </w:rPr>
        <w:t xml:space="preserve">  Generally, processing for archiving purposes that has been legal under the Data Protection Act 1998 will likely continue to be lawful under the new regime.</w:t>
      </w:r>
      <w:r w:rsidRPr="00BE46E4">
        <w:rPr>
          <w:vertAlign w:val="superscript"/>
          <w:lang w:val="en-US"/>
        </w:rPr>
        <w:footnoteReference w:id="398"/>
      </w:r>
      <w:r w:rsidRPr="00BE46E4">
        <w:rPr>
          <w:lang w:val="en-US"/>
        </w:rPr>
        <w:t xml:space="preserve">  In relation to general processing,</w:t>
      </w:r>
      <w:r w:rsidRPr="00BE46E4">
        <w:rPr>
          <w:vertAlign w:val="superscript"/>
          <w:lang w:val="en-US"/>
        </w:rPr>
        <w:footnoteReference w:id="399"/>
      </w:r>
      <w:r w:rsidRPr="00BE46E4">
        <w:rPr>
          <w:lang w:val="en-US"/>
        </w:rPr>
        <w:t xml:space="preserve"> section 19 of the Data Protection Act 2018 supplements the </w:t>
      </w:r>
      <w:r w:rsidRPr="00BE46E4">
        <w:rPr>
          <w:lang w:val="en-US"/>
        </w:rPr>
        <w:lastRenderedPageBreak/>
        <w:t>GDPR by providing that the processing of personal data necessary for archiving purposes in the public interest does not satisfy the requirement in Article 89(1) outlined above if the processing:-</w:t>
      </w:r>
    </w:p>
    <w:p w:rsidR="00DF3CF7" w:rsidRPr="00D86E22" w:rsidRDefault="00DF3CF7" w:rsidP="00DF3CF7">
      <w:pPr>
        <w:snapToGrid/>
        <w:rPr>
          <w:rFonts w:cs="Arial"/>
          <w:kern w:val="2"/>
          <w:szCs w:val="22"/>
          <w:lang w:val="en-US"/>
        </w:rPr>
      </w:pPr>
    </w:p>
    <w:p w:rsidR="00DF3CF7" w:rsidRPr="00D86E22" w:rsidRDefault="00DF3CF7" w:rsidP="00D86E22">
      <w:pPr>
        <w:numPr>
          <w:ilvl w:val="0"/>
          <w:numId w:val="47"/>
        </w:numPr>
        <w:tabs>
          <w:tab w:val="clear" w:pos="1418"/>
        </w:tabs>
        <w:adjustRightInd/>
        <w:snapToGrid/>
        <w:ind w:left="1440" w:hanging="720"/>
        <w:rPr>
          <w:rFonts w:cs="Arial"/>
          <w:kern w:val="2"/>
          <w:szCs w:val="22"/>
          <w:lang w:val="en-US"/>
        </w:rPr>
      </w:pPr>
      <w:r w:rsidRPr="00D86E22">
        <w:rPr>
          <w:rFonts w:cs="Arial"/>
          <w:kern w:val="2"/>
          <w:szCs w:val="22"/>
          <w:lang w:val="en-US"/>
        </w:rPr>
        <w:t>is likely to cause substantial damage or substantial distress to a data subject; or </w:t>
      </w:r>
    </w:p>
    <w:p w:rsidR="00DF3CF7" w:rsidRPr="00D86E22" w:rsidRDefault="00DF3CF7" w:rsidP="00D86E22">
      <w:pPr>
        <w:numPr>
          <w:ilvl w:val="0"/>
          <w:numId w:val="47"/>
        </w:numPr>
        <w:tabs>
          <w:tab w:val="clear" w:pos="1418"/>
        </w:tabs>
        <w:adjustRightInd/>
        <w:snapToGrid/>
        <w:ind w:left="1440" w:hanging="720"/>
        <w:rPr>
          <w:rFonts w:cs="Arial"/>
          <w:kern w:val="2"/>
          <w:szCs w:val="22"/>
          <w:lang w:val="en-US"/>
        </w:rPr>
      </w:pPr>
      <w:r w:rsidRPr="00D86E22">
        <w:rPr>
          <w:rFonts w:cs="Arial"/>
          <w:kern w:val="2"/>
          <w:szCs w:val="22"/>
          <w:lang w:val="en-US"/>
        </w:rPr>
        <w:t>is carried out for the purposes of measures or decisions with respect to a particular data subject (unless the purposes include the purposes of approved medical research).</w:t>
      </w:r>
    </w:p>
    <w:p w:rsidR="00DF3CF7" w:rsidRPr="00D86E22" w:rsidRDefault="00DF3CF7" w:rsidP="00DF3CF7">
      <w:pPr>
        <w:snapToGrid/>
        <w:rPr>
          <w:rFonts w:cs="Arial"/>
          <w:kern w:val="2"/>
          <w:szCs w:val="22"/>
          <w:lang w:val="en-US"/>
        </w:rPr>
      </w:pPr>
    </w:p>
    <w:p w:rsidR="00DF3CF7" w:rsidRPr="00BE46E4" w:rsidRDefault="00DF3CF7" w:rsidP="00DF3CF7">
      <w:pPr>
        <w:rPr>
          <w:lang w:val="en-US"/>
        </w:rPr>
      </w:pPr>
      <w:r w:rsidRPr="00BE46E4">
        <w:rPr>
          <w:lang w:val="en-US"/>
        </w:rPr>
        <w:t>6.23</w:t>
      </w:r>
      <w:r w:rsidRPr="00BE46E4">
        <w:rPr>
          <w:lang w:val="en-US"/>
        </w:rPr>
        <w:tab/>
      </w:r>
      <w:r w:rsidRPr="00BE46E4">
        <w:rPr>
          <w:lang w:val="en-US"/>
        </w:rPr>
        <w:tab/>
        <w:t>Both the GDPR and the Data Protection Act 2018 do not give third parties rights of access to personal data.  Access to such data in archives by someone other than the data subject should take place only after the likely impact on the data subjects’ right of privacy is assessed.  It may be impossible until data subjects are, or can be presumed to be deceased.</w:t>
      </w:r>
      <w:r w:rsidRPr="00BE46E4">
        <w:rPr>
          <w:vertAlign w:val="superscript"/>
          <w:lang w:val="en-US"/>
        </w:rPr>
        <w:footnoteReference w:id="400"/>
      </w:r>
    </w:p>
    <w:p w:rsidR="00DF3CF7" w:rsidRPr="00D86E22" w:rsidRDefault="00DF3CF7" w:rsidP="00DF3CF7">
      <w:pPr>
        <w:snapToGrid/>
        <w:rPr>
          <w:rFonts w:cs="Arial"/>
          <w:kern w:val="2"/>
          <w:szCs w:val="22"/>
          <w:lang w:val="en-US"/>
        </w:rPr>
      </w:pPr>
    </w:p>
    <w:p w:rsidR="00DF3CF7" w:rsidRPr="00D86E22" w:rsidRDefault="00DF3CF7" w:rsidP="00DF3CF7">
      <w:pPr>
        <w:snapToGrid/>
        <w:rPr>
          <w:rFonts w:cs="Arial"/>
          <w:kern w:val="2"/>
          <w:szCs w:val="22"/>
          <w:lang w:val="en-US"/>
        </w:rPr>
      </w:pPr>
    </w:p>
    <w:p w:rsidR="00DF3CF7" w:rsidRPr="00D86E22" w:rsidRDefault="00DF3CF7" w:rsidP="00DF3CF7">
      <w:pPr>
        <w:snapToGrid/>
        <w:rPr>
          <w:rFonts w:cs="Arial"/>
          <w:b/>
          <w:i/>
          <w:kern w:val="2"/>
          <w:szCs w:val="22"/>
          <w:lang w:val="en-US"/>
        </w:rPr>
      </w:pPr>
      <w:r w:rsidRPr="00D86E22">
        <w:rPr>
          <w:rFonts w:cs="Arial"/>
          <w:b/>
          <w:i/>
          <w:kern w:val="2"/>
          <w:szCs w:val="22"/>
          <w:lang w:val="en-US"/>
        </w:rPr>
        <w:t>Ireland – GDPR and Data Protection Act 2018</w:t>
      </w:r>
    </w:p>
    <w:p w:rsidR="00DF3CF7" w:rsidRPr="00D86E22" w:rsidRDefault="00DF3CF7" w:rsidP="00DF3CF7">
      <w:pPr>
        <w:snapToGrid/>
        <w:rPr>
          <w:rFonts w:cs="Arial"/>
          <w:kern w:val="2"/>
          <w:szCs w:val="22"/>
          <w:lang w:val="en-US"/>
        </w:rPr>
      </w:pPr>
    </w:p>
    <w:p w:rsidR="00DF3CF7" w:rsidRPr="00BE46E4" w:rsidRDefault="00DF3CF7" w:rsidP="00DF3CF7">
      <w:pPr>
        <w:rPr>
          <w:lang w:val="en-US"/>
        </w:rPr>
      </w:pPr>
      <w:r w:rsidRPr="00BE46E4">
        <w:rPr>
          <w:lang w:val="en-US"/>
        </w:rPr>
        <w:t>6.24</w:t>
      </w:r>
      <w:r w:rsidRPr="00BE46E4">
        <w:rPr>
          <w:lang w:val="en-US"/>
        </w:rPr>
        <w:tab/>
      </w:r>
      <w:r w:rsidRPr="00BE46E4">
        <w:rPr>
          <w:lang w:val="en-US"/>
        </w:rPr>
        <w:tab/>
        <w:t>As a Member State of the European Union, the GDPR is also directly applicable in Ireland.  Similarly, it has enacted its own Data Protection Act 2018, many provisions of which took effect on the same day as the GDPR itself.</w:t>
      </w:r>
      <w:r w:rsidRPr="00BE46E4">
        <w:rPr>
          <w:vertAlign w:val="superscript"/>
          <w:lang w:val="en-US"/>
        </w:rPr>
        <w:footnoteReference w:id="401"/>
      </w:r>
    </w:p>
    <w:p w:rsidR="00DF3CF7" w:rsidRPr="00D86E22" w:rsidRDefault="00DF3CF7" w:rsidP="00DF3CF7">
      <w:pPr>
        <w:snapToGrid/>
        <w:rPr>
          <w:rFonts w:cs="Arial"/>
          <w:kern w:val="2"/>
          <w:szCs w:val="22"/>
          <w:lang w:val="en-US"/>
        </w:rPr>
      </w:pPr>
    </w:p>
    <w:p w:rsidR="00DF3CF7" w:rsidRPr="00BE46E4" w:rsidRDefault="00DF3CF7" w:rsidP="00DF3CF7">
      <w:pPr>
        <w:rPr>
          <w:lang w:val="en-US"/>
        </w:rPr>
      </w:pPr>
      <w:r w:rsidRPr="00BE46E4">
        <w:rPr>
          <w:lang w:val="en-US"/>
        </w:rPr>
        <w:t>6.25</w:t>
      </w:r>
      <w:r w:rsidRPr="00BE46E4">
        <w:rPr>
          <w:lang w:val="en-US"/>
        </w:rPr>
        <w:tab/>
      </w:r>
      <w:r w:rsidRPr="00BE46E4">
        <w:rPr>
          <w:lang w:val="en-US"/>
        </w:rPr>
        <w:tab/>
        <w:t>Section 42 of Ireland’s Data Protection Act 2018 provides that subject to suitable and specific measures being taken to safeguard the fundamental rights and freedoms of data subjects, personal data may be processed, in accordance with Article 89, for archiving purposes in the public interest.  However, such processing must respect the principle of data minimisation.</w:t>
      </w:r>
    </w:p>
    <w:p w:rsidR="00DF3CF7" w:rsidRPr="00D86E22" w:rsidRDefault="00DF3CF7" w:rsidP="00DF3CF7">
      <w:pPr>
        <w:snapToGrid/>
        <w:rPr>
          <w:rFonts w:cs="Arial"/>
          <w:kern w:val="2"/>
          <w:szCs w:val="22"/>
          <w:lang w:val="en-US"/>
        </w:rPr>
      </w:pPr>
    </w:p>
    <w:p w:rsidR="00DF3CF7" w:rsidRPr="00D86E22" w:rsidRDefault="00DF3CF7" w:rsidP="00DF3CF7">
      <w:pPr>
        <w:rPr>
          <w:rFonts w:cs="Arial"/>
          <w:kern w:val="2"/>
          <w:szCs w:val="22"/>
          <w:lang w:val="en-US"/>
        </w:rPr>
      </w:pPr>
      <w:r w:rsidRPr="00D86E22">
        <w:rPr>
          <w:rFonts w:cs="Arial"/>
          <w:kern w:val="2"/>
          <w:szCs w:val="22"/>
          <w:lang w:val="en-US"/>
        </w:rPr>
        <w:t>6.26</w:t>
      </w:r>
      <w:r w:rsidRPr="00D86E22">
        <w:rPr>
          <w:rFonts w:cs="Arial"/>
          <w:kern w:val="2"/>
          <w:szCs w:val="22"/>
          <w:lang w:val="en-US"/>
        </w:rPr>
        <w:tab/>
      </w:r>
      <w:r w:rsidRPr="00D86E22">
        <w:rPr>
          <w:rFonts w:cs="Arial"/>
          <w:kern w:val="2"/>
          <w:szCs w:val="22"/>
          <w:lang w:val="en-US"/>
        </w:rPr>
        <w:tab/>
        <w:t>In Ireland, section 61 of its Data Protection Act 2018 provides for derogation as allowed by Article 89(3) discussed above.</w:t>
      </w:r>
    </w:p>
    <w:p w:rsidR="00DF3CF7" w:rsidRDefault="00DF3CF7" w:rsidP="00DF3CF7">
      <w:pPr>
        <w:rPr>
          <w:rFonts w:cs="Arial"/>
          <w:lang w:val="en-US"/>
        </w:rPr>
      </w:pPr>
    </w:p>
    <w:p w:rsidR="002975D2" w:rsidRDefault="002975D2" w:rsidP="00DF3CF7">
      <w:pPr>
        <w:rPr>
          <w:rFonts w:cs="Arial"/>
          <w:lang w:val="en-US"/>
        </w:rPr>
      </w:pPr>
    </w:p>
    <w:p w:rsidR="002975D2" w:rsidRDefault="002975D2" w:rsidP="00DF3CF7">
      <w:pPr>
        <w:rPr>
          <w:rFonts w:cs="Arial"/>
          <w:lang w:val="en-US"/>
        </w:rPr>
      </w:pPr>
    </w:p>
    <w:p w:rsidR="002975D2" w:rsidRPr="008D50FD" w:rsidRDefault="002975D2" w:rsidP="00DF3CF7">
      <w:pPr>
        <w:rPr>
          <w:rFonts w:cs="Arial"/>
          <w:lang w:val="en-US"/>
        </w:rPr>
      </w:pPr>
    </w:p>
    <w:p w:rsidR="00DF3CF7" w:rsidRPr="008D1229" w:rsidRDefault="00DF3CF7" w:rsidP="00DF3CF7">
      <w:pPr>
        <w:rPr>
          <w:rFonts w:cs="Arial"/>
        </w:rPr>
      </w:pPr>
    </w:p>
    <w:p w:rsidR="00DF3CF7" w:rsidRPr="00AB474E" w:rsidRDefault="00DF3CF7" w:rsidP="00DF3CF7">
      <w:pPr>
        <w:pStyle w:val="Heading3"/>
      </w:pPr>
      <w:r w:rsidRPr="008D1229">
        <w:lastRenderedPageBreak/>
        <w:t>New Zealand</w:t>
      </w:r>
      <w:r>
        <w:rPr>
          <w:rFonts w:hint="eastAsia"/>
        </w:rPr>
        <w:t xml:space="preserve"> </w:t>
      </w:r>
      <w:r w:rsidRPr="00D86E22">
        <w:rPr>
          <w:rFonts w:cs="Arial"/>
          <w:kern w:val="2"/>
          <w:szCs w:val="22"/>
          <w:lang w:val="en-US"/>
        </w:rPr>
        <w:t>–</w:t>
      </w:r>
      <w:r>
        <w:rPr>
          <w:rFonts w:hint="eastAsia"/>
        </w:rPr>
        <w:t xml:space="preserve"> </w:t>
      </w:r>
      <w:r w:rsidRPr="00AB474E">
        <w:t>Pr</w:t>
      </w:r>
      <w:r w:rsidRPr="00FE0607">
        <w:rPr>
          <w:rStyle w:val="Heading3Char"/>
          <w:rFonts w:cs="Arial"/>
        </w:rPr>
        <w:t>i</w:t>
      </w:r>
      <w:r w:rsidRPr="00DF1F70">
        <w:t>vacy Act 1993</w:t>
      </w:r>
      <w:r w:rsidRPr="00901967">
        <w:rPr>
          <w:rStyle w:val="FootnoteReference"/>
          <w:rFonts w:cs="Arial"/>
          <w:b w:val="0"/>
          <w:i w:val="0"/>
        </w:rPr>
        <w:footnoteReference w:id="402"/>
      </w:r>
    </w:p>
    <w:p w:rsidR="00DF3CF7" w:rsidRPr="008D1229" w:rsidRDefault="00DF3CF7" w:rsidP="00DF3CF7">
      <w:pPr>
        <w:keepNext/>
        <w:rPr>
          <w:rFonts w:cs="Arial"/>
        </w:rPr>
      </w:pPr>
    </w:p>
    <w:p w:rsidR="00DF3CF7" w:rsidRPr="008D1229" w:rsidRDefault="00DF3CF7" w:rsidP="00DF3CF7">
      <w:pPr>
        <w:keepNext/>
      </w:pPr>
      <w:r>
        <w:t>6.27</w:t>
      </w:r>
      <w:r w:rsidRPr="008D1229">
        <w:tab/>
      </w:r>
      <w:r w:rsidRPr="008D1229">
        <w:tab/>
        <w:t>The Privacy Act 1993 sets out a total of 12 information privacy principles to be observed by agencies, including government departments.</w:t>
      </w:r>
      <w:r w:rsidRPr="008D1229">
        <w:rPr>
          <w:rStyle w:val="FootnoteReference"/>
          <w:rFonts w:cs="Arial"/>
        </w:rPr>
        <w:footnoteReference w:id="403"/>
      </w:r>
      <w:r>
        <w:rPr>
          <w:rFonts w:hint="eastAsia"/>
        </w:rPr>
        <w:t xml:space="preserve"> </w:t>
      </w:r>
      <w:r w:rsidRPr="008D1229">
        <w:t xml:space="preserve"> Importantly, the Privacy Act </w:t>
      </w:r>
      <w:r>
        <w:t xml:space="preserve">1993 </w:t>
      </w:r>
      <w:r w:rsidRPr="008D1229">
        <w:t>expressly provides that nothing in principle 6 or 11 derogates from any provision in any enactment that authorises or requires personal information to be made available;</w:t>
      </w:r>
      <w:r w:rsidRPr="008D1229">
        <w:rPr>
          <w:rStyle w:val="FootnoteReference"/>
          <w:rFonts w:cs="Arial"/>
        </w:rPr>
        <w:footnoteReference w:id="404"/>
      </w:r>
      <w:r w:rsidRPr="008D1229">
        <w:t xml:space="preserve"> and that an action is not a breach of any of principles 1 to 5, 7 to 10 and 12 if that action is authorised or required by or under law.</w:t>
      </w:r>
      <w:r w:rsidRPr="008D1229">
        <w:rPr>
          <w:rStyle w:val="FootnoteReference"/>
          <w:rFonts w:cs="Arial"/>
        </w:rPr>
        <w:footnoteReference w:id="405"/>
      </w:r>
      <w:r w:rsidRPr="008D1229">
        <w:t xml:space="preserve"> </w:t>
      </w:r>
    </w:p>
    <w:p w:rsidR="00DF3CF7" w:rsidRPr="008D1229" w:rsidRDefault="00DF3CF7" w:rsidP="00DF3CF7">
      <w:pPr>
        <w:rPr>
          <w:rFonts w:cs="Arial"/>
        </w:rPr>
      </w:pPr>
    </w:p>
    <w:p w:rsidR="00DF3CF7" w:rsidRPr="003009E2" w:rsidRDefault="00DF3CF7" w:rsidP="00DF3CF7">
      <w:pPr>
        <w:rPr>
          <w:lang w:val="en-US"/>
        </w:rPr>
      </w:pPr>
      <w:r>
        <w:rPr>
          <w:lang w:val="en-US"/>
        </w:rPr>
        <w:t>6.28</w:t>
      </w:r>
      <w:r w:rsidRPr="008D1229">
        <w:rPr>
          <w:lang w:val="en-US"/>
        </w:rPr>
        <w:tab/>
      </w:r>
      <w:r w:rsidRPr="008D1229">
        <w:rPr>
          <w:lang w:val="en-US"/>
        </w:rPr>
        <w:tab/>
        <w:t>More specifically, it is noted that the 2005 Act provides that the Chief Archivist may only authorise the discharge of a public record or a class of public records that contains information about identified persons if, amongst other conditions also to be satisfied, the discharge is consistent with the principles of the Privacy Act 1993.</w:t>
      </w:r>
      <w:r w:rsidRPr="008D1229">
        <w:rPr>
          <w:rStyle w:val="FootnoteReference"/>
          <w:rFonts w:cs="Arial"/>
          <w:lang w:val="en-US"/>
        </w:rPr>
        <w:footnoteReference w:id="406"/>
      </w:r>
      <w:r w:rsidRPr="008D1229">
        <w:rPr>
          <w:lang w:val="en-US"/>
        </w:rPr>
        <w:t xml:space="preserve"> </w:t>
      </w:r>
      <w:r>
        <w:rPr>
          <w:rFonts w:hint="eastAsia"/>
          <w:lang w:val="en-US"/>
        </w:rPr>
        <w:t xml:space="preserve"> </w:t>
      </w:r>
      <w:r w:rsidRPr="008D1229">
        <w:rPr>
          <w:lang w:val="en-US"/>
        </w:rPr>
        <w:t>Moreover, when determining the access status of public records which have been in existence for 25 years or are about to be transferred to the ANZ, the controlling public office is responsible for dealing with requests for personal information under the Privacy Act 1993.</w:t>
      </w:r>
      <w:r w:rsidRPr="008D1229">
        <w:rPr>
          <w:rStyle w:val="FootnoteReference"/>
          <w:rFonts w:cs="Arial"/>
          <w:lang w:val="en-US"/>
        </w:rPr>
        <w:footnoteReference w:id="407"/>
      </w:r>
      <w:r w:rsidRPr="008D1229">
        <w:rPr>
          <w:lang w:val="en-US"/>
        </w:rPr>
        <w:t xml:space="preserve"> </w:t>
      </w:r>
    </w:p>
    <w:p w:rsidR="00DF3CF7" w:rsidRPr="008D1229" w:rsidRDefault="00DF3CF7" w:rsidP="00DF3CF7">
      <w:pPr>
        <w:rPr>
          <w:rFonts w:cs="Arial"/>
        </w:rPr>
      </w:pPr>
    </w:p>
    <w:p w:rsidR="00DF3CF7" w:rsidRPr="00247DF7" w:rsidRDefault="00DF3CF7" w:rsidP="00DF3CF7">
      <w:pPr>
        <w:rPr>
          <w:lang w:val="en-US"/>
        </w:rPr>
      </w:pPr>
    </w:p>
    <w:p w:rsidR="00DF3CF7" w:rsidRPr="00DF1F70" w:rsidRDefault="00DF3CF7" w:rsidP="00DF3CF7">
      <w:pPr>
        <w:pStyle w:val="Heading3"/>
      </w:pPr>
      <w:r w:rsidRPr="008D1229">
        <w:t>Singapore</w:t>
      </w:r>
      <w:r>
        <w:rPr>
          <w:rFonts w:hint="eastAsia"/>
        </w:rPr>
        <w:t xml:space="preserve"> </w:t>
      </w:r>
      <w:r w:rsidRPr="00D86E22">
        <w:rPr>
          <w:rFonts w:cs="Arial"/>
          <w:kern w:val="2"/>
          <w:szCs w:val="22"/>
          <w:lang w:val="en-US"/>
        </w:rPr>
        <w:t>–</w:t>
      </w:r>
      <w:r>
        <w:rPr>
          <w:rFonts w:hint="eastAsia"/>
        </w:rPr>
        <w:t xml:space="preserve"> </w:t>
      </w:r>
      <w:r w:rsidRPr="00AB474E">
        <w:t>Personal Data Protection Act 2012</w:t>
      </w:r>
      <w:r w:rsidRPr="00901967">
        <w:rPr>
          <w:rStyle w:val="FootnoteReference"/>
          <w:rFonts w:cs="Arial"/>
          <w:b w:val="0"/>
          <w:i w:val="0"/>
        </w:rPr>
        <w:footnoteReference w:id="408"/>
      </w:r>
      <w:r w:rsidRPr="00AB474E">
        <w:t xml:space="preserve"> </w:t>
      </w:r>
    </w:p>
    <w:p w:rsidR="00DF3CF7" w:rsidRPr="008D1229" w:rsidRDefault="00DF3CF7" w:rsidP="00DF3CF7">
      <w:pPr>
        <w:ind w:left="120" w:hangingChars="50" w:hanging="120"/>
        <w:rPr>
          <w:rFonts w:cs="Arial"/>
        </w:rPr>
      </w:pPr>
    </w:p>
    <w:p w:rsidR="00DF3CF7" w:rsidRPr="008D1229" w:rsidRDefault="00DF3CF7" w:rsidP="00DF3CF7">
      <w:r>
        <w:t>6.29</w:t>
      </w:r>
      <w:r w:rsidRPr="008D1229">
        <w:tab/>
      </w:r>
      <w:r w:rsidRPr="008D1229">
        <w:tab/>
        <w:t>The</w:t>
      </w:r>
      <w:r>
        <w:t xml:space="preserve"> Personal Data Protection Act 2012 </w:t>
      </w:r>
      <w:r w:rsidRPr="008D1229">
        <w:t xml:space="preserve">provides that unless otherwise expressly provided </w:t>
      </w:r>
      <w:r>
        <w:t xml:space="preserve">in the Act </w:t>
      </w:r>
      <w:r w:rsidRPr="008D1229">
        <w:t xml:space="preserve">its rules on the collection, use, disclosure, access and care of personal data do not affect any authority or right conferred by, or limitation or obligation imposed under </w:t>
      </w:r>
      <w:r>
        <w:t>the</w:t>
      </w:r>
      <w:r w:rsidRPr="008D1229">
        <w:t xml:space="preserve"> law; and to the extent of any inconsistency, the provisions of other written law shall prevail.</w:t>
      </w:r>
      <w:r w:rsidRPr="008D1229">
        <w:rPr>
          <w:rStyle w:val="FootnoteReference"/>
          <w:rFonts w:cs="Arial"/>
        </w:rPr>
        <w:footnoteReference w:id="409"/>
      </w:r>
      <w:r w:rsidRPr="008D1229">
        <w:t xml:space="preserve">  These other laws include, of course, the NLBA. </w:t>
      </w:r>
    </w:p>
    <w:p w:rsidR="00DF3CF7" w:rsidRPr="008D1229" w:rsidRDefault="00DF3CF7" w:rsidP="00DF3CF7"/>
    <w:p w:rsidR="00DF3CF7" w:rsidRPr="008D1229" w:rsidRDefault="00DF3CF7" w:rsidP="00DF3CF7">
      <w:pPr>
        <w:rPr>
          <w:rFonts w:cs="Arial"/>
          <w:b/>
          <w:sz w:val="28"/>
          <w:szCs w:val="28"/>
          <w:u w:val="single"/>
        </w:rPr>
      </w:pPr>
    </w:p>
    <w:p w:rsidR="00DF3CF7" w:rsidRPr="00DA29B7" w:rsidRDefault="00DF3CF7" w:rsidP="00DF3CF7">
      <w:pPr>
        <w:pStyle w:val="Heading2"/>
        <w:keepLines/>
        <w:rPr>
          <w:rFonts w:cs="Arial"/>
        </w:rPr>
      </w:pPr>
      <w:r w:rsidRPr="00AB474E">
        <w:rPr>
          <w:rFonts w:cs="Arial"/>
        </w:rPr>
        <w:lastRenderedPageBreak/>
        <w:t>Summary</w:t>
      </w:r>
    </w:p>
    <w:p w:rsidR="00DF3CF7" w:rsidRPr="008D1229" w:rsidRDefault="00DF3CF7" w:rsidP="00DF3CF7">
      <w:pPr>
        <w:keepNext/>
        <w:rPr>
          <w:rFonts w:cs="Arial"/>
        </w:rPr>
      </w:pPr>
    </w:p>
    <w:p w:rsidR="00DF3CF7" w:rsidRPr="00101146" w:rsidRDefault="00DF3CF7" w:rsidP="00DF3CF7">
      <w:pPr>
        <w:keepNext/>
      </w:pPr>
      <w:r>
        <w:t>6.30</w:t>
      </w:r>
      <w:r w:rsidRPr="00101146">
        <w:tab/>
      </w:r>
      <w:r w:rsidRPr="00101146">
        <w:tab/>
        <w:t xml:space="preserve">The jurisdictions studied have provisions to resolve </w:t>
      </w:r>
      <w:r>
        <w:t>the</w:t>
      </w:r>
      <w:r w:rsidRPr="00101146">
        <w:t xml:space="preserve"> conflict between privacy</w:t>
      </w:r>
      <w:r>
        <w:t>/data protection</w:t>
      </w:r>
      <w:r w:rsidRPr="00101146">
        <w:t xml:space="preserve"> law and archives law.</w:t>
      </w:r>
      <w:r w:rsidRPr="00101146">
        <w:rPr>
          <w:rStyle w:val="FootnoteReference"/>
        </w:rPr>
        <w:footnoteReference w:id="410"/>
      </w:r>
      <w:r w:rsidRPr="00101146">
        <w:t xml:space="preserve">  In Australia</w:t>
      </w:r>
      <w:r>
        <w:t>, England, Ireland</w:t>
      </w:r>
      <w:r w:rsidRPr="00101146">
        <w:t xml:space="preserve"> and New Zealand, there are exceptions to the application of the privacy</w:t>
      </w:r>
      <w:r>
        <w:t>/data protection</w:t>
      </w:r>
      <w:r w:rsidRPr="00101146">
        <w:t xml:space="preserve"> law to facilitate </w:t>
      </w:r>
      <w:r>
        <w:t xml:space="preserve">archival </w:t>
      </w:r>
      <w:r w:rsidRPr="00101146">
        <w:t>work.</w:t>
      </w:r>
      <w:r>
        <w:t xml:space="preserve">  In Singapore, it is the other written law (including the NLBA) that prevails over its data protection law.</w:t>
      </w:r>
      <w:r w:rsidRPr="00101146">
        <w:t xml:space="preserve"> </w:t>
      </w:r>
    </w:p>
    <w:p w:rsidR="00DF3CF7" w:rsidRPr="00101146" w:rsidRDefault="00DF3CF7" w:rsidP="00DF3CF7">
      <w:pPr>
        <w:rPr>
          <w:rFonts w:cs="Arial"/>
          <w:lang w:val="en-US"/>
        </w:rPr>
      </w:pPr>
    </w:p>
    <w:p w:rsidR="00DF3CF7" w:rsidRPr="00101146" w:rsidRDefault="00DF3CF7" w:rsidP="00DF3CF7">
      <w:pPr>
        <w:rPr>
          <w:lang w:val="en-US"/>
        </w:rPr>
      </w:pPr>
      <w:r>
        <w:rPr>
          <w:lang w:val="en-US"/>
        </w:rPr>
        <w:t>6.31</w:t>
      </w:r>
      <w:r w:rsidRPr="00101146">
        <w:rPr>
          <w:lang w:val="en-US"/>
        </w:rPr>
        <w:tab/>
      </w:r>
      <w:r w:rsidRPr="00101146">
        <w:rPr>
          <w:lang w:val="en-US"/>
        </w:rPr>
        <w:tab/>
        <w:t>As discussed above, an exception in section 26 of Hong Kong</w:t>
      </w:r>
      <w:r>
        <w:rPr>
          <w:lang w:val="en-US"/>
        </w:rPr>
        <w:t>'</w:t>
      </w:r>
      <w:r w:rsidRPr="00101146">
        <w:rPr>
          <w:lang w:val="en-US"/>
        </w:rPr>
        <w:t xml:space="preserve">s PDPO allows certain personal data not to be erased if it is in the public interest (including historical interest) to do so.  In addition, the legislative amendment in 2012 to the PDPO introduced an exemption to Principle 3 for the purposes of facilitating preservation of records containing personal data. </w:t>
      </w:r>
    </w:p>
    <w:p w:rsidR="00DF3CF7" w:rsidRPr="00101146" w:rsidRDefault="00DF3CF7" w:rsidP="00DF3CF7">
      <w:pPr>
        <w:rPr>
          <w:lang w:val="en-US"/>
        </w:rPr>
      </w:pPr>
    </w:p>
    <w:p w:rsidR="00DF3CF7" w:rsidRDefault="00DF3CF7" w:rsidP="00DF3CF7">
      <w:pPr>
        <w:rPr>
          <w:rFonts w:cs="Arial"/>
          <w:shd w:val="clear" w:color="auto" w:fill="FFFF99"/>
          <w:lang w:val="en-US"/>
        </w:rPr>
      </w:pPr>
    </w:p>
    <w:p w:rsidR="00DF3CF7" w:rsidRPr="002444D8" w:rsidRDefault="00DF3CF7" w:rsidP="00DF3CF7">
      <w:pPr>
        <w:rPr>
          <w:rFonts w:cs="Arial"/>
          <w:shd w:val="clear" w:color="auto" w:fill="FFFF99"/>
          <w:lang w:val="en-US"/>
        </w:rPr>
      </w:pPr>
    </w:p>
    <w:p w:rsidR="00DF3CF7" w:rsidRDefault="00DF3CF7" w:rsidP="00DF3CF7">
      <w:pPr>
        <w:pBdr>
          <w:top w:val="single" w:sz="4" w:space="8" w:color="auto"/>
          <w:left w:val="single" w:sz="4" w:space="8" w:color="auto"/>
          <w:bottom w:val="single" w:sz="4" w:space="8" w:color="auto"/>
          <w:right w:val="single" w:sz="4" w:space="8" w:color="auto"/>
        </w:pBdr>
        <w:ind w:left="1440" w:right="720" w:hanging="720"/>
        <w:rPr>
          <w:rFonts w:cs="Arial"/>
          <w:b/>
        </w:rPr>
      </w:pPr>
      <w:r>
        <w:rPr>
          <w:rFonts w:cs="Arial"/>
          <w:b/>
        </w:rPr>
        <w:t>Consultation Questions 7</w:t>
      </w:r>
    </w:p>
    <w:p w:rsidR="00DF3CF7" w:rsidRDefault="00DF3CF7" w:rsidP="00DF3CF7">
      <w:pPr>
        <w:pBdr>
          <w:top w:val="single" w:sz="4" w:space="8" w:color="auto"/>
          <w:left w:val="single" w:sz="4" w:space="8" w:color="auto"/>
          <w:bottom w:val="single" w:sz="4" w:space="8" w:color="auto"/>
          <w:right w:val="single" w:sz="4" w:space="8" w:color="auto"/>
        </w:pBdr>
        <w:ind w:left="1440" w:right="720" w:hanging="720"/>
        <w:rPr>
          <w:rFonts w:cs="Arial"/>
          <w:b/>
        </w:rPr>
      </w:pPr>
    </w:p>
    <w:p w:rsidR="00DF3CF7" w:rsidRPr="00101146" w:rsidRDefault="00DF3CF7" w:rsidP="00D86E22">
      <w:pPr>
        <w:pStyle w:val="ListParagraph"/>
        <w:widowControl/>
        <w:numPr>
          <w:ilvl w:val="0"/>
          <w:numId w:val="44"/>
        </w:numPr>
        <w:pBdr>
          <w:top w:val="single" w:sz="4" w:space="8" w:color="auto"/>
          <w:left w:val="single" w:sz="4" w:space="8" w:color="auto"/>
          <w:bottom w:val="single" w:sz="4" w:space="8" w:color="auto"/>
          <w:right w:val="single" w:sz="4" w:space="8" w:color="auto"/>
        </w:pBdr>
        <w:ind w:left="1418" w:right="720" w:hanging="698"/>
        <w:contextualSpacing w:val="0"/>
        <w:rPr>
          <w:rFonts w:cs="Arial"/>
          <w:b/>
        </w:rPr>
      </w:pPr>
      <w:r>
        <w:rPr>
          <w:rFonts w:cs="Arial"/>
          <w:b/>
          <w:lang w:val="en-US"/>
        </w:rPr>
        <w:t>Has the current PDPO struck the right balance between the preservation of archives and protection of personal data?</w:t>
      </w:r>
    </w:p>
    <w:p w:rsidR="00DF3CF7" w:rsidRPr="0041586D" w:rsidRDefault="00DF3CF7" w:rsidP="00DF3CF7">
      <w:pPr>
        <w:pBdr>
          <w:top w:val="single" w:sz="4" w:space="8" w:color="auto"/>
          <w:left w:val="single" w:sz="4" w:space="8" w:color="auto"/>
          <w:bottom w:val="single" w:sz="4" w:space="8" w:color="auto"/>
          <w:right w:val="single" w:sz="4" w:space="8" w:color="auto"/>
        </w:pBdr>
        <w:ind w:left="1418" w:right="720" w:hanging="698"/>
        <w:rPr>
          <w:rFonts w:cs="Arial"/>
          <w:b/>
          <w:lang w:val="en-US"/>
        </w:rPr>
      </w:pPr>
    </w:p>
    <w:p w:rsidR="00DF3CF7" w:rsidRDefault="00DF3CF7" w:rsidP="00D86E22">
      <w:pPr>
        <w:pStyle w:val="ListParagraph"/>
        <w:widowControl/>
        <w:numPr>
          <w:ilvl w:val="0"/>
          <w:numId w:val="44"/>
        </w:numPr>
        <w:pBdr>
          <w:top w:val="single" w:sz="4" w:space="8" w:color="auto"/>
          <w:left w:val="single" w:sz="4" w:space="8" w:color="auto"/>
          <w:bottom w:val="single" w:sz="4" w:space="8" w:color="auto"/>
          <w:right w:val="single" w:sz="4" w:space="8" w:color="auto"/>
        </w:pBdr>
        <w:ind w:left="1418" w:right="720" w:hanging="698"/>
        <w:contextualSpacing w:val="0"/>
        <w:rPr>
          <w:rFonts w:cs="Arial"/>
          <w:b/>
        </w:rPr>
      </w:pPr>
      <w:r>
        <w:rPr>
          <w:rFonts w:cs="Arial"/>
          <w:b/>
        </w:rPr>
        <w:t xml:space="preserve">If the answer to (i) is in the negative, </w:t>
      </w:r>
    </w:p>
    <w:p w:rsidR="00DF3CF7" w:rsidRDefault="00DF3CF7" w:rsidP="00DF3CF7">
      <w:pPr>
        <w:pBdr>
          <w:top w:val="single" w:sz="4" w:space="8" w:color="auto"/>
          <w:left w:val="single" w:sz="4" w:space="8" w:color="auto"/>
          <w:bottom w:val="single" w:sz="4" w:space="8" w:color="auto"/>
          <w:right w:val="single" w:sz="4" w:space="8" w:color="auto"/>
        </w:pBdr>
        <w:ind w:left="720" w:right="720"/>
        <w:rPr>
          <w:rFonts w:cs="Arial"/>
          <w:b/>
        </w:rPr>
      </w:pPr>
    </w:p>
    <w:p w:rsidR="00DF3CF7" w:rsidRDefault="00DF3CF7" w:rsidP="00DF3CF7">
      <w:pPr>
        <w:pBdr>
          <w:top w:val="single" w:sz="4" w:space="8" w:color="auto"/>
          <w:left w:val="single" w:sz="4" w:space="8" w:color="auto"/>
          <w:bottom w:val="single" w:sz="4" w:space="8" w:color="auto"/>
          <w:right w:val="single" w:sz="4" w:space="8" w:color="auto"/>
        </w:pBdr>
        <w:ind w:left="720" w:right="720"/>
        <w:rPr>
          <w:rFonts w:cs="Arial"/>
          <w:b/>
        </w:rPr>
      </w:pPr>
      <w:r>
        <w:rPr>
          <w:rFonts w:cs="Arial" w:hint="eastAsia"/>
          <w:b/>
        </w:rPr>
        <w:tab/>
        <w:t>(a)</w:t>
      </w:r>
      <w:r>
        <w:rPr>
          <w:rFonts w:cs="Arial"/>
          <w:b/>
        </w:rPr>
        <w:tab/>
        <w:t>what in your view is the right balance?</w:t>
      </w:r>
    </w:p>
    <w:p w:rsidR="00DF3CF7" w:rsidRDefault="00DF3CF7" w:rsidP="00DF3CF7">
      <w:pPr>
        <w:pBdr>
          <w:top w:val="single" w:sz="4" w:space="8" w:color="auto"/>
          <w:left w:val="single" w:sz="4" w:space="8" w:color="auto"/>
          <w:bottom w:val="single" w:sz="4" w:space="8" w:color="auto"/>
          <w:right w:val="single" w:sz="4" w:space="8" w:color="auto"/>
        </w:pBdr>
        <w:tabs>
          <w:tab w:val="clear" w:pos="1418"/>
          <w:tab w:val="left" w:pos="1440"/>
        </w:tabs>
        <w:ind w:left="2160" w:right="720" w:hanging="1440"/>
        <w:rPr>
          <w:rFonts w:cs="Arial"/>
          <w:b/>
        </w:rPr>
      </w:pPr>
      <w:r>
        <w:rPr>
          <w:rFonts w:cs="Arial" w:hint="eastAsia"/>
          <w:b/>
        </w:rPr>
        <w:tab/>
        <w:t>(b)</w:t>
      </w:r>
      <w:r>
        <w:rPr>
          <w:rFonts w:cs="Arial"/>
          <w:b/>
        </w:rPr>
        <w:tab/>
        <w:t xml:space="preserve">what other measures can be adopted to achieve this balance? </w:t>
      </w:r>
      <w:r w:rsidRPr="00663609">
        <w:rPr>
          <w:rFonts w:cs="Arial"/>
          <w:b/>
        </w:rPr>
        <w:t>and</w:t>
      </w:r>
    </w:p>
    <w:p w:rsidR="00DF3CF7" w:rsidRPr="00A601CE" w:rsidRDefault="00DF3CF7" w:rsidP="00DF3CF7">
      <w:pPr>
        <w:pBdr>
          <w:top w:val="single" w:sz="4" w:space="8" w:color="auto"/>
          <w:left w:val="single" w:sz="4" w:space="8" w:color="auto"/>
          <w:bottom w:val="single" w:sz="4" w:space="8" w:color="auto"/>
          <w:right w:val="single" w:sz="4" w:space="8" w:color="auto"/>
        </w:pBdr>
        <w:ind w:left="720" w:right="720"/>
        <w:rPr>
          <w:rFonts w:cs="Arial"/>
          <w:b/>
        </w:rPr>
      </w:pPr>
      <w:r>
        <w:rPr>
          <w:rFonts w:cs="Arial" w:hint="eastAsia"/>
          <w:b/>
        </w:rPr>
        <w:tab/>
        <w:t>(c)</w:t>
      </w:r>
      <w:r>
        <w:rPr>
          <w:rFonts w:cs="Arial"/>
          <w:b/>
        </w:rPr>
        <w:tab/>
      </w:r>
      <w:r w:rsidRPr="00663609">
        <w:rPr>
          <w:rFonts w:cs="Arial"/>
          <w:b/>
        </w:rPr>
        <w:t>what are the reasons for your suggestions?</w:t>
      </w:r>
    </w:p>
    <w:p w:rsidR="00DF3CF7" w:rsidRDefault="00DF3CF7" w:rsidP="00DF3CF7">
      <w:pPr>
        <w:rPr>
          <w:rFonts w:cs="Arial"/>
          <w:b/>
          <w:sz w:val="28"/>
          <w:szCs w:val="28"/>
          <w:u w:val="single"/>
          <w:lang w:val="en-US"/>
        </w:rPr>
      </w:pPr>
    </w:p>
    <w:p w:rsidR="00DF3CF7" w:rsidRPr="00A52E14" w:rsidRDefault="00DF3CF7" w:rsidP="00DF3CF7">
      <w:pPr>
        <w:rPr>
          <w:rFonts w:cs="Arial"/>
          <w:b/>
          <w:sz w:val="28"/>
          <w:szCs w:val="28"/>
          <w:u w:val="single"/>
          <w:lang w:val="en-US"/>
        </w:rPr>
      </w:pPr>
    </w:p>
    <w:p w:rsidR="00DF3CF7" w:rsidRPr="00DA29B7" w:rsidRDefault="00DF3CF7" w:rsidP="00DF3CF7">
      <w:pPr>
        <w:pStyle w:val="Heading2"/>
        <w:keepLines/>
      </w:pPr>
      <w:r w:rsidRPr="00AB474E">
        <w:t xml:space="preserve">Census and </w:t>
      </w:r>
      <w:r>
        <w:rPr>
          <w:rFonts w:hint="eastAsia"/>
        </w:rPr>
        <w:t>s</w:t>
      </w:r>
      <w:r w:rsidRPr="00AB474E">
        <w:t xml:space="preserve">tatistics </w:t>
      </w:r>
      <w:r>
        <w:rPr>
          <w:rFonts w:hint="eastAsia"/>
        </w:rPr>
        <w:t>l</w:t>
      </w:r>
      <w:r w:rsidRPr="00AB474E">
        <w:t>egislation</w:t>
      </w:r>
    </w:p>
    <w:p w:rsidR="00DF3CF7" w:rsidRPr="008D1229" w:rsidRDefault="00DF3CF7" w:rsidP="00DF3CF7">
      <w:pPr>
        <w:keepNext/>
        <w:rPr>
          <w:rFonts w:cs="Arial"/>
          <w:b/>
          <w:u w:val="single"/>
        </w:rPr>
      </w:pPr>
    </w:p>
    <w:p w:rsidR="00DF3CF7" w:rsidRPr="008D1229" w:rsidRDefault="00DF3CF7" w:rsidP="00DF3CF7">
      <w:pPr>
        <w:keepNext/>
      </w:pPr>
      <w:r>
        <w:t>6.32</w:t>
      </w:r>
      <w:r w:rsidRPr="008D1229">
        <w:tab/>
      </w:r>
      <w:r w:rsidRPr="008D1229">
        <w:tab/>
        <w:t>Raw data in census forms and returns obtained in a Government census or statistical survey often contain detailed personal particulars and information.  Proper guarantee of confidentiality is crucial to ensure the public</w:t>
      </w:r>
      <w:r>
        <w:t>'</w:t>
      </w:r>
      <w:r w:rsidRPr="008D1229">
        <w:t xml:space="preserve">s willingness to provide correct information, and hence the success of these exercises.  On the other hand, sociologists, genealogists, policy makers or other researchers may want to have access to study these data. </w:t>
      </w:r>
      <w:r>
        <w:t xml:space="preserve"> These competing objectives raise questions about the approach towards the preservation of these data as archives.</w:t>
      </w:r>
    </w:p>
    <w:p w:rsidR="00DF3CF7" w:rsidRPr="008D1229" w:rsidRDefault="00DF3CF7" w:rsidP="00DF3CF7">
      <w:pPr>
        <w:rPr>
          <w:rFonts w:cs="Arial"/>
        </w:rPr>
      </w:pPr>
    </w:p>
    <w:p w:rsidR="00DF3CF7" w:rsidRPr="008D1229" w:rsidRDefault="00DF3CF7" w:rsidP="00DF3CF7">
      <w:pPr>
        <w:rPr>
          <w:rFonts w:cs="Arial"/>
        </w:rPr>
      </w:pPr>
    </w:p>
    <w:p w:rsidR="00DF3CF7" w:rsidRDefault="00DF3CF7" w:rsidP="00DF3CF7">
      <w:pPr>
        <w:pStyle w:val="Heading3"/>
      </w:pPr>
      <w:r w:rsidRPr="008D1229">
        <w:lastRenderedPageBreak/>
        <w:t>Hong Kong</w:t>
      </w:r>
      <w:r>
        <w:rPr>
          <w:rFonts w:hint="eastAsia"/>
        </w:rPr>
        <w:t xml:space="preserve"> </w:t>
      </w:r>
      <w:r w:rsidRPr="00D86E22">
        <w:rPr>
          <w:rFonts w:cs="Arial"/>
          <w:kern w:val="2"/>
          <w:szCs w:val="22"/>
          <w:lang w:val="en-US"/>
        </w:rPr>
        <w:t>–</w:t>
      </w:r>
      <w:r>
        <w:rPr>
          <w:rFonts w:hint="eastAsia"/>
        </w:rPr>
        <w:t xml:space="preserve"> </w:t>
      </w:r>
      <w:r w:rsidRPr="00AB474E">
        <w:t xml:space="preserve">Census </w:t>
      </w:r>
      <w:r w:rsidRPr="00DA29B7">
        <w:t>Ordinance</w:t>
      </w:r>
    </w:p>
    <w:p w:rsidR="00DF3CF7" w:rsidRPr="008D1229" w:rsidRDefault="00DF3CF7" w:rsidP="00DF3CF7">
      <w:pPr>
        <w:rPr>
          <w:rFonts w:cs="Arial"/>
        </w:rPr>
      </w:pPr>
    </w:p>
    <w:p w:rsidR="00DF3CF7" w:rsidRPr="008D1229" w:rsidRDefault="00DF3CF7" w:rsidP="00DF3CF7">
      <w:r>
        <w:t>6.33</w:t>
      </w:r>
      <w:r w:rsidRPr="008D1229">
        <w:tab/>
      </w:r>
      <w:r w:rsidRPr="008D1229">
        <w:tab/>
        <w:t xml:space="preserve">Under the </w:t>
      </w:r>
      <w:r>
        <w:t xml:space="preserve">Census </w:t>
      </w:r>
      <w:r w:rsidRPr="008D1229">
        <w:t>Ordinance, the completed schedules collected or received for the census or statistical survey are required to be destroyed on a specified date,</w:t>
      </w:r>
      <w:r w:rsidRPr="008D1229">
        <w:rPr>
          <w:rStyle w:val="FootnoteReference"/>
          <w:rFonts w:cs="Arial"/>
        </w:rPr>
        <w:footnoteReference w:id="411"/>
      </w:r>
      <w:r w:rsidRPr="008D1229">
        <w:t xml:space="preserve"> usually </w:t>
      </w:r>
      <w:r>
        <w:t>one</w:t>
      </w:r>
      <w:r w:rsidRPr="008D1229">
        <w:t xml:space="preserve"> to </w:t>
      </w:r>
      <w:r>
        <w:t>two</w:t>
      </w:r>
      <w:r w:rsidRPr="008D1229">
        <w:t xml:space="preserve"> years after the </w:t>
      </w:r>
      <w:r w:rsidRPr="000D7CEE">
        <w:t>census or survey in question</w:t>
      </w:r>
      <w:r w:rsidRPr="008D1229">
        <w:t>.</w:t>
      </w:r>
      <w:r w:rsidRPr="008D1229">
        <w:rPr>
          <w:rStyle w:val="FootnoteReference"/>
          <w:rFonts w:cs="Arial"/>
        </w:rPr>
        <w:footnoteReference w:id="412"/>
      </w:r>
      <w:r w:rsidRPr="008D1229">
        <w:t xml:space="preserve">  Once destroyed, they will not be available for transfer to the GRS for appraisal and preservation.  </w:t>
      </w:r>
    </w:p>
    <w:p w:rsidR="00DF3CF7" w:rsidRPr="008D1229" w:rsidRDefault="00DF3CF7" w:rsidP="00DF3CF7">
      <w:pPr>
        <w:pStyle w:val="ListParagraph"/>
        <w:rPr>
          <w:rFonts w:cs="Arial"/>
        </w:rPr>
      </w:pPr>
    </w:p>
    <w:p w:rsidR="00DF3CF7" w:rsidRPr="008D1229" w:rsidRDefault="00DF3CF7" w:rsidP="00DF3CF7">
      <w:r>
        <w:t>6.34</w:t>
      </w:r>
      <w:r w:rsidRPr="008D1229">
        <w:tab/>
      </w:r>
      <w:r w:rsidRPr="008D1229">
        <w:tab/>
      </w:r>
      <w:r>
        <w:t>During the passage of t</w:t>
      </w:r>
      <w:r w:rsidRPr="008D1229">
        <w:t>he Census Bill 1960</w:t>
      </w:r>
      <w:r>
        <w:t xml:space="preserve">, the </w:t>
      </w:r>
      <w:r w:rsidRPr="008D1229">
        <w:t>following explanation</w:t>
      </w:r>
      <w:r>
        <w:t xml:space="preserve"> was given</w:t>
      </w:r>
      <w:r w:rsidRPr="008D1229">
        <w:t xml:space="preserve"> for requir</w:t>
      </w:r>
      <w:r>
        <w:t>ing the</w:t>
      </w:r>
      <w:r w:rsidRPr="008D1229">
        <w:t xml:space="preserve"> destruction:-</w:t>
      </w:r>
    </w:p>
    <w:p w:rsidR="00DF3CF7" w:rsidRPr="008D1229" w:rsidRDefault="00DF3CF7" w:rsidP="00DF3CF7">
      <w:pPr>
        <w:pStyle w:val="ListParagraph"/>
        <w:rPr>
          <w:rFonts w:cs="Arial"/>
        </w:rPr>
      </w:pPr>
    </w:p>
    <w:p w:rsidR="00DF3CF7" w:rsidRPr="00DA29B7" w:rsidRDefault="00DF3CF7" w:rsidP="00DF3CF7">
      <w:pPr>
        <w:pStyle w:val="BlockText"/>
      </w:pPr>
      <w:r w:rsidRPr="002444D8">
        <w:rPr>
          <w:i w:val="0"/>
        </w:rPr>
        <w:t>"</w:t>
      </w:r>
      <w:r w:rsidRPr="00DA29B7">
        <w:t>Clauses 14 and 15 provide for the ultimate destruction of</w:t>
      </w:r>
      <w:r w:rsidRPr="00DF1F70">
        <w:t xml:space="preserve"> all forms or returns containing personal particulars and for their proper custody until destroyed.</w:t>
      </w:r>
      <w:r>
        <w:t xml:space="preserve">  </w:t>
      </w:r>
      <w:r w:rsidRPr="00DF1F70">
        <w:t>The</w:t>
      </w:r>
      <w:r>
        <w:t>s</w:t>
      </w:r>
      <w:r w:rsidRPr="00DF1F70">
        <w:t>e provisions are considered necessary in order to maintain the confidential nature of census.</w:t>
      </w:r>
      <w:r w:rsidRPr="002444D8">
        <w:rPr>
          <w:i w:val="0"/>
        </w:rPr>
        <w:t>"</w:t>
      </w:r>
      <w:r w:rsidRPr="00EF713E">
        <w:rPr>
          <w:rStyle w:val="FootnoteReference"/>
          <w:rFonts w:cs="Arial"/>
          <w:i w:val="0"/>
        </w:rPr>
        <w:footnoteReference w:id="413"/>
      </w:r>
      <w:r w:rsidRPr="00AB474E">
        <w:t xml:space="preserve"> </w:t>
      </w:r>
    </w:p>
    <w:p w:rsidR="00DF3CF7" w:rsidRPr="008D1229" w:rsidRDefault="00DF3CF7" w:rsidP="00DF3CF7">
      <w:pPr>
        <w:rPr>
          <w:rFonts w:cs="Arial"/>
        </w:rPr>
      </w:pPr>
    </w:p>
    <w:p w:rsidR="00DF3CF7" w:rsidRPr="008D1229" w:rsidRDefault="00DF3CF7" w:rsidP="00DF3CF7">
      <w:r>
        <w:t>6.35</w:t>
      </w:r>
      <w:r w:rsidRPr="008D1229">
        <w:tab/>
      </w:r>
      <w:r w:rsidRPr="008D1229">
        <w:tab/>
        <w:t xml:space="preserve">Any person who discloses </w:t>
      </w:r>
      <w:r>
        <w:t xml:space="preserve">any schedule (or part thereof), any answer or </w:t>
      </w:r>
      <w:r w:rsidRPr="008D1229">
        <w:t>any particulars obtained which enable</w:t>
      </w:r>
      <w:r>
        <w:t>s</w:t>
      </w:r>
      <w:r w:rsidRPr="008D1229">
        <w:t xml:space="preserve"> identification of an individual otherwise than in the performance of any function under the Census Ordinance is an offence except in certain limited situations </w:t>
      </w:r>
      <w:r>
        <w:t>(</w:t>
      </w:r>
      <w:r w:rsidRPr="008D1229">
        <w:t>such as where the production of such information is necessary for the purpose of any proceedings instituted for an offence under the ordinance</w:t>
      </w:r>
      <w:r>
        <w:t>)</w:t>
      </w:r>
      <w:r w:rsidRPr="008D1229">
        <w:t>.</w:t>
      </w:r>
      <w:r w:rsidRPr="008D1229">
        <w:rPr>
          <w:rStyle w:val="FootnoteReference"/>
          <w:rFonts w:cs="Arial"/>
        </w:rPr>
        <w:footnoteReference w:id="414"/>
      </w:r>
      <w:r w:rsidRPr="008D1229">
        <w:t xml:space="preserve">  </w:t>
      </w:r>
    </w:p>
    <w:p w:rsidR="00DF3CF7" w:rsidRPr="008D1229" w:rsidRDefault="00DF3CF7" w:rsidP="00DF3CF7">
      <w:pPr>
        <w:rPr>
          <w:rFonts w:cs="Arial"/>
        </w:rPr>
      </w:pPr>
    </w:p>
    <w:p w:rsidR="00DF3CF7" w:rsidRPr="008D1229" w:rsidRDefault="00DF3CF7" w:rsidP="00DF3CF7">
      <w:pPr>
        <w:rPr>
          <w:rFonts w:cs="Arial"/>
        </w:rPr>
      </w:pPr>
    </w:p>
    <w:p w:rsidR="00DF3CF7" w:rsidRPr="00DF1F70" w:rsidRDefault="00DF3CF7" w:rsidP="00DF3CF7">
      <w:pPr>
        <w:pStyle w:val="Heading3"/>
      </w:pPr>
      <w:r w:rsidRPr="008D1229">
        <w:t xml:space="preserve">Australia </w:t>
      </w:r>
      <w:r w:rsidRPr="00D86E22">
        <w:rPr>
          <w:rFonts w:cs="Arial"/>
          <w:kern w:val="2"/>
          <w:szCs w:val="22"/>
          <w:lang w:val="en-US"/>
        </w:rPr>
        <w:t>–</w:t>
      </w:r>
      <w:r>
        <w:rPr>
          <w:rFonts w:hint="eastAsia"/>
        </w:rPr>
        <w:t xml:space="preserve"> </w:t>
      </w:r>
      <w:r w:rsidRPr="00AB474E">
        <w:t xml:space="preserve">Census and </w:t>
      </w:r>
      <w:r w:rsidRPr="00DA29B7">
        <w:t>Statistics Act 1905</w:t>
      </w:r>
      <w:r w:rsidRPr="00DF1F70">
        <w:t xml:space="preserve"> </w:t>
      </w:r>
    </w:p>
    <w:p w:rsidR="00DF3CF7" w:rsidRPr="008D1229" w:rsidRDefault="00DF3CF7" w:rsidP="00DF3CF7">
      <w:pPr>
        <w:keepNext/>
        <w:rPr>
          <w:rFonts w:cs="Arial"/>
        </w:rPr>
      </w:pPr>
    </w:p>
    <w:p w:rsidR="00DF3CF7" w:rsidRPr="008D1229" w:rsidRDefault="00DF3CF7" w:rsidP="00DF3CF7">
      <w:r>
        <w:t>6.36</w:t>
      </w:r>
      <w:r w:rsidRPr="008D1229">
        <w:tab/>
      </w:r>
      <w:r w:rsidRPr="008D1229">
        <w:tab/>
        <w:t>The primary pieces of legislation are the Census and Statistics Act 1905</w:t>
      </w:r>
      <w:r>
        <w:t xml:space="preserve"> ("</w:t>
      </w:r>
      <w:r w:rsidRPr="003009E2">
        <w:rPr>
          <w:b/>
        </w:rPr>
        <w:t>1905 Act</w:t>
      </w:r>
      <w:r>
        <w:t>")</w:t>
      </w:r>
      <w:r w:rsidRPr="008D1229">
        <w:rPr>
          <w:rStyle w:val="FootnoteReference"/>
          <w:rFonts w:cs="Arial"/>
        </w:rPr>
        <w:footnoteReference w:id="415"/>
      </w:r>
      <w:r w:rsidRPr="008D1229">
        <w:rPr>
          <w:i/>
        </w:rPr>
        <w:t xml:space="preserve"> </w:t>
      </w:r>
      <w:r w:rsidRPr="008D1229">
        <w:t>and the Australian Bureau of Statistics Act 1975</w:t>
      </w:r>
      <w:r w:rsidRPr="008D1229">
        <w:rPr>
          <w:rStyle w:val="FootnoteReference"/>
          <w:rFonts w:cs="Arial"/>
        </w:rPr>
        <w:footnoteReference w:id="416"/>
      </w:r>
      <w:r w:rsidRPr="008D1229">
        <w:t xml:space="preserve"> which set up the Australian Bureau of Statistics headed by the </w:t>
      </w:r>
      <w:r>
        <w:t>"</w:t>
      </w:r>
      <w:r w:rsidRPr="008D1229">
        <w:t>Australian Statistician</w:t>
      </w:r>
      <w:r>
        <w:t>"</w:t>
      </w:r>
      <w:r w:rsidRPr="008D1229">
        <w:t xml:space="preserve">. </w:t>
      </w:r>
    </w:p>
    <w:p w:rsidR="00DF3CF7" w:rsidRPr="008D1229" w:rsidRDefault="00DF3CF7" w:rsidP="00DF3CF7">
      <w:pPr>
        <w:rPr>
          <w:rFonts w:cs="Arial"/>
        </w:rPr>
      </w:pPr>
    </w:p>
    <w:p w:rsidR="00DF3CF7" w:rsidRPr="008D1229" w:rsidRDefault="00DF3CF7" w:rsidP="00DF3CF7">
      <w:r>
        <w:t>6.37</w:t>
      </w:r>
      <w:r w:rsidRPr="008D1229">
        <w:tab/>
      </w:r>
      <w:r w:rsidRPr="008D1229">
        <w:tab/>
        <w:t xml:space="preserve">Unlike the Census Ordinance in Hong Kong, the foregoing Acts do not contain provisions requiring the destruction of census forms </w:t>
      </w:r>
      <w:r w:rsidRPr="000D7CEE">
        <w:t>after a census.</w:t>
      </w:r>
    </w:p>
    <w:p w:rsidR="00DF3CF7" w:rsidRPr="008D1229" w:rsidRDefault="00DF3CF7" w:rsidP="00DF3CF7">
      <w:pPr>
        <w:rPr>
          <w:rFonts w:cs="Arial"/>
        </w:rPr>
      </w:pPr>
    </w:p>
    <w:p w:rsidR="00DF3CF7" w:rsidRPr="008D1229" w:rsidRDefault="00DF3CF7" w:rsidP="00DF3CF7">
      <w:r>
        <w:t>6.38</w:t>
      </w:r>
      <w:r w:rsidRPr="008D1229">
        <w:tab/>
      </w:r>
      <w:r w:rsidRPr="008D1229">
        <w:tab/>
        <w:t xml:space="preserve">Confidentiality of census information is instead protected mainly </w:t>
      </w:r>
      <w:r>
        <w:t>by</w:t>
      </w:r>
      <w:r w:rsidRPr="008D1229">
        <w:t xml:space="preserve"> </w:t>
      </w:r>
      <w:r>
        <w:t>two</w:t>
      </w:r>
      <w:r w:rsidRPr="008D1229">
        <w:t xml:space="preserve"> provisions. </w:t>
      </w:r>
      <w:r>
        <w:rPr>
          <w:rFonts w:hint="eastAsia"/>
        </w:rPr>
        <w:t xml:space="preserve"> </w:t>
      </w:r>
      <w:r w:rsidRPr="008D1229">
        <w:t xml:space="preserve">Section 19A of the 1905 Act makes it clear that a person who is or has been the Australian Statistician or an officer as defined under the Act must not divulge any </w:t>
      </w:r>
      <w:r>
        <w:t>c</w:t>
      </w:r>
      <w:r w:rsidRPr="008D1229">
        <w:t xml:space="preserve">ensus information for 99 years from the census day </w:t>
      </w:r>
      <w:r w:rsidRPr="008D1229">
        <w:lastRenderedPageBreak/>
        <w:t>other than in accordance with the Act</w:t>
      </w:r>
      <w:r>
        <w:t>, and the equivalent offence is created in s</w:t>
      </w:r>
      <w:r w:rsidRPr="008D1229">
        <w:t>ection 19.</w:t>
      </w:r>
    </w:p>
    <w:p w:rsidR="00DF3CF7" w:rsidRPr="008D1229" w:rsidRDefault="00DF3CF7" w:rsidP="00DF3CF7">
      <w:pPr>
        <w:rPr>
          <w:rFonts w:cs="Arial"/>
        </w:rPr>
      </w:pPr>
    </w:p>
    <w:p w:rsidR="00DF3CF7" w:rsidRPr="008D1229" w:rsidRDefault="00DF3CF7" w:rsidP="00DF3CF7">
      <w:r>
        <w:t>6.39</w:t>
      </w:r>
      <w:r w:rsidRPr="008D1229">
        <w:tab/>
      </w:r>
      <w:r w:rsidRPr="008D1229">
        <w:tab/>
        <w:t>Section 8A of the 1905 Act provides for the transfer of census information to the NAA:-</w:t>
      </w:r>
    </w:p>
    <w:p w:rsidR="00DF3CF7" w:rsidRPr="008D1229" w:rsidRDefault="00DF3CF7" w:rsidP="00DF3CF7">
      <w:pPr>
        <w:rPr>
          <w:rFonts w:cs="Arial"/>
        </w:rPr>
      </w:pPr>
    </w:p>
    <w:p w:rsidR="00DF3CF7" w:rsidRPr="008D1229" w:rsidRDefault="00DF3CF7" w:rsidP="00DF3CF7">
      <w:pPr>
        <w:pStyle w:val="BlockText"/>
      </w:pPr>
      <w:r w:rsidRPr="002444D8">
        <w:rPr>
          <w:i w:val="0"/>
        </w:rPr>
        <w:t>"</w:t>
      </w:r>
      <w:r w:rsidRPr="008D1229">
        <w:t xml:space="preserve">If </w:t>
      </w:r>
    </w:p>
    <w:p w:rsidR="00DF3CF7" w:rsidRPr="008D1229" w:rsidRDefault="00DF3CF7" w:rsidP="00DF3CF7">
      <w:pPr>
        <w:pStyle w:val="ListParagraph"/>
        <w:ind w:left="1440" w:right="720" w:hanging="720"/>
        <w:rPr>
          <w:rFonts w:cs="Arial"/>
          <w:i/>
        </w:rPr>
      </w:pPr>
    </w:p>
    <w:p w:rsidR="00DF3CF7" w:rsidRPr="008D1229" w:rsidRDefault="00DF3CF7" w:rsidP="00D86E22">
      <w:pPr>
        <w:pStyle w:val="ListParagraph"/>
        <w:widowControl/>
        <w:numPr>
          <w:ilvl w:val="0"/>
          <w:numId w:val="43"/>
        </w:numPr>
        <w:ind w:left="1440" w:right="720" w:hanging="720"/>
        <w:contextualSpacing w:val="0"/>
        <w:rPr>
          <w:rFonts w:cs="Arial"/>
          <w:i/>
        </w:rPr>
      </w:pPr>
      <w:r w:rsidRPr="008D1229">
        <w:rPr>
          <w:rFonts w:cs="Arial"/>
          <w:i/>
        </w:rPr>
        <w:t>a form is given to the [Australian] Statistician or an authorised officer under section 10 in relation to the Census taken in the year 2001 or a later year; and</w:t>
      </w:r>
    </w:p>
    <w:p w:rsidR="00DF3CF7" w:rsidRPr="008D1229" w:rsidRDefault="00DF3CF7" w:rsidP="00DF3CF7">
      <w:pPr>
        <w:pStyle w:val="ListParagraph"/>
        <w:ind w:left="1440" w:right="720" w:hanging="720"/>
        <w:rPr>
          <w:rFonts w:cs="Arial"/>
          <w:i/>
        </w:rPr>
      </w:pPr>
    </w:p>
    <w:p w:rsidR="00DF3CF7" w:rsidRPr="008D1229" w:rsidRDefault="00DF3CF7" w:rsidP="00D86E22">
      <w:pPr>
        <w:pStyle w:val="ListParagraph"/>
        <w:widowControl/>
        <w:numPr>
          <w:ilvl w:val="0"/>
          <w:numId w:val="43"/>
        </w:numPr>
        <w:ind w:left="1440" w:right="720" w:hanging="720"/>
        <w:contextualSpacing w:val="0"/>
        <w:rPr>
          <w:rFonts w:cs="Arial"/>
          <w:i/>
        </w:rPr>
      </w:pPr>
      <w:r w:rsidRPr="008D1229">
        <w:rPr>
          <w:rFonts w:cs="Arial"/>
          <w:i/>
        </w:rPr>
        <w:t>a person has consented, in accordance with the form, to the information contained in the form being transferred to the custody of the [NAA] under this section;</w:t>
      </w:r>
    </w:p>
    <w:p w:rsidR="00DF3CF7" w:rsidRPr="008D1229" w:rsidRDefault="00DF3CF7" w:rsidP="00DF3CF7">
      <w:pPr>
        <w:ind w:left="1440" w:right="720" w:hanging="720"/>
        <w:rPr>
          <w:rFonts w:cs="Arial"/>
          <w:i/>
        </w:rPr>
      </w:pPr>
    </w:p>
    <w:p w:rsidR="00DF3CF7" w:rsidRPr="008D1229" w:rsidRDefault="00DF3CF7" w:rsidP="00DF3CF7">
      <w:pPr>
        <w:pStyle w:val="BlockText"/>
      </w:pPr>
      <w:r w:rsidRPr="008D1229">
        <w:t>the [Australian] Statistician must transfer the information to the custody of the [NAA] in a form and manner agreed by the Statistician and the Director</w:t>
      </w:r>
      <w:r w:rsidRPr="008D1229">
        <w:rPr>
          <w:rFonts w:ascii="MS Gothic" w:eastAsia="MS Gothic" w:hAnsi="MS Gothic" w:cs="MS Gothic"/>
        </w:rPr>
        <w:t>‑</w:t>
      </w:r>
      <w:r w:rsidRPr="008D1229">
        <w:t>General of the [NAA].</w:t>
      </w:r>
      <w:r w:rsidRPr="002444D8">
        <w:rPr>
          <w:i w:val="0"/>
        </w:rPr>
        <w:t>"</w:t>
      </w:r>
    </w:p>
    <w:p w:rsidR="00DF3CF7" w:rsidRPr="008D1229" w:rsidRDefault="00DF3CF7" w:rsidP="00DF3CF7">
      <w:pPr>
        <w:pStyle w:val="ListParagraph"/>
        <w:ind w:left="1560"/>
        <w:rPr>
          <w:rFonts w:cs="Arial"/>
          <w:i/>
        </w:rPr>
      </w:pPr>
    </w:p>
    <w:p w:rsidR="00DF3CF7" w:rsidRPr="008D1229" w:rsidRDefault="00DF3CF7" w:rsidP="00DF3CF7">
      <w:r>
        <w:t>6.40</w:t>
      </w:r>
      <w:r w:rsidRPr="008D1229">
        <w:tab/>
      </w:r>
      <w:r w:rsidRPr="008D1229">
        <w:tab/>
        <w:t xml:space="preserve">Section 8A </w:t>
      </w:r>
      <w:r>
        <w:t xml:space="preserve">was </w:t>
      </w:r>
      <w:r w:rsidRPr="008D1229">
        <w:t xml:space="preserve">originally inserted by the </w:t>
      </w:r>
      <w:r w:rsidRPr="003009E2">
        <w:rPr>
          <w:i/>
        </w:rPr>
        <w:t>Census Information Legislation Amendment Act 2000</w:t>
      </w:r>
      <w:r w:rsidRPr="008D1229">
        <w:t xml:space="preserve"> on a trial basis such that in the 2001 Census, people would have the option to decide whether to have their information transferred to and retained by the NAA. </w:t>
      </w:r>
      <w:r>
        <w:t xml:space="preserve"> </w:t>
      </w:r>
      <w:r w:rsidRPr="008D1229">
        <w:t xml:space="preserve">Responses to this piloting option were positive, and the </w:t>
      </w:r>
      <w:r w:rsidRPr="008D7192">
        <w:rPr>
          <w:i/>
        </w:rPr>
        <w:t>Census Information Legislation Amendment Act 2006</w:t>
      </w:r>
      <w:r w:rsidRPr="00E62023">
        <w:t xml:space="preserve"> </w:t>
      </w:r>
      <w:r w:rsidRPr="008D1229">
        <w:t xml:space="preserve">further inserted the words </w:t>
      </w:r>
      <w:r>
        <w:t>"</w:t>
      </w:r>
      <w:r w:rsidRPr="008D1229">
        <w:rPr>
          <w:i/>
        </w:rPr>
        <w:t>or a later year</w:t>
      </w:r>
      <w:r>
        <w:t>"</w:t>
      </w:r>
      <w:r w:rsidRPr="008D1229">
        <w:t xml:space="preserve"> into section 8A(a) </w:t>
      </w:r>
      <w:r>
        <w:t xml:space="preserve">to make it </w:t>
      </w:r>
      <w:r w:rsidRPr="008D1229">
        <w:t xml:space="preserve">a </w:t>
      </w:r>
      <w:r>
        <w:t>routine arrangement</w:t>
      </w:r>
      <w:r w:rsidRPr="008D1229">
        <w:t xml:space="preserve">. </w:t>
      </w:r>
    </w:p>
    <w:p w:rsidR="00DF3CF7" w:rsidRPr="008D1229" w:rsidRDefault="00DF3CF7" w:rsidP="00DF3CF7">
      <w:pPr>
        <w:pStyle w:val="ListParagraph"/>
        <w:ind w:left="0"/>
        <w:rPr>
          <w:rFonts w:cs="Arial"/>
        </w:rPr>
      </w:pPr>
    </w:p>
    <w:p w:rsidR="00DF3CF7" w:rsidRPr="008D1229" w:rsidRDefault="00DF3CF7" w:rsidP="00DF3CF7">
      <w:r>
        <w:t>6.41</w:t>
      </w:r>
      <w:r w:rsidRPr="008D1229">
        <w:tab/>
      </w:r>
      <w:r w:rsidRPr="008D1229">
        <w:tab/>
        <w:t>These legislative changes largely reflected the recommendations of the inquiry conducted by the House of Representatives</w:t>
      </w:r>
      <w:r>
        <w:t>'</w:t>
      </w:r>
      <w:r w:rsidRPr="008D1229">
        <w:t xml:space="preserve"> Standing Committee on Legal and Constitutional Affairs in the late 1990s,</w:t>
      </w:r>
      <w:r w:rsidRPr="008D1229">
        <w:rPr>
          <w:rStyle w:val="FootnoteReference"/>
          <w:rFonts w:cs="Arial"/>
        </w:rPr>
        <w:footnoteReference w:id="417"/>
      </w:r>
      <w:r w:rsidRPr="008D1229">
        <w:t xml:space="preserve"> </w:t>
      </w:r>
      <w:r>
        <w:t>when</w:t>
      </w:r>
      <w:r w:rsidRPr="008D1229">
        <w:t xml:space="preserve"> the prevailing practice was to destroy all the census forms once all the statistical data had been extracted.</w:t>
      </w:r>
      <w:r w:rsidRPr="008D1229">
        <w:rPr>
          <w:rStyle w:val="FootnoteReference"/>
          <w:rFonts w:cs="Arial"/>
        </w:rPr>
        <w:footnoteReference w:id="418"/>
      </w:r>
      <w:r w:rsidRPr="008D1229">
        <w:t xml:space="preserve">  </w:t>
      </w:r>
      <w:r>
        <w:t>M</w:t>
      </w:r>
      <w:r w:rsidRPr="008D1229">
        <w:t xml:space="preserve">any genealogical researchers, </w:t>
      </w:r>
      <w:r>
        <w:t xml:space="preserve">however, </w:t>
      </w:r>
      <w:r w:rsidRPr="008D1229">
        <w:t>had lobb</w:t>
      </w:r>
      <w:r>
        <w:t>ied</w:t>
      </w:r>
      <w:r w:rsidRPr="008D1229">
        <w:t xml:space="preserve"> over many years for the retention of census information for family history research</w:t>
      </w:r>
      <w:r>
        <w:t>,</w:t>
      </w:r>
      <w:r w:rsidRPr="008D1229">
        <w:t xml:space="preserve"> which eventually prompted this Standing Committee</w:t>
      </w:r>
      <w:r>
        <w:t>'s</w:t>
      </w:r>
      <w:r w:rsidRPr="008D1229">
        <w:t xml:space="preserve"> inquiry.</w:t>
      </w:r>
      <w:r w:rsidRPr="008D1229">
        <w:rPr>
          <w:rStyle w:val="FootnoteReference"/>
          <w:rFonts w:cs="Arial"/>
        </w:rPr>
        <w:footnoteReference w:id="419"/>
      </w:r>
      <w:r w:rsidRPr="008D1229">
        <w:t xml:space="preserve">  The Australian Bureau of Statistics was against </w:t>
      </w:r>
      <w:r>
        <w:t xml:space="preserve">such </w:t>
      </w:r>
      <w:r w:rsidRPr="008D1229">
        <w:t>retention</w:t>
      </w:r>
      <w:r>
        <w:t xml:space="preserve"> for the</w:t>
      </w:r>
      <w:r w:rsidRPr="008D1229">
        <w:t xml:space="preserve"> fear </w:t>
      </w:r>
      <w:r>
        <w:t>of rising</w:t>
      </w:r>
      <w:r w:rsidRPr="008D1229">
        <w:t xml:space="preserve"> non-response rates and</w:t>
      </w:r>
      <w:r>
        <w:t xml:space="preserve"> less accurate</w:t>
      </w:r>
      <w:r w:rsidRPr="008D1229">
        <w:t xml:space="preserve"> information if people knew </w:t>
      </w:r>
      <w:r>
        <w:t xml:space="preserve">that </w:t>
      </w:r>
      <w:r w:rsidRPr="008D1229">
        <w:t xml:space="preserve">their information would be kept and released in the future.  </w:t>
      </w:r>
      <w:r>
        <w:t>This</w:t>
      </w:r>
      <w:r w:rsidRPr="008D1229">
        <w:t xml:space="preserve"> would </w:t>
      </w:r>
      <w:r>
        <w:t>mean</w:t>
      </w:r>
      <w:r w:rsidRPr="008D1229">
        <w:t xml:space="preserve"> a </w:t>
      </w:r>
      <w:r>
        <w:t>deterioration</w:t>
      </w:r>
      <w:r w:rsidRPr="008D1229">
        <w:t xml:space="preserve"> in data quality as well as erosion of public confidence.</w:t>
      </w:r>
      <w:r w:rsidRPr="008D1229">
        <w:rPr>
          <w:rStyle w:val="FootnoteReference"/>
          <w:rFonts w:cs="Arial"/>
        </w:rPr>
        <w:footnoteReference w:id="420"/>
      </w:r>
      <w:r w:rsidRPr="008D1229">
        <w:t xml:space="preserve"> </w:t>
      </w:r>
    </w:p>
    <w:p w:rsidR="00DF3CF7" w:rsidRPr="008D1229" w:rsidRDefault="00DF3CF7" w:rsidP="00DF3CF7">
      <w:pPr>
        <w:pStyle w:val="ListParagraph"/>
        <w:ind w:left="0"/>
        <w:rPr>
          <w:rFonts w:cs="Arial"/>
        </w:rPr>
      </w:pPr>
    </w:p>
    <w:p w:rsidR="00DF3CF7" w:rsidRPr="008D1229" w:rsidRDefault="00DF3CF7" w:rsidP="00DF3CF7">
      <w:r>
        <w:t>6.42</w:t>
      </w:r>
      <w:r w:rsidRPr="008D1229">
        <w:tab/>
      </w:r>
      <w:r w:rsidRPr="008D1229">
        <w:tab/>
      </w:r>
      <w:r>
        <w:t>T</w:t>
      </w:r>
      <w:r w:rsidRPr="008D1229">
        <w:t xml:space="preserve">he Standing Committee appreciated the possible risk of </w:t>
      </w:r>
      <w:r>
        <w:t>deterioration</w:t>
      </w:r>
      <w:r w:rsidRPr="008D1229">
        <w:t xml:space="preserve"> in data quality,</w:t>
      </w:r>
      <w:r w:rsidRPr="008D1229">
        <w:rPr>
          <w:rStyle w:val="FootnoteReference"/>
          <w:rFonts w:cs="Arial"/>
        </w:rPr>
        <w:footnoteReference w:id="421"/>
      </w:r>
      <w:r w:rsidRPr="008D1229">
        <w:t xml:space="preserve"> </w:t>
      </w:r>
      <w:r>
        <w:t>but</w:t>
      </w:r>
      <w:r w:rsidRPr="008D1229">
        <w:t xml:space="preserve"> was unconvinced that </w:t>
      </w:r>
      <w:r>
        <w:t xml:space="preserve">it </w:t>
      </w:r>
      <w:r w:rsidRPr="008D1229">
        <w:t>was conclusive.</w:t>
      </w:r>
      <w:r w:rsidRPr="008D1229">
        <w:rPr>
          <w:rStyle w:val="FootnoteReference"/>
          <w:rFonts w:cs="Arial"/>
        </w:rPr>
        <w:footnoteReference w:id="422"/>
      </w:r>
      <w:r w:rsidRPr="008D1229">
        <w:t xml:space="preserve">  It therefore recommended, amongst other things, that (1) </w:t>
      </w:r>
      <w:r w:rsidRPr="00752FBB">
        <w:t>name-identified information</w:t>
      </w:r>
      <w:r w:rsidRPr="008D1229">
        <w:t xml:space="preserve"> in census forms be retained;</w:t>
      </w:r>
      <w:r w:rsidRPr="008D1229">
        <w:rPr>
          <w:rStyle w:val="FootnoteReference"/>
          <w:rFonts w:cs="Arial"/>
        </w:rPr>
        <w:footnoteReference w:id="423"/>
      </w:r>
      <w:r w:rsidRPr="008D1229">
        <w:t xml:space="preserve"> but (2) should be closed for 99 years;</w:t>
      </w:r>
      <w:r w:rsidRPr="008D1229">
        <w:rPr>
          <w:rStyle w:val="FootnoteReference"/>
          <w:rFonts w:cs="Arial"/>
        </w:rPr>
        <w:footnoteReference w:id="424"/>
      </w:r>
      <w:r w:rsidRPr="008D1229">
        <w:t xml:space="preserve"> and (3) specific legislation be enacted to put these arrangements in place.</w:t>
      </w:r>
      <w:r w:rsidRPr="008D1229">
        <w:rPr>
          <w:rStyle w:val="FootnoteReference"/>
          <w:rFonts w:cs="Arial"/>
        </w:rPr>
        <w:footnoteReference w:id="425"/>
      </w:r>
      <w:r w:rsidRPr="008D1229">
        <w:t xml:space="preserve">  </w:t>
      </w:r>
    </w:p>
    <w:p w:rsidR="00DF3CF7" w:rsidRPr="008D1229" w:rsidRDefault="00DF3CF7" w:rsidP="00DF3CF7">
      <w:pPr>
        <w:pStyle w:val="ListParagraph"/>
        <w:ind w:left="0"/>
        <w:rPr>
          <w:rFonts w:cs="Arial"/>
        </w:rPr>
      </w:pPr>
    </w:p>
    <w:p w:rsidR="00DF3CF7" w:rsidRPr="008D1229" w:rsidRDefault="00DF3CF7" w:rsidP="00DF3CF7">
      <w:r>
        <w:t>6.43</w:t>
      </w:r>
      <w:r w:rsidRPr="008D1229">
        <w:t xml:space="preserve"> </w:t>
      </w:r>
      <w:r w:rsidRPr="008D1229">
        <w:tab/>
      </w:r>
      <w:r w:rsidRPr="008D1229">
        <w:tab/>
        <w:t>Th</w:t>
      </w:r>
      <w:r>
        <w:t>at led to the enactment of</w:t>
      </w:r>
      <w:r w:rsidRPr="008D1229">
        <w:t xml:space="preserve"> section 8A</w:t>
      </w:r>
      <w:r>
        <w:t xml:space="preserve"> which is worded to strike the right balance</w:t>
      </w:r>
      <w:r w:rsidRPr="008D1229">
        <w:t xml:space="preserve">:- </w:t>
      </w:r>
    </w:p>
    <w:p w:rsidR="00DF3CF7" w:rsidRPr="002975D2" w:rsidRDefault="00DF3CF7" w:rsidP="00DF3CF7">
      <w:pPr>
        <w:pStyle w:val="ListParagraph"/>
        <w:tabs>
          <w:tab w:val="left" w:pos="709"/>
        </w:tabs>
        <w:ind w:leftChars="354" w:left="850" w:firstLine="1"/>
        <w:rPr>
          <w:rFonts w:cs="Arial"/>
          <w:sz w:val="20"/>
          <w:szCs w:val="20"/>
        </w:rPr>
      </w:pPr>
    </w:p>
    <w:p w:rsidR="00DF3CF7" w:rsidRPr="00AB474E" w:rsidRDefault="00DF3CF7" w:rsidP="00DF3CF7">
      <w:pPr>
        <w:pStyle w:val="BlockText"/>
      </w:pPr>
      <w:r w:rsidRPr="002444D8">
        <w:rPr>
          <w:i w:val="0"/>
        </w:rPr>
        <w:t>"</w:t>
      </w:r>
      <w:r w:rsidRPr="00AB474E">
        <w:t>Australia has a justifiably strong reputation for the quality of its census information</w:t>
      </w:r>
      <w:r>
        <w:t>…</w:t>
      </w:r>
      <w:r>
        <w:rPr>
          <w:rFonts w:hint="eastAsia"/>
        </w:rPr>
        <w:t>.</w:t>
      </w:r>
      <w:r w:rsidRPr="00AB474E">
        <w:t xml:space="preserve"> </w:t>
      </w:r>
      <w:r w:rsidRPr="00DA29B7">
        <w:t xml:space="preserve"> </w:t>
      </w:r>
      <w:r w:rsidRPr="00DF1F70">
        <w:t>This reputation has been achieved not only by the Australian Bureau of Statistics</w:t>
      </w:r>
      <w:r>
        <w:t>'</w:t>
      </w:r>
      <w:r w:rsidRPr="00DF1F70">
        <w:t xml:space="preserve"> sound work but also by the public trust that the information collected will be protected.  The government believes that nothing should be done which will put at risk public cooperation and hence the quality of census information.  </w:t>
      </w:r>
      <w:r w:rsidRPr="0031347F">
        <w:t xml:space="preserve">For this reason, and in keeping with good privacy practice, the bill requires the consent of households before the name-identified information is kept. </w:t>
      </w:r>
      <w:r w:rsidRPr="009120F9">
        <w:t xml:space="preserve"> This information from households which do not consent will be destroyed as soon as statistical processing is completed.</w:t>
      </w:r>
      <w:r w:rsidRPr="002444D8">
        <w:rPr>
          <w:i w:val="0"/>
        </w:rPr>
        <w:t>"</w:t>
      </w:r>
      <w:r w:rsidRPr="008D1229">
        <w:rPr>
          <w:rStyle w:val="FootnoteReference"/>
          <w:rFonts w:cs="Arial"/>
          <w:i w:val="0"/>
        </w:rPr>
        <w:footnoteReference w:id="426"/>
      </w:r>
    </w:p>
    <w:p w:rsidR="00DF3CF7" w:rsidRPr="008D1229" w:rsidRDefault="00DF3CF7" w:rsidP="00DF3CF7">
      <w:pPr>
        <w:pStyle w:val="ListParagraph"/>
        <w:ind w:left="0"/>
        <w:rPr>
          <w:rFonts w:cs="Arial"/>
        </w:rPr>
      </w:pPr>
      <w:r w:rsidRPr="008D1229">
        <w:rPr>
          <w:rFonts w:cs="Arial"/>
        </w:rPr>
        <w:t xml:space="preserve"> </w:t>
      </w:r>
    </w:p>
    <w:p w:rsidR="00DF3CF7" w:rsidRPr="008D1229" w:rsidRDefault="00DF3CF7" w:rsidP="00DF3CF7">
      <w:r>
        <w:t>6.44</w:t>
      </w:r>
      <w:r w:rsidRPr="008D1229">
        <w:tab/>
      </w:r>
      <w:r w:rsidRPr="008D1229">
        <w:tab/>
        <w:t xml:space="preserve">Thus, the census form clearly </w:t>
      </w:r>
      <w:r>
        <w:t>states: "</w:t>
      </w:r>
      <w:r w:rsidRPr="008D1229">
        <w:t>[a] person</w:t>
      </w:r>
      <w:r>
        <w:t>'</w:t>
      </w:r>
      <w:r w:rsidRPr="008D1229">
        <w:t>s name-identified information will not be kept by the [NAA] where a person does not agree or the answer is left blank.</w:t>
      </w:r>
      <w:r>
        <w:t>"</w:t>
      </w:r>
      <w:r w:rsidRPr="008D1229">
        <w:rPr>
          <w:rStyle w:val="FootnoteReference"/>
          <w:rFonts w:cs="Arial"/>
        </w:rPr>
        <w:footnoteReference w:id="427"/>
      </w:r>
    </w:p>
    <w:p w:rsidR="00DF3CF7" w:rsidRPr="008D1229" w:rsidRDefault="00DF3CF7" w:rsidP="00DF3CF7">
      <w:pPr>
        <w:pStyle w:val="ListParagraph"/>
        <w:ind w:left="0"/>
        <w:rPr>
          <w:rFonts w:cs="Arial"/>
        </w:rPr>
      </w:pPr>
    </w:p>
    <w:p w:rsidR="00DF3CF7" w:rsidRPr="008D1229" w:rsidRDefault="00DF3CF7" w:rsidP="00DF3CF7">
      <w:r>
        <w:t>6.45</w:t>
      </w:r>
      <w:r w:rsidRPr="008D1229">
        <w:tab/>
      </w:r>
      <w:r w:rsidRPr="008D1229">
        <w:tab/>
        <w:t>Where an individual consents to his census information being retained, its confidentiality is further protected by s</w:t>
      </w:r>
      <w:r>
        <w:t xml:space="preserve">ection </w:t>
      </w:r>
      <w:r w:rsidRPr="008D1229">
        <w:t>30A(1) of the 1983 Act which provides:</w:t>
      </w:r>
    </w:p>
    <w:p w:rsidR="00DF3CF7" w:rsidRPr="002975D2" w:rsidRDefault="00DF3CF7" w:rsidP="00DF3CF7">
      <w:pPr>
        <w:ind w:leftChars="354" w:left="850"/>
        <w:rPr>
          <w:rFonts w:cs="Arial"/>
          <w:sz w:val="20"/>
          <w:szCs w:val="20"/>
        </w:rPr>
      </w:pPr>
    </w:p>
    <w:p w:rsidR="00DF3CF7" w:rsidRPr="008D1229" w:rsidRDefault="00DF3CF7" w:rsidP="00DF3CF7">
      <w:pPr>
        <w:pStyle w:val="BlockText"/>
      </w:pPr>
      <w:r w:rsidRPr="00F86AAC">
        <w:rPr>
          <w:i w:val="0"/>
        </w:rPr>
        <w:t>"</w:t>
      </w:r>
      <w:r w:rsidRPr="008D1229">
        <w:t>An Archives officer must not, at any time before a record containing Census information from a Census is in the open access period</w:t>
      </w:r>
      <w:r w:rsidRPr="008D1229">
        <w:rPr>
          <w:rStyle w:val="FootnoteReference"/>
          <w:rFonts w:cs="Arial"/>
        </w:rPr>
        <w:footnoteReference w:id="428"/>
      </w:r>
      <w:r w:rsidRPr="008D1229">
        <w:t xml:space="preserve"> for that Census, divulge or communicate any of </w:t>
      </w:r>
      <w:r w:rsidRPr="008D1229">
        <w:lastRenderedPageBreak/>
        <w:t>that information to another person (except to another Archives officer for the purposes of, or in connection with, the performance of that other officer</w:t>
      </w:r>
      <w:r>
        <w:t>'</w:t>
      </w:r>
      <w:r w:rsidRPr="008D1229">
        <w:t>s duties under this Act).</w:t>
      </w:r>
      <w:r w:rsidRPr="00F86AAC">
        <w:rPr>
          <w:i w:val="0"/>
        </w:rPr>
        <w:t>"</w:t>
      </w:r>
      <w:r w:rsidRPr="00F86AAC">
        <w:rPr>
          <w:rFonts w:hint="eastAsia"/>
          <w:i w:val="0"/>
        </w:rPr>
        <w:t xml:space="preserve"> </w:t>
      </w:r>
      <w:r>
        <w:t xml:space="preserve"> (</w:t>
      </w:r>
      <w:r w:rsidRPr="008D1229">
        <w:t xml:space="preserve">introduced by the </w:t>
      </w:r>
      <w:r w:rsidRPr="00E62023">
        <w:t>Census Information Legislation Amendment Act 2000</w:t>
      </w:r>
      <w:r>
        <w:t>)</w:t>
      </w:r>
    </w:p>
    <w:p w:rsidR="00DF3CF7" w:rsidRPr="00ED4865" w:rsidRDefault="00DF3CF7" w:rsidP="00DF3CF7">
      <w:pPr>
        <w:rPr>
          <w:rFonts w:cs="Arial"/>
          <w:sz w:val="20"/>
          <w:szCs w:val="20"/>
        </w:rPr>
      </w:pPr>
    </w:p>
    <w:p w:rsidR="00DF3CF7" w:rsidRPr="00ED4865" w:rsidRDefault="00DF3CF7" w:rsidP="00DF3CF7">
      <w:pPr>
        <w:rPr>
          <w:rFonts w:cs="Arial"/>
          <w:sz w:val="20"/>
          <w:szCs w:val="20"/>
        </w:rPr>
      </w:pPr>
    </w:p>
    <w:p w:rsidR="00DF3CF7" w:rsidRPr="00E62023" w:rsidRDefault="00DF3CF7" w:rsidP="00DF3CF7">
      <w:pPr>
        <w:pStyle w:val="Heading3"/>
        <w:tabs>
          <w:tab w:val="left" w:pos="1260"/>
        </w:tabs>
      </w:pPr>
      <w:r w:rsidRPr="00E62023">
        <w:t xml:space="preserve">England </w:t>
      </w:r>
      <w:r w:rsidRPr="00D86E22">
        <w:rPr>
          <w:rFonts w:cs="Arial"/>
          <w:kern w:val="2"/>
          <w:szCs w:val="22"/>
          <w:lang w:val="en-US"/>
        </w:rPr>
        <w:t>–</w:t>
      </w:r>
      <w:r>
        <w:rPr>
          <w:rFonts w:hint="eastAsia"/>
        </w:rPr>
        <w:tab/>
      </w:r>
      <w:r w:rsidRPr="00E62023">
        <w:t>Census Act</w:t>
      </w:r>
      <w:r>
        <w:t xml:space="preserve"> </w:t>
      </w:r>
      <w:r w:rsidRPr="00E62023">
        <w:t>1920</w:t>
      </w:r>
    </w:p>
    <w:p w:rsidR="00DF3CF7" w:rsidRPr="0031347F" w:rsidRDefault="00DF3CF7" w:rsidP="00DF3CF7">
      <w:pPr>
        <w:pStyle w:val="Heading3"/>
        <w:tabs>
          <w:tab w:val="left" w:pos="1260"/>
        </w:tabs>
        <w:rPr>
          <w:rFonts w:cs="Arial"/>
        </w:rPr>
      </w:pPr>
      <w:r>
        <w:rPr>
          <w:rFonts w:cs="Arial" w:hint="eastAsia"/>
        </w:rPr>
        <w:tab/>
      </w:r>
      <w:r w:rsidRPr="00AB474E">
        <w:rPr>
          <w:rFonts w:cs="Arial"/>
        </w:rPr>
        <w:t>Statistics and Registration Service Act</w:t>
      </w:r>
      <w:r w:rsidRPr="00DA29B7">
        <w:rPr>
          <w:rFonts w:cs="Arial"/>
        </w:rPr>
        <w:t xml:space="preserve"> </w:t>
      </w:r>
      <w:r w:rsidRPr="00DF1F70">
        <w:rPr>
          <w:rFonts w:cs="Arial"/>
        </w:rPr>
        <w:t xml:space="preserve">2007 </w:t>
      </w:r>
    </w:p>
    <w:p w:rsidR="00DF3CF7" w:rsidRPr="008D1229" w:rsidRDefault="00DF3CF7" w:rsidP="00DF3CF7">
      <w:pPr>
        <w:rPr>
          <w:rFonts w:cs="Arial"/>
          <w:b/>
        </w:rPr>
      </w:pPr>
    </w:p>
    <w:p w:rsidR="00DF3CF7" w:rsidRPr="00247DF7" w:rsidRDefault="00DF3CF7" w:rsidP="00DF3CF7">
      <w:pPr>
        <w:rPr>
          <w:b/>
        </w:rPr>
      </w:pPr>
      <w:r>
        <w:t>6.46</w:t>
      </w:r>
      <w:r w:rsidRPr="00247DF7">
        <w:tab/>
      </w:r>
      <w:r w:rsidRPr="00247DF7">
        <w:tab/>
        <w:t xml:space="preserve">The Census Act </w:t>
      </w:r>
      <w:r>
        <w:t xml:space="preserve">1920 </w:t>
      </w:r>
      <w:r w:rsidRPr="00247DF7">
        <w:t>and the Statistics and Registration Service Act 2007 (</w:t>
      </w:r>
      <w:r w:rsidRPr="00733425">
        <w:t>"</w:t>
      </w:r>
      <w:r w:rsidRPr="00624658">
        <w:rPr>
          <w:b/>
        </w:rPr>
        <w:t>SRSA</w:t>
      </w:r>
      <w:r w:rsidRPr="00733425">
        <w:t>"</w:t>
      </w:r>
      <w:r w:rsidRPr="00247DF7">
        <w:t xml:space="preserve">) do not contain provisions mandating the destruction of census data after the completion of a census exercise. </w:t>
      </w:r>
    </w:p>
    <w:p w:rsidR="00DF3CF7" w:rsidRPr="008D1229" w:rsidRDefault="00DF3CF7" w:rsidP="00DF3CF7">
      <w:pPr>
        <w:rPr>
          <w:rFonts w:cs="Arial"/>
        </w:rPr>
      </w:pPr>
    </w:p>
    <w:p w:rsidR="00DF3CF7" w:rsidRPr="008D1229" w:rsidRDefault="00DF3CF7" w:rsidP="00DF3CF7">
      <w:r>
        <w:t>6.47</w:t>
      </w:r>
      <w:r w:rsidRPr="008D1229">
        <w:tab/>
      </w:r>
      <w:r w:rsidRPr="008D1229">
        <w:tab/>
        <w:t>Confidentiality of census data is</w:t>
      </w:r>
      <w:r>
        <w:t xml:space="preserve"> nonetheless</w:t>
      </w:r>
      <w:r w:rsidRPr="008D1229">
        <w:t xml:space="preserve"> protected under the SRSA, which prohibits the disclosure of personal information with a maximum penalty on conviction on indictment of imprisonment for two years, a fine or both</w:t>
      </w:r>
      <w:r>
        <w:t>, except where,</w:t>
      </w:r>
      <w:r w:rsidRPr="00945C59">
        <w:rPr>
          <w:i/>
        </w:rPr>
        <w:t xml:space="preserve"> inter alia</w:t>
      </w:r>
      <w:r>
        <w:t>,</w:t>
      </w:r>
      <w:r w:rsidRPr="008D1229">
        <w:t xml:space="preserve"> a disclosure:-</w:t>
      </w:r>
    </w:p>
    <w:p w:rsidR="00DF3CF7" w:rsidRPr="008D1229" w:rsidRDefault="00DF3CF7" w:rsidP="00DF3CF7">
      <w:pPr>
        <w:rPr>
          <w:rFonts w:cs="Arial"/>
        </w:rPr>
      </w:pPr>
    </w:p>
    <w:p w:rsidR="00DF3CF7" w:rsidRPr="004E2572" w:rsidRDefault="00DF3CF7" w:rsidP="00D86E22">
      <w:pPr>
        <w:pStyle w:val="ListParagraph"/>
        <w:widowControl/>
        <w:numPr>
          <w:ilvl w:val="0"/>
          <w:numId w:val="46"/>
        </w:numPr>
        <w:contextualSpacing w:val="0"/>
        <w:rPr>
          <w:rFonts w:cs="Arial"/>
        </w:rPr>
      </w:pPr>
      <w:r w:rsidRPr="004E2572">
        <w:rPr>
          <w:rFonts w:cs="Arial"/>
        </w:rPr>
        <w:t>is required or permitted by any enactment, or</w:t>
      </w:r>
    </w:p>
    <w:p w:rsidR="00DF3CF7" w:rsidRPr="004E2572" w:rsidRDefault="00DF3CF7" w:rsidP="00D86E22">
      <w:pPr>
        <w:pStyle w:val="ListParagraph"/>
        <w:widowControl/>
        <w:numPr>
          <w:ilvl w:val="0"/>
          <w:numId w:val="46"/>
        </w:numPr>
        <w:contextualSpacing w:val="0"/>
        <w:rPr>
          <w:rFonts w:cs="Arial"/>
        </w:rPr>
      </w:pPr>
      <w:r w:rsidRPr="00663609">
        <w:rPr>
          <w:rFonts w:cs="Arial"/>
        </w:rPr>
        <w:t>is made with the consent of the person to whom it relates.</w:t>
      </w:r>
      <w:r w:rsidRPr="008D1229">
        <w:rPr>
          <w:rStyle w:val="FootnoteReference"/>
          <w:rFonts w:cs="Arial"/>
        </w:rPr>
        <w:footnoteReference w:id="429"/>
      </w:r>
      <w:r w:rsidRPr="004E2572">
        <w:rPr>
          <w:rFonts w:cs="Arial"/>
        </w:rPr>
        <w:t xml:space="preserve"> </w:t>
      </w:r>
    </w:p>
    <w:p w:rsidR="00DF3CF7" w:rsidRPr="008D1229" w:rsidRDefault="00DF3CF7" w:rsidP="00DF3CF7">
      <w:pPr>
        <w:rPr>
          <w:rFonts w:cs="Arial"/>
          <w:b/>
        </w:rPr>
      </w:pPr>
    </w:p>
    <w:p w:rsidR="00DF3CF7" w:rsidRPr="008D1229" w:rsidRDefault="00DF3CF7" w:rsidP="00DF3CF7">
      <w:r>
        <w:t>6.48</w:t>
      </w:r>
      <w:r w:rsidRPr="008D1229">
        <w:tab/>
      </w:r>
      <w:r w:rsidRPr="008D1229">
        <w:tab/>
        <w:t>The form of census questionnaire states clearly that personal information collected is protected by law and that census information is kept confidential for 100</w:t>
      </w:r>
      <w:r w:rsidRPr="008D1229">
        <w:rPr>
          <w:lang w:val="en-US"/>
        </w:rPr>
        <w:t> </w:t>
      </w:r>
      <w:r w:rsidRPr="008D1229">
        <w:t>years.</w:t>
      </w:r>
      <w:r w:rsidRPr="008D1229">
        <w:rPr>
          <w:rStyle w:val="FootnoteReference"/>
          <w:rFonts w:cs="Arial"/>
        </w:rPr>
        <w:footnoteReference w:id="430"/>
      </w:r>
      <w:r w:rsidRPr="008D1229">
        <w:t xml:space="preserve">  </w:t>
      </w:r>
      <w:r>
        <w:t>T</w:t>
      </w:r>
      <w:r w:rsidRPr="008D1229">
        <w:t xml:space="preserve">he specific reference to </w:t>
      </w:r>
      <w:r>
        <w:t>"</w:t>
      </w:r>
      <w:r w:rsidRPr="008D1229">
        <w:t>100 years</w:t>
      </w:r>
      <w:r>
        <w:t>"</w:t>
      </w:r>
      <w:r w:rsidRPr="008D1229">
        <w:t xml:space="preserve"> is found in neither the Census Act 1920 nor the SRSA, and appears to reflect simply the presumed lifespan of an individual.</w:t>
      </w:r>
      <w:r w:rsidRPr="008D1229">
        <w:rPr>
          <w:rStyle w:val="FootnoteReference"/>
          <w:rFonts w:cs="Arial"/>
        </w:rPr>
        <w:footnoteReference w:id="431"/>
      </w:r>
      <w:r w:rsidRPr="008D1229">
        <w:t xml:space="preserve">  Moreover, during the passage of the relevant legislation, there did not appear to be any discussion</w:t>
      </w:r>
      <w:r>
        <w:t>,</w:t>
      </w:r>
      <w:r w:rsidRPr="008D1229">
        <w:t xml:space="preserve"> </w:t>
      </w:r>
      <w:r>
        <w:t xml:space="preserve">as </w:t>
      </w:r>
      <w:r w:rsidRPr="008D1229">
        <w:t>in Australia</w:t>
      </w:r>
      <w:r>
        <w:t>,</w:t>
      </w:r>
      <w:r w:rsidRPr="008D1229">
        <w:t xml:space="preserve"> of giving an individual the choice to agree to have his</w:t>
      </w:r>
      <w:r>
        <w:t xml:space="preserve"> </w:t>
      </w:r>
      <w:r w:rsidRPr="008D1229">
        <w:t xml:space="preserve">own census information </w:t>
      </w:r>
      <w:r>
        <w:t>to be</w:t>
      </w:r>
      <w:r w:rsidRPr="008D1229">
        <w:t xml:space="preserve"> made available.</w:t>
      </w:r>
      <w:r>
        <w:t xml:space="preserve">  </w:t>
      </w:r>
      <w:r w:rsidRPr="008D1229">
        <w:t>The census records currently available are those conducted between 1841 and 1911, and can be accessed online.</w:t>
      </w:r>
    </w:p>
    <w:p w:rsidR="00DF3CF7" w:rsidRPr="00ED4865" w:rsidRDefault="00DF3CF7" w:rsidP="00DF3CF7">
      <w:pPr>
        <w:rPr>
          <w:rFonts w:cs="Arial"/>
          <w:sz w:val="20"/>
          <w:szCs w:val="20"/>
          <w:lang w:val="en-US"/>
        </w:rPr>
      </w:pPr>
    </w:p>
    <w:p w:rsidR="00DF3CF7" w:rsidRPr="00ED4865" w:rsidRDefault="00DF3CF7" w:rsidP="00DF3CF7">
      <w:pPr>
        <w:rPr>
          <w:rFonts w:cs="Arial"/>
          <w:sz w:val="20"/>
          <w:szCs w:val="20"/>
          <w:lang w:val="en-US"/>
        </w:rPr>
      </w:pPr>
    </w:p>
    <w:p w:rsidR="00DF3CF7" w:rsidRPr="00DF1F70" w:rsidRDefault="00DF3CF7" w:rsidP="00DF3CF7">
      <w:pPr>
        <w:pStyle w:val="Heading3"/>
      </w:pPr>
      <w:r w:rsidRPr="008D1229">
        <w:t>Ireland</w:t>
      </w:r>
      <w:r>
        <w:rPr>
          <w:rFonts w:hint="eastAsia"/>
        </w:rPr>
        <w:t xml:space="preserve"> </w:t>
      </w:r>
      <w:r w:rsidRPr="00D86E22">
        <w:rPr>
          <w:rFonts w:cs="Arial"/>
          <w:kern w:val="2"/>
          <w:szCs w:val="22"/>
          <w:lang w:val="en-US"/>
        </w:rPr>
        <w:t>–</w:t>
      </w:r>
      <w:r>
        <w:rPr>
          <w:rFonts w:hint="eastAsia"/>
        </w:rPr>
        <w:t xml:space="preserve"> </w:t>
      </w:r>
      <w:r w:rsidRPr="00AB474E">
        <w:t>Statistics Act 1993</w:t>
      </w:r>
      <w:r w:rsidRPr="00DF1F70">
        <w:t xml:space="preserve"> </w:t>
      </w:r>
    </w:p>
    <w:p w:rsidR="00DF3CF7" w:rsidRPr="008D1229" w:rsidRDefault="00DF3CF7" w:rsidP="00DF3CF7"/>
    <w:p w:rsidR="00DF3CF7" w:rsidRPr="008D1229" w:rsidRDefault="00DF3CF7" w:rsidP="00DF3CF7">
      <w:pPr>
        <w:rPr>
          <w:rFonts w:cs="Arial"/>
        </w:rPr>
      </w:pPr>
      <w:r>
        <w:rPr>
          <w:rFonts w:cs="Arial"/>
        </w:rPr>
        <w:t>6.49</w:t>
      </w:r>
      <w:r w:rsidRPr="008D1229">
        <w:rPr>
          <w:rFonts w:cs="Arial"/>
        </w:rPr>
        <w:tab/>
      </w:r>
      <w:r w:rsidRPr="008D1229">
        <w:rPr>
          <w:rFonts w:cs="Arial"/>
        </w:rPr>
        <w:tab/>
        <w:t>The primary piece of legislation in Ireland is the Statistics Act</w:t>
      </w:r>
      <w:r>
        <w:rPr>
          <w:rFonts w:cs="Arial"/>
        </w:rPr>
        <w:t xml:space="preserve"> 1993 (</w:t>
      </w:r>
      <w:r w:rsidRPr="00733425">
        <w:rPr>
          <w:rFonts w:cs="Arial"/>
        </w:rPr>
        <w:t>"</w:t>
      </w:r>
      <w:r w:rsidRPr="003533AC">
        <w:rPr>
          <w:rFonts w:cs="Arial"/>
          <w:b/>
        </w:rPr>
        <w:t>Statistics Act</w:t>
      </w:r>
      <w:r w:rsidRPr="00733425">
        <w:rPr>
          <w:rFonts w:cs="Arial"/>
        </w:rPr>
        <w:t>"</w:t>
      </w:r>
      <w:r>
        <w:rPr>
          <w:rFonts w:cs="Arial"/>
        </w:rPr>
        <w:t>)</w:t>
      </w:r>
      <w:r w:rsidRPr="008D1229">
        <w:rPr>
          <w:rFonts w:cs="Arial"/>
        </w:rPr>
        <w:t xml:space="preserve">.  It does not require census records to be destroyed after the completion of a census.  The Statistics Act however stipulates that all information collected under the Act shall be used only for statistical </w:t>
      </w:r>
      <w:r w:rsidRPr="008D1229">
        <w:rPr>
          <w:rFonts w:cs="Arial"/>
        </w:rPr>
        <w:lastRenderedPageBreak/>
        <w:t>compilation and analysis purposes; and that no information which can be related to an identifiable person or undertaking shall be disseminated save in limited circumstances, for example, for bringing a prosecution for an offence under the Act.  Contravention of these provisions is an offence.</w:t>
      </w:r>
      <w:r w:rsidRPr="008D1229">
        <w:rPr>
          <w:rStyle w:val="FootnoteReference"/>
          <w:rFonts w:cs="Arial"/>
        </w:rPr>
        <w:footnoteReference w:id="432"/>
      </w:r>
      <w:r w:rsidRPr="008D1229">
        <w:rPr>
          <w:rFonts w:cs="Arial"/>
        </w:rPr>
        <w:t xml:space="preserve">  </w:t>
      </w:r>
      <w:r>
        <w:rPr>
          <w:rFonts w:cs="Arial"/>
        </w:rPr>
        <w:t>In the case of a census of population, however, t</w:t>
      </w:r>
      <w:r w:rsidRPr="008D1229">
        <w:rPr>
          <w:rFonts w:cs="Arial"/>
        </w:rPr>
        <w:t xml:space="preserve">hese restrictions shall cease to apply 100 years after the date of </w:t>
      </w:r>
      <w:r>
        <w:rPr>
          <w:rFonts w:cs="Arial"/>
        </w:rPr>
        <w:t>the relevant census</w:t>
      </w:r>
      <w:r w:rsidRPr="008D1229">
        <w:rPr>
          <w:rFonts w:cs="Arial"/>
        </w:rPr>
        <w:t>.</w:t>
      </w:r>
      <w:r w:rsidRPr="008D1229">
        <w:rPr>
          <w:rStyle w:val="FootnoteReference"/>
          <w:rFonts w:cs="Arial"/>
        </w:rPr>
        <w:footnoteReference w:id="433"/>
      </w:r>
      <w:r w:rsidRPr="008D1229">
        <w:rPr>
          <w:rFonts w:cs="Arial"/>
        </w:rPr>
        <w:t xml:space="preserve">  The most recent census records available for inspection are those conducted in 1911. </w:t>
      </w:r>
      <w:r>
        <w:rPr>
          <w:rFonts w:cs="Arial"/>
        </w:rPr>
        <w:t xml:space="preserve"> </w:t>
      </w:r>
      <w:r w:rsidRPr="008D1229">
        <w:rPr>
          <w:rFonts w:cs="Arial"/>
        </w:rPr>
        <w:t>They are held in the custody of the NAI and are also accessible online.</w:t>
      </w:r>
      <w:r w:rsidRPr="008D1229">
        <w:rPr>
          <w:rStyle w:val="FootnoteReference"/>
          <w:rFonts w:cs="Arial"/>
        </w:rPr>
        <w:footnoteReference w:id="434"/>
      </w:r>
      <w:r w:rsidRPr="008D1229">
        <w:rPr>
          <w:rFonts w:cs="Arial"/>
        </w:rPr>
        <w:t xml:space="preserve"> </w:t>
      </w:r>
    </w:p>
    <w:p w:rsidR="00DF3CF7" w:rsidRPr="008D1229" w:rsidRDefault="00DF3CF7" w:rsidP="00DF3CF7">
      <w:pPr>
        <w:rPr>
          <w:rFonts w:cs="Arial"/>
        </w:rPr>
      </w:pPr>
    </w:p>
    <w:p w:rsidR="00DF3CF7" w:rsidRPr="008D1229" w:rsidRDefault="00DF3CF7" w:rsidP="00DF3CF7">
      <w:pPr>
        <w:rPr>
          <w:rFonts w:cs="Arial"/>
        </w:rPr>
      </w:pPr>
    </w:p>
    <w:p w:rsidR="00DF3CF7" w:rsidRPr="00DF1F70" w:rsidRDefault="00DF3CF7" w:rsidP="00DF3CF7">
      <w:pPr>
        <w:pStyle w:val="Heading3"/>
      </w:pPr>
      <w:r w:rsidRPr="008D1229">
        <w:t>New Zealand</w:t>
      </w:r>
      <w:r>
        <w:rPr>
          <w:rFonts w:hint="eastAsia"/>
        </w:rPr>
        <w:t xml:space="preserve"> -</w:t>
      </w:r>
      <w:r w:rsidRPr="00D86E22">
        <w:rPr>
          <w:rFonts w:cs="Arial"/>
          <w:kern w:val="2"/>
          <w:szCs w:val="22"/>
          <w:lang w:val="en-US"/>
        </w:rPr>
        <w:t>–</w:t>
      </w:r>
      <w:r>
        <w:rPr>
          <w:rFonts w:hint="eastAsia"/>
        </w:rPr>
        <w:t xml:space="preserve"> </w:t>
      </w:r>
      <w:r w:rsidRPr="00AB474E">
        <w:t>Statistics Act 1975</w:t>
      </w:r>
      <w:r w:rsidRPr="00DF1F70">
        <w:t xml:space="preserve"> </w:t>
      </w:r>
    </w:p>
    <w:p w:rsidR="00DF3CF7" w:rsidRPr="008D1229" w:rsidRDefault="00DF3CF7" w:rsidP="00DF3CF7">
      <w:pPr>
        <w:keepNext/>
        <w:rPr>
          <w:rFonts w:cs="Arial"/>
        </w:rPr>
      </w:pPr>
    </w:p>
    <w:p w:rsidR="00DF3CF7" w:rsidRPr="008D1229" w:rsidRDefault="00DF3CF7" w:rsidP="00DF3CF7">
      <w:r>
        <w:t>6.50</w:t>
      </w:r>
      <w:r w:rsidRPr="008D1229">
        <w:tab/>
      </w:r>
      <w:r w:rsidRPr="008D1229">
        <w:tab/>
        <w:t xml:space="preserve">Similarly, the </w:t>
      </w:r>
      <w:r w:rsidRPr="00AB474E">
        <w:t>Statistics Act 1975</w:t>
      </w:r>
      <w:r>
        <w:t xml:space="preserve"> ("</w:t>
      </w:r>
      <w:r w:rsidRPr="00247DF7">
        <w:rPr>
          <w:b/>
        </w:rPr>
        <w:t>1975 Act</w:t>
      </w:r>
      <w:r>
        <w:t>")</w:t>
      </w:r>
      <w:r w:rsidRPr="008D1229">
        <w:t xml:space="preserve"> in New Zealand stipulates that information furnished to the Statistician shall only be used for statistical purposes save in limited circumstances.  Violation of the restriction may result in criminal sanction.</w:t>
      </w:r>
      <w:r w:rsidRPr="008D1229">
        <w:rPr>
          <w:rStyle w:val="FootnoteReference"/>
          <w:rFonts w:cs="Arial"/>
        </w:rPr>
        <w:footnoteReference w:id="435"/>
      </w:r>
      <w:r w:rsidRPr="008D1229">
        <w:t xml:space="preserve">    </w:t>
      </w:r>
    </w:p>
    <w:p w:rsidR="00DF3CF7" w:rsidRPr="008D1229" w:rsidRDefault="00DF3CF7" w:rsidP="00DF3CF7">
      <w:pPr>
        <w:rPr>
          <w:rFonts w:cs="Arial"/>
        </w:rPr>
      </w:pPr>
    </w:p>
    <w:p w:rsidR="00DF3CF7" w:rsidRPr="008D1229" w:rsidRDefault="00DF3CF7" w:rsidP="00DF3CF7">
      <w:r>
        <w:t>6.51</w:t>
      </w:r>
      <w:r w:rsidRPr="008D1229">
        <w:tab/>
      </w:r>
      <w:r w:rsidRPr="008D1229">
        <w:tab/>
        <w:t>Of particular interest is section 37D of the 1975 Act which provides that despite section 37 (which protects the security of information), the Statistician may authorise the disclosure, after 100 years, of census schedules that the Statistician has classified as historical documents, after having regard to the advice of the Chief Archivist as defined in the 2005 Act.</w:t>
      </w:r>
      <w:r w:rsidRPr="008D1229">
        <w:rPr>
          <w:rStyle w:val="FootnoteReference"/>
          <w:rFonts w:cs="Arial"/>
        </w:rPr>
        <w:footnoteReference w:id="436"/>
      </w:r>
    </w:p>
    <w:p w:rsidR="00DF3CF7" w:rsidRPr="008D1229" w:rsidRDefault="00DF3CF7" w:rsidP="00DF3CF7">
      <w:pPr>
        <w:ind w:firstLine="720"/>
        <w:rPr>
          <w:rFonts w:cs="Arial"/>
        </w:rPr>
      </w:pPr>
    </w:p>
    <w:p w:rsidR="00DF3CF7" w:rsidRPr="008D1229" w:rsidRDefault="00DF3CF7" w:rsidP="00DF3CF7">
      <w:r>
        <w:t>6.52</w:t>
      </w:r>
      <w:r w:rsidRPr="008D1229">
        <w:tab/>
      </w:r>
      <w:r w:rsidRPr="008D1229">
        <w:tab/>
        <w:t>Under the 2005 Act, the census schedules must be transferred to the control of the Chief Archivist and the possession of ANZ after 100 years from the census day appointed under the 1975 Act.</w:t>
      </w:r>
      <w:r w:rsidRPr="008D1229">
        <w:rPr>
          <w:rStyle w:val="FootnoteReference"/>
          <w:rFonts w:cs="Arial"/>
        </w:rPr>
        <w:footnoteReference w:id="437"/>
      </w:r>
      <w:r>
        <w:t xml:space="preserve">  </w:t>
      </w:r>
      <w:r w:rsidRPr="008D1229">
        <w:t>On and from the date of transfer, the Statistician must authorise their disclosure solely for statistical purposes.</w:t>
      </w:r>
      <w:r w:rsidRPr="008D1229">
        <w:rPr>
          <w:rStyle w:val="FootnoteReference"/>
          <w:rFonts w:cs="Arial"/>
        </w:rPr>
        <w:footnoteReference w:id="438"/>
      </w:r>
      <w:r w:rsidRPr="008D1229">
        <w:t xml:space="preserve">   </w:t>
      </w:r>
    </w:p>
    <w:p w:rsidR="00DF3CF7" w:rsidRPr="008D1229" w:rsidRDefault="00DF3CF7" w:rsidP="00DF3CF7">
      <w:pPr>
        <w:rPr>
          <w:rFonts w:cs="Arial"/>
        </w:rPr>
      </w:pPr>
    </w:p>
    <w:p w:rsidR="00DF3CF7" w:rsidRPr="008D1229" w:rsidRDefault="00DF3CF7" w:rsidP="00DF3CF7">
      <w:pPr>
        <w:rPr>
          <w:rFonts w:cs="Arial"/>
        </w:rPr>
      </w:pPr>
    </w:p>
    <w:p w:rsidR="00DF3CF7" w:rsidRPr="00EE40C3" w:rsidRDefault="00DF3CF7" w:rsidP="00DF3CF7">
      <w:pPr>
        <w:pStyle w:val="Heading3"/>
        <w:tabs>
          <w:tab w:val="left" w:pos="1260"/>
        </w:tabs>
        <w:rPr>
          <w:rFonts w:cs="Arial"/>
          <w:i w:val="0"/>
        </w:rPr>
      </w:pPr>
      <w:r w:rsidRPr="008D1229">
        <w:lastRenderedPageBreak/>
        <w:t>Singapore</w:t>
      </w:r>
      <w:r>
        <w:rPr>
          <w:rFonts w:hint="eastAsia"/>
        </w:rPr>
        <w:t xml:space="preserve"> </w:t>
      </w:r>
      <w:r w:rsidRPr="00D86E22">
        <w:rPr>
          <w:rFonts w:cs="Arial"/>
          <w:kern w:val="2"/>
          <w:szCs w:val="22"/>
          <w:lang w:val="en-US"/>
        </w:rPr>
        <w:t>–</w:t>
      </w:r>
      <w:r>
        <w:tab/>
      </w:r>
      <w:r w:rsidRPr="00AB474E">
        <w:rPr>
          <w:rFonts w:cs="Arial"/>
        </w:rPr>
        <w:t xml:space="preserve">Census Act </w:t>
      </w:r>
      <w:r>
        <w:rPr>
          <w:rFonts w:cs="Arial"/>
          <w:i w:val="0"/>
        </w:rPr>
        <w:t>(</w:t>
      </w:r>
      <w:r w:rsidRPr="00DA29B7">
        <w:rPr>
          <w:rFonts w:cs="Arial"/>
        </w:rPr>
        <w:t>Cap</w:t>
      </w:r>
      <w:r w:rsidRPr="00DF1F70">
        <w:rPr>
          <w:rFonts w:cs="Arial"/>
        </w:rPr>
        <w:t xml:space="preserve"> 35</w:t>
      </w:r>
      <w:r>
        <w:rPr>
          <w:rFonts w:cs="Arial"/>
          <w:i w:val="0"/>
        </w:rPr>
        <w:t>)</w:t>
      </w:r>
    </w:p>
    <w:p w:rsidR="00DF3CF7" w:rsidRPr="00EE40C3" w:rsidRDefault="00DF3CF7" w:rsidP="00DF3CF7">
      <w:pPr>
        <w:pStyle w:val="Heading3"/>
        <w:tabs>
          <w:tab w:val="left" w:pos="1260"/>
        </w:tabs>
        <w:rPr>
          <w:rFonts w:cs="Arial"/>
          <w:i w:val="0"/>
        </w:rPr>
      </w:pPr>
      <w:r>
        <w:rPr>
          <w:rFonts w:cs="Arial" w:hint="eastAsia"/>
        </w:rPr>
        <w:tab/>
      </w:r>
      <w:r>
        <w:rPr>
          <w:rFonts w:cs="Arial"/>
        </w:rPr>
        <w:tab/>
      </w:r>
      <w:r w:rsidRPr="00AB474E">
        <w:rPr>
          <w:rFonts w:cs="Arial"/>
        </w:rPr>
        <w:t xml:space="preserve">Statistics Act </w:t>
      </w:r>
      <w:r>
        <w:rPr>
          <w:rFonts w:cs="Arial"/>
          <w:i w:val="0"/>
        </w:rPr>
        <w:t>(</w:t>
      </w:r>
      <w:r w:rsidRPr="00AB474E">
        <w:rPr>
          <w:rFonts w:cs="Arial"/>
        </w:rPr>
        <w:t>Cap</w:t>
      </w:r>
      <w:r w:rsidRPr="00DA29B7">
        <w:rPr>
          <w:rFonts w:cs="Arial"/>
        </w:rPr>
        <w:t xml:space="preserve"> </w:t>
      </w:r>
      <w:r w:rsidRPr="00DF1F70">
        <w:rPr>
          <w:rFonts w:cs="Arial"/>
        </w:rPr>
        <w:t>317</w:t>
      </w:r>
      <w:r>
        <w:rPr>
          <w:rFonts w:cs="Arial"/>
          <w:i w:val="0"/>
        </w:rPr>
        <w:t>)</w:t>
      </w:r>
    </w:p>
    <w:p w:rsidR="00DF3CF7" w:rsidRPr="008D1229" w:rsidRDefault="00DF3CF7" w:rsidP="00DF3CF7">
      <w:pPr>
        <w:keepNext/>
        <w:rPr>
          <w:rFonts w:cs="Arial"/>
        </w:rPr>
      </w:pPr>
    </w:p>
    <w:p w:rsidR="00DF3CF7" w:rsidRPr="008D1229" w:rsidRDefault="00DF3CF7" w:rsidP="00DF3CF7">
      <w:pPr>
        <w:keepNext/>
      </w:pPr>
      <w:r>
        <w:t>6.53</w:t>
      </w:r>
      <w:r w:rsidRPr="008D1229">
        <w:tab/>
      </w:r>
      <w:r w:rsidRPr="008D1229">
        <w:tab/>
        <w:t xml:space="preserve">Neither the Census Act </w:t>
      </w:r>
      <w:r>
        <w:t xml:space="preserve">(Cap 35) </w:t>
      </w:r>
      <w:r w:rsidRPr="008D1229">
        <w:t xml:space="preserve">nor the Statistics Act </w:t>
      </w:r>
      <w:r>
        <w:t xml:space="preserve">(Cap 317) </w:t>
      </w:r>
      <w:r w:rsidRPr="008D1229">
        <w:t>in Singapore requires the destruction of census or statistical information.  These Acts contain similar provisions prohibiting the disclosure of information that may identify any person without the person</w:t>
      </w:r>
      <w:r>
        <w:t>'</w:t>
      </w:r>
      <w:r w:rsidRPr="008D1229">
        <w:t>s prior written consent.  Exceptions to the restriction are limited and appear to be exhaustive</w:t>
      </w:r>
      <w:r>
        <w:t>,</w:t>
      </w:r>
      <w:r w:rsidRPr="008D1229">
        <w:rPr>
          <w:rStyle w:val="FootnoteReference"/>
          <w:rFonts w:cs="Arial"/>
        </w:rPr>
        <w:footnoteReference w:id="439"/>
      </w:r>
      <w:r w:rsidRPr="008D1229">
        <w:t xml:space="preserve"> includ</w:t>
      </w:r>
      <w:r>
        <w:t>ing</w:t>
      </w:r>
      <w:r w:rsidRPr="008D1229">
        <w:t xml:space="preserve"> where disclosure is made for the purpose of proceedings for an offence under the relevant Act</w:t>
      </w:r>
      <w:r>
        <w:t xml:space="preserve"> (</w:t>
      </w:r>
      <w:r w:rsidRPr="008D1229">
        <w:t xml:space="preserve">but </w:t>
      </w:r>
      <w:r>
        <w:t>without</w:t>
      </w:r>
      <w:r w:rsidRPr="008D1229">
        <w:t xml:space="preserve"> allow</w:t>
      </w:r>
      <w:r>
        <w:t>ing</w:t>
      </w:r>
      <w:r w:rsidRPr="008D1229">
        <w:t xml:space="preserve"> a general disclosure after 100 years or otherwise</w:t>
      </w:r>
      <w:r>
        <w:t>)</w:t>
      </w:r>
      <w:r w:rsidRPr="008D1229">
        <w:t>.  Unauthorised disclosure of census or statistical information in contravention of the restriction is punishable by a fine or imprisonment or both.</w:t>
      </w:r>
      <w:r w:rsidRPr="008D1229">
        <w:rPr>
          <w:rStyle w:val="FootnoteReference"/>
          <w:rFonts w:cs="Arial"/>
        </w:rPr>
        <w:footnoteReference w:id="440"/>
      </w:r>
      <w:r w:rsidRPr="008D1229">
        <w:t xml:space="preserve"> </w:t>
      </w:r>
    </w:p>
    <w:p w:rsidR="00DF3CF7" w:rsidRPr="00ED4865" w:rsidRDefault="00DF3CF7" w:rsidP="00DF3CF7">
      <w:pPr>
        <w:rPr>
          <w:rFonts w:cs="Arial"/>
          <w:sz w:val="20"/>
          <w:szCs w:val="20"/>
        </w:rPr>
      </w:pPr>
    </w:p>
    <w:p w:rsidR="00DF3CF7" w:rsidRPr="00ED4865" w:rsidRDefault="00DF3CF7" w:rsidP="00DF3CF7">
      <w:pPr>
        <w:rPr>
          <w:rFonts w:cs="Arial"/>
          <w:b/>
          <w:sz w:val="20"/>
          <w:szCs w:val="20"/>
          <w:u w:val="single"/>
        </w:rPr>
      </w:pPr>
    </w:p>
    <w:p w:rsidR="00DF3CF7" w:rsidRPr="00DA29B7" w:rsidRDefault="00DF3CF7" w:rsidP="00DF3CF7">
      <w:pPr>
        <w:pStyle w:val="Heading2"/>
      </w:pPr>
      <w:r w:rsidRPr="00AB474E">
        <w:t>S</w:t>
      </w:r>
      <w:r w:rsidRPr="00DA29B7">
        <w:t>ummary</w:t>
      </w:r>
    </w:p>
    <w:p w:rsidR="00DF3CF7" w:rsidRPr="0090509D" w:rsidRDefault="00DF3CF7" w:rsidP="00DF3CF7">
      <w:pPr>
        <w:rPr>
          <w:rFonts w:cs="Arial"/>
          <w:shd w:val="clear" w:color="auto" w:fill="FFFF99"/>
        </w:rPr>
      </w:pPr>
    </w:p>
    <w:p w:rsidR="00DF3CF7" w:rsidRPr="00101146" w:rsidRDefault="00DF3CF7" w:rsidP="00DF3CF7">
      <w:r>
        <w:t>6.54</w:t>
      </w:r>
      <w:r w:rsidRPr="00101146">
        <w:tab/>
      </w:r>
      <w:r w:rsidRPr="00101146">
        <w:tab/>
        <w:t xml:space="preserve">Amongst the census and statistical legislation discussed above, the Census Ordinance in Hong Kong is the only piece of legislation that requires the destruction of census schedules as a means of confidentiality protection.  In all other jurisdictions, confidentiality is primarily protected by criminalising unauthorised disclosure.  In England, Ireland and New Zealand, the protection of confidentiality lapses 100 years from the census in question, and census information will then become publicly available.  In Australia, the relevant period is 99 years, and an individual can choose whether to have his particulars retained.  Unlike these jurisdictions, it appears there is no stipulated period after which the protection of confidentiality would expire in Singapore. </w:t>
      </w:r>
    </w:p>
    <w:p w:rsidR="00DF3CF7" w:rsidRPr="00101146" w:rsidRDefault="00DF3CF7" w:rsidP="00DF3CF7">
      <w:pPr>
        <w:rPr>
          <w:rFonts w:cs="Arial"/>
        </w:rPr>
      </w:pPr>
    </w:p>
    <w:p w:rsidR="00DF3CF7" w:rsidRPr="00101146" w:rsidRDefault="00DF3CF7" w:rsidP="00DF3CF7">
      <w:r>
        <w:t>6.55</w:t>
      </w:r>
      <w:r w:rsidRPr="00101146">
        <w:tab/>
      </w:r>
      <w:r w:rsidRPr="00101146">
        <w:tab/>
        <w:t xml:space="preserve">Confidentiality of census and statistical information will promote public cooperation in their responses, and hence enhance the quality, integrity and accuracy of the information obtained (which, in turn, enhances its historical value).  On the other hand, the information obtained is of historical value and should be preserved for policy-makers, sociologists, genealogists and other researchers.  Census information is therefore preserved and made publicly available after a period of time in some of the jurisdictions studied above.  This shows that it is possible to strike a balance between the objective of keeping confidentiality and that of preserving the information for future references. </w:t>
      </w:r>
    </w:p>
    <w:p w:rsidR="00DF3CF7" w:rsidRPr="00ED4865" w:rsidRDefault="00DF3CF7" w:rsidP="00DF3CF7">
      <w:pPr>
        <w:rPr>
          <w:rFonts w:cs="Arial"/>
          <w:sz w:val="20"/>
          <w:szCs w:val="20"/>
        </w:rPr>
      </w:pPr>
    </w:p>
    <w:p w:rsidR="00DF3CF7" w:rsidRPr="00ED4865" w:rsidRDefault="00DF3CF7" w:rsidP="00DF3CF7">
      <w:pPr>
        <w:rPr>
          <w:rFonts w:cs="Arial"/>
          <w:b/>
          <w:sz w:val="20"/>
          <w:szCs w:val="20"/>
          <w:lang w:val="en-US"/>
        </w:rPr>
      </w:pPr>
    </w:p>
    <w:p w:rsidR="00DF3CF7" w:rsidRPr="00101146" w:rsidRDefault="00DF3CF7" w:rsidP="00DF3CF7">
      <w:pPr>
        <w:rPr>
          <w:rFonts w:cs="Arial"/>
          <w:b/>
          <w:sz w:val="28"/>
          <w:szCs w:val="28"/>
          <w:lang w:val="en-US"/>
        </w:rPr>
      </w:pPr>
      <w:r w:rsidRPr="00101146">
        <w:rPr>
          <w:rFonts w:cs="Arial"/>
          <w:b/>
          <w:sz w:val="28"/>
          <w:szCs w:val="28"/>
          <w:lang w:val="en-US"/>
        </w:rPr>
        <w:t xml:space="preserve">Our </w:t>
      </w:r>
      <w:r>
        <w:rPr>
          <w:rFonts w:cs="Arial" w:hint="eastAsia"/>
          <w:b/>
          <w:sz w:val="28"/>
          <w:szCs w:val="28"/>
          <w:lang w:val="en-US"/>
        </w:rPr>
        <w:t>p</w:t>
      </w:r>
      <w:r w:rsidRPr="00101146">
        <w:rPr>
          <w:rFonts w:cs="Arial"/>
          <w:b/>
          <w:sz w:val="28"/>
          <w:szCs w:val="28"/>
          <w:lang w:val="en-US"/>
        </w:rPr>
        <w:t xml:space="preserve">rovisional </w:t>
      </w:r>
      <w:r>
        <w:rPr>
          <w:rFonts w:cs="Arial" w:hint="eastAsia"/>
          <w:b/>
          <w:sz w:val="28"/>
          <w:szCs w:val="28"/>
          <w:lang w:val="en-US"/>
        </w:rPr>
        <w:t>v</w:t>
      </w:r>
      <w:r w:rsidRPr="00101146">
        <w:rPr>
          <w:rFonts w:cs="Arial"/>
          <w:b/>
          <w:sz w:val="28"/>
          <w:szCs w:val="28"/>
          <w:lang w:val="en-US"/>
        </w:rPr>
        <w:t>iew</w:t>
      </w:r>
    </w:p>
    <w:p w:rsidR="00DF3CF7" w:rsidRPr="00101146" w:rsidRDefault="00DF3CF7" w:rsidP="00DF3CF7">
      <w:pPr>
        <w:rPr>
          <w:rFonts w:cs="Arial"/>
          <w:lang w:val="en-US"/>
        </w:rPr>
      </w:pPr>
    </w:p>
    <w:p w:rsidR="00DF3CF7" w:rsidRPr="0090509D" w:rsidRDefault="00DF3CF7" w:rsidP="00DF3CF7">
      <w:pPr>
        <w:rPr>
          <w:shd w:val="clear" w:color="auto" w:fill="FFFF99"/>
        </w:rPr>
      </w:pPr>
      <w:r>
        <w:t>6.56</w:t>
      </w:r>
      <w:r w:rsidRPr="00101146">
        <w:tab/>
      </w:r>
      <w:r w:rsidRPr="00101146">
        <w:tab/>
        <w:t xml:space="preserve">After careful deliberation, </w:t>
      </w:r>
      <w:r w:rsidRPr="008D7192">
        <w:rPr>
          <w:b/>
        </w:rPr>
        <w:t>our provisional view is to follow the approach of the jurisdictions where census information is preserved</w:t>
      </w:r>
      <w:r w:rsidRPr="00101146">
        <w:t xml:space="preserve">.  </w:t>
      </w:r>
      <w:r w:rsidRPr="00101146">
        <w:lastRenderedPageBreak/>
        <w:t xml:space="preserve">To this end, we invite views from the public specifically on some relevant questions. </w:t>
      </w:r>
      <w:r w:rsidRPr="00752FBB">
        <w:t xml:space="preserve"> </w:t>
      </w:r>
    </w:p>
    <w:p w:rsidR="00DF3CF7" w:rsidRPr="008D1229" w:rsidRDefault="00DF3CF7" w:rsidP="00DF3CF7">
      <w:pPr>
        <w:rPr>
          <w:rFonts w:cs="Arial"/>
        </w:rPr>
      </w:pPr>
    </w:p>
    <w:p w:rsidR="00DF3CF7" w:rsidRPr="008D1229" w:rsidRDefault="00DF3CF7" w:rsidP="00DF3CF7">
      <w:pPr>
        <w:rPr>
          <w:rFonts w:cs="Arial"/>
        </w:rPr>
      </w:pPr>
    </w:p>
    <w:p w:rsidR="00DF3CF7" w:rsidRDefault="00DF3CF7" w:rsidP="00DF3CF7">
      <w:pPr>
        <w:pBdr>
          <w:top w:val="single" w:sz="4" w:space="8" w:color="auto"/>
          <w:left w:val="single" w:sz="4" w:space="8" w:color="auto"/>
          <w:bottom w:val="single" w:sz="4" w:space="5" w:color="auto"/>
          <w:right w:val="single" w:sz="4" w:space="8" w:color="auto"/>
        </w:pBdr>
        <w:ind w:left="1440" w:right="720" w:hanging="720"/>
        <w:rPr>
          <w:rFonts w:cs="Arial"/>
          <w:b/>
          <w:lang w:val="en-US"/>
        </w:rPr>
      </w:pPr>
      <w:r>
        <w:rPr>
          <w:rFonts w:cs="Arial"/>
          <w:b/>
          <w:lang w:val="en-US"/>
        </w:rPr>
        <w:t>Consultation Questions 8</w:t>
      </w:r>
    </w:p>
    <w:p w:rsidR="00DF3CF7" w:rsidRPr="00101146" w:rsidRDefault="00DF3CF7" w:rsidP="00DF3CF7">
      <w:pPr>
        <w:pBdr>
          <w:top w:val="single" w:sz="4" w:space="8" w:color="auto"/>
          <w:left w:val="single" w:sz="4" w:space="8" w:color="auto"/>
          <w:bottom w:val="single" w:sz="4" w:space="5" w:color="auto"/>
          <w:right w:val="single" w:sz="4" w:space="8" w:color="auto"/>
        </w:pBdr>
        <w:ind w:left="1440" w:right="720" w:hanging="720"/>
        <w:rPr>
          <w:rFonts w:cs="Arial"/>
          <w:b/>
          <w:lang w:val="en-US"/>
        </w:rPr>
      </w:pPr>
    </w:p>
    <w:p w:rsidR="00DF3CF7" w:rsidRPr="00101146" w:rsidRDefault="00DF3CF7" w:rsidP="00D86E22">
      <w:pPr>
        <w:pStyle w:val="ListParagraph"/>
        <w:widowControl/>
        <w:numPr>
          <w:ilvl w:val="0"/>
          <w:numId w:val="45"/>
        </w:numPr>
        <w:pBdr>
          <w:top w:val="single" w:sz="4" w:space="8" w:color="auto"/>
          <w:left w:val="single" w:sz="4" w:space="8" w:color="auto"/>
          <w:bottom w:val="single" w:sz="4" w:space="5" w:color="auto"/>
          <w:right w:val="single" w:sz="4" w:space="8" w:color="auto"/>
        </w:pBdr>
        <w:ind w:left="1418" w:right="720" w:hanging="698"/>
        <w:contextualSpacing w:val="0"/>
        <w:rPr>
          <w:rFonts w:cs="Arial"/>
          <w:b/>
          <w:kern w:val="2"/>
        </w:rPr>
      </w:pPr>
      <w:r>
        <w:rPr>
          <w:rFonts w:cs="Arial"/>
          <w:b/>
          <w:kern w:val="2"/>
          <w:lang w:val="en-US"/>
        </w:rPr>
        <w:t xml:space="preserve">Should census schedules be preserved as archives after a census exercise? </w:t>
      </w:r>
    </w:p>
    <w:p w:rsidR="00DF3CF7" w:rsidRPr="009918BD" w:rsidRDefault="00DF3CF7" w:rsidP="00DF3CF7">
      <w:pPr>
        <w:pBdr>
          <w:top w:val="single" w:sz="4" w:space="8" w:color="auto"/>
          <w:left w:val="single" w:sz="4" w:space="8" w:color="auto"/>
          <w:bottom w:val="single" w:sz="4" w:space="5" w:color="auto"/>
          <w:right w:val="single" w:sz="4" w:space="8" w:color="auto"/>
        </w:pBdr>
        <w:ind w:left="720" w:right="720"/>
        <w:rPr>
          <w:rFonts w:cs="Arial"/>
          <w:b/>
          <w:kern w:val="2"/>
          <w:lang w:val="en-US"/>
        </w:rPr>
      </w:pPr>
    </w:p>
    <w:p w:rsidR="00DF3CF7" w:rsidRPr="00101146" w:rsidRDefault="00DF3CF7" w:rsidP="00D86E22">
      <w:pPr>
        <w:pStyle w:val="ListParagraph"/>
        <w:widowControl/>
        <w:numPr>
          <w:ilvl w:val="0"/>
          <w:numId w:val="45"/>
        </w:numPr>
        <w:pBdr>
          <w:top w:val="single" w:sz="4" w:space="8" w:color="auto"/>
          <w:left w:val="single" w:sz="4" w:space="8" w:color="auto"/>
          <w:bottom w:val="single" w:sz="4" w:space="5" w:color="auto"/>
          <w:right w:val="single" w:sz="4" w:space="8" w:color="auto"/>
        </w:pBdr>
        <w:ind w:left="1418" w:right="720" w:hanging="698"/>
        <w:contextualSpacing w:val="0"/>
        <w:rPr>
          <w:rFonts w:cs="Arial"/>
          <w:b/>
          <w:kern w:val="2"/>
        </w:rPr>
      </w:pPr>
      <w:r>
        <w:rPr>
          <w:rFonts w:cs="Arial"/>
          <w:b/>
          <w:kern w:val="2"/>
          <w:lang w:val="en-US"/>
        </w:rPr>
        <w:t>If the answer to (i) is in the affirmative, should the subject individual's consent be required as a precondition for preserving his census schedule and what are your reasons?</w:t>
      </w:r>
    </w:p>
    <w:p w:rsidR="00DF3CF7" w:rsidRPr="008D1229" w:rsidRDefault="00DF3CF7" w:rsidP="00DF3CF7">
      <w:pPr>
        <w:rPr>
          <w:rFonts w:cs="Arial"/>
        </w:rPr>
      </w:pPr>
    </w:p>
    <w:p w:rsidR="00DF3CF7" w:rsidRPr="008D1229" w:rsidRDefault="00DF3CF7" w:rsidP="00DF3CF7">
      <w:pPr>
        <w:ind w:rightChars="153" w:right="367"/>
        <w:rPr>
          <w:rFonts w:cs="Arial"/>
        </w:rPr>
      </w:pPr>
    </w:p>
    <w:p w:rsidR="00DF3CF7" w:rsidRDefault="00DF3CF7" w:rsidP="00DF3CF7">
      <w:pPr>
        <w:pStyle w:val="Heading2"/>
        <w:keepNext w:val="0"/>
        <w:rPr>
          <w:rFonts w:cs="Arial"/>
        </w:rPr>
      </w:pPr>
    </w:p>
    <w:p w:rsidR="00DF3CF7" w:rsidRPr="008D1229" w:rsidRDefault="00DF3CF7" w:rsidP="00DF3CF7">
      <w:pPr>
        <w:rPr>
          <w:rFonts w:cs="Arial"/>
        </w:rPr>
      </w:pPr>
    </w:p>
    <w:p w:rsidR="00DF3CF7" w:rsidRPr="008D1229" w:rsidRDefault="00DF3CF7" w:rsidP="00DF3CF7">
      <w:pPr>
        <w:rPr>
          <w:rFonts w:cs="Arial"/>
        </w:rPr>
      </w:pPr>
    </w:p>
    <w:p w:rsidR="00DF3CF7" w:rsidRPr="008D1229" w:rsidRDefault="00DF3CF7" w:rsidP="00DF3CF7">
      <w:pPr>
        <w:rPr>
          <w:rFonts w:cs="Arial"/>
        </w:rPr>
      </w:pPr>
    </w:p>
    <w:p w:rsidR="00DF3CF7" w:rsidRDefault="00DF3CF7" w:rsidP="007572E9">
      <w:pPr>
        <w:rPr>
          <w:rFonts w:cs="Arial"/>
          <w:b/>
          <w:sz w:val="20"/>
          <w:szCs w:val="20"/>
        </w:rPr>
        <w:sectPr w:rsidR="00DF3CF7" w:rsidSect="00DA7492">
          <w:footnotePr>
            <w:numStart w:val="49"/>
            <w:numRestart w:val="eachSect"/>
          </w:footnotePr>
          <w:pgSz w:w="11906" w:h="16838" w:code="9"/>
          <w:pgMar w:top="1440" w:right="1800" w:bottom="1440" w:left="1800" w:header="720" w:footer="720" w:gutter="0"/>
          <w:cols w:space="425"/>
          <w:docGrid w:type="linesAndChars" w:linePitch="360"/>
        </w:sectPr>
      </w:pPr>
    </w:p>
    <w:p w:rsidR="00DF3CF7" w:rsidRPr="00B045D7" w:rsidRDefault="00DF3CF7" w:rsidP="00DF3CF7">
      <w:pPr>
        <w:pStyle w:val="Heading1"/>
      </w:pPr>
      <w:r w:rsidRPr="00B045D7">
        <w:rPr>
          <w:rFonts w:hint="eastAsia"/>
        </w:rPr>
        <w:lastRenderedPageBreak/>
        <w:t xml:space="preserve">Chapter </w:t>
      </w:r>
      <w:r>
        <w:t>7</w:t>
      </w:r>
    </w:p>
    <w:p w:rsidR="00DF3CF7" w:rsidRPr="00885D59" w:rsidRDefault="00DF3CF7" w:rsidP="00DF3CF7">
      <w:pPr>
        <w:tabs>
          <w:tab w:val="clear" w:pos="1418"/>
          <w:tab w:val="left" w:pos="1440"/>
        </w:tabs>
        <w:rPr>
          <w:rFonts w:cs="Arial"/>
          <w:b/>
          <w:sz w:val="36"/>
          <w:szCs w:val="36"/>
          <w:u w:val="single"/>
        </w:rPr>
      </w:pPr>
    </w:p>
    <w:p w:rsidR="00DF3CF7" w:rsidRDefault="00DF3CF7" w:rsidP="00DF3CF7">
      <w:pPr>
        <w:pStyle w:val="Heading1"/>
        <w:rPr>
          <w:lang w:eastAsia="zh-HK"/>
        </w:rPr>
      </w:pPr>
      <w:r w:rsidRPr="002F3A11">
        <w:t xml:space="preserve">Transfer of </w:t>
      </w:r>
      <w:r>
        <w:rPr>
          <w:rFonts w:hint="eastAsia"/>
        </w:rPr>
        <w:t>r</w:t>
      </w:r>
      <w:r w:rsidRPr="002F3A11">
        <w:t xml:space="preserve">ecords to </w:t>
      </w:r>
      <w:r>
        <w:t>a</w:t>
      </w:r>
      <w:r w:rsidRPr="002F3A11">
        <w:t xml:space="preserve">rchival </w:t>
      </w:r>
      <w:r>
        <w:t>a</w:t>
      </w:r>
      <w:r w:rsidRPr="002F3A11">
        <w:t>uthority</w:t>
      </w:r>
    </w:p>
    <w:p w:rsidR="00DF3CF7" w:rsidRPr="00B1030A" w:rsidRDefault="00DF3CF7" w:rsidP="00DF3CF7">
      <w:pPr>
        <w:tabs>
          <w:tab w:val="clear" w:pos="1418"/>
          <w:tab w:val="left" w:pos="1440"/>
        </w:tabs>
        <w:rPr>
          <w:rFonts w:cs="Arial"/>
        </w:rPr>
      </w:pPr>
      <w:r w:rsidRPr="00123218">
        <w:rPr>
          <w:rFonts w:cs="Arial"/>
          <w:sz w:val="36"/>
          <w:szCs w:val="36"/>
        </w:rPr>
        <w:t>_________________________________</w:t>
      </w:r>
      <w:r w:rsidRPr="00123218">
        <w:rPr>
          <w:rFonts w:cs="Arial" w:hint="eastAsia"/>
          <w:sz w:val="36"/>
          <w:szCs w:val="36"/>
        </w:rPr>
        <w:t>_</w:t>
      </w:r>
    </w:p>
    <w:p w:rsidR="00DF3CF7" w:rsidRDefault="00DF3CF7" w:rsidP="00DF3CF7">
      <w:pPr>
        <w:tabs>
          <w:tab w:val="clear" w:pos="1418"/>
          <w:tab w:val="left" w:pos="1440"/>
        </w:tabs>
        <w:rPr>
          <w:rFonts w:cs="Arial"/>
          <w:b/>
          <w:u w:val="single"/>
        </w:rPr>
      </w:pPr>
    </w:p>
    <w:p w:rsidR="00DF3CF7" w:rsidRPr="00EF265A" w:rsidRDefault="00DF3CF7" w:rsidP="00DF3CF7">
      <w:pPr>
        <w:tabs>
          <w:tab w:val="clear" w:pos="1418"/>
          <w:tab w:val="left" w:pos="1440"/>
        </w:tabs>
        <w:rPr>
          <w:rFonts w:cs="Arial"/>
          <w:b/>
          <w:u w:val="single"/>
        </w:rPr>
      </w:pPr>
    </w:p>
    <w:p w:rsidR="00DF3CF7" w:rsidRDefault="00DF3CF7" w:rsidP="00DF3CF7">
      <w:pPr>
        <w:tabs>
          <w:tab w:val="clear" w:pos="1418"/>
          <w:tab w:val="left" w:pos="1440"/>
        </w:tabs>
        <w:rPr>
          <w:rFonts w:cs="Arial"/>
          <w:b/>
          <w:u w:val="single"/>
        </w:rPr>
      </w:pPr>
    </w:p>
    <w:p w:rsidR="00DF3CF7" w:rsidRDefault="00DF3CF7" w:rsidP="00DF3CF7">
      <w:pPr>
        <w:pStyle w:val="Heading2"/>
      </w:pPr>
      <w:r w:rsidRPr="00557C4B">
        <w:t xml:space="preserve">Introduction </w:t>
      </w:r>
    </w:p>
    <w:p w:rsidR="00DF3CF7" w:rsidRPr="00CE0276" w:rsidRDefault="00DF3CF7" w:rsidP="00DF3CF7">
      <w:pPr>
        <w:tabs>
          <w:tab w:val="clear" w:pos="1418"/>
          <w:tab w:val="left" w:pos="1440"/>
        </w:tabs>
        <w:rPr>
          <w:rFonts w:cs="Arial"/>
          <w:u w:val="single"/>
        </w:rPr>
      </w:pPr>
    </w:p>
    <w:p w:rsidR="00DF3CF7" w:rsidRPr="00051E58" w:rsidRDefault="00DF3CF7" w:rsidP="00DF3CF7">
      <w:pPr>
        <w:rPr>
          <w:rFonts w:ascii="Times New Roman" w:eastAsia="Times New Roman" w:hAnsi="Times New Roman"/>
          <w:lang w:val="en-US"/>
        </w:rPr>
      </w:pPr>
    </w:p>
    <w:p w:rsidR="00DF3CF7" w:rsidRDefault="00DF3CF7" w:rsidP="00DF3CF7">
      <w:pPr>
        <w:rPr>
          <w:lang w:eastAsia="zh-HK"/>
        </w:rPr>
      </w:pPr>
      <w:r>
        <w:t>7</w:t>
      </w:r>
      <w:r>
        <w:rPr>
          <w:rFonts w:hint="eastAsia"/>
        </w:rPr>
        <w:t>.1</w:t>
      </w:r>
      <w:r>
        <w:tab/>
      </w:r>
      <w:r>
        <w:rPr>
          <w:rFonts w:hint="eastAsia"/>
        </w:rPr>
        <w:tab/>
      </w:r>
      <w:r>
        <w:t xml:space="preserve">There </w:t>
      </w:r>
      <w:r>
        <w:rPr>
          <w:rFonts w:hint="eastAsia"/>
          <w:lang w:eastAsia="zh-HK"/>
        </w:rPr>
        <w:t>is one</w:t>
      </w:r>
      <w:r>
        <w:t xml:space="preserve"> provision that </w:t>
      </w:r>
      <w:r>
        <w:rPr>
          <w:rFonts w:hint="eastAsia"/>
          <w:lang w:eastAsia="zh-HK"/>
        </w:rPr>
        <w:t xml:space="preserve">may be referred to as the </w:t>
      </w:r>
      <w:r>
        <w:t>"30-year Rule"</w:t>
      </w:r>
      <w:r>
        <w:rPr>
          <w:rFonts w:hint="eastAsia"/>
          <w:lang w:eastAsia="zh-HK"/>
        </w:rPr>
        <w:t xml:space="preserve"> on access</w:t>
      </w:r>
      <w:r>
        <w:t>: Rule 3 of the PRAR which provides that public records having existed for not less than 30 years should generally be made available to the public for inspection</w:t>
      </w:r>
      <w:r>
        <w:rPr>
          <w:rFonts w:hint="eastAsia"/>
          <w:lang w:eastAsia="zh-HK"/>
        </w:rPr>
        <w:t xml:space="preserve">.  </w:t>
      </w:r>
      <w:r>
        <w:t xml:space="preserve">The "30-year Rule" on access is another aspect of the current regime that has been studied.  In this regard, The Ombudsman made the following observations and suggestions:- </w:t>
      </w:r>
    </w:p>
    <w:p w:rsidR="00DF3CF7" w:rsidRDefault="00DF3CF7" w:rsidP="00DF3CF7">
      <w:pPr>
        <w:rPr>
          <w:lang w:eastAsia="zh-HK"/>
        </w:rPr>
      </w:pPr>
    </w:p>
    <w:p w:rsidR="00DF3CF7" w:rsidRDefault="00DF3CF7" w:rsidP="00DF3CF7">
      <w:pPr>
        <w:pStyle w:val="BlockText"/>
      </w:pPr>
      <w:r w:rsidRPr="00B1030A">
        <w:rPr>
          <w:i w:val="0"/>
        </w:rPr>
        <w:t>"</w:t>
      </w:r>
      <w:r>
        <w:t>In Hong Kong, decisions to withhold records from public access or to keep records closed beyond 30 years are made by GRS Director and B/Ds</w:t>
      </w:r>
      <w:r>
        <w:rPr>
          <w:rFonts w:hint="eastAsia"/>
        </w:rPr>
        <w:t xml:space="preserve"> </w:t>
      </w:r>
      <w:r>
        <w:t>…</w:t>
      </w:r>
    </w:p>
    <w:p w:rsidR="00DF3CF7" w:rsidRDefault="00DF3CF7" w:rsidP="00DF3CF7">
      <w:pPr>
        <w:pStyle w:val="ListParagraph"/>
        <w:tabs>
          <w:tab w:val="clear" w:pos="1418"/>
          <w:tab w:val="left" w:pos="1276"/>
          <w:tab w:val="left" w:pos="1440"/>
        </w:tabs>
        <w:ind w:right="720"/>
        <w:rPr>
          <w:rFonts w:cs="Arial"/>
          <w:i/>
          <w:kern w:val="2"/>
        </w:rPr>
      </w:pPr>
    </w:p>
    <w:p w:rsidR="00DF3CF7" w:rsidRPr="00CE0276" w:rsidRDefault="00DF3CF7" w:rsidP="00DF3CF7">
      <w:pPr>
        <w:pStyle w:val="BlockText"/>
      </w:pPr>
      <w:r w:rsidRPr="00885D59">
        <w:t>In many of the jurisdictions that we have studied, there have been refor</w:t>
      </w:r>
      <w:r w:rsidRPr="004D3626">
        <w:t>ms in</w:t>
      </w:r>
      <w:r>
        <w:t xml:space="preserve"> </w:t>
      </w:r>
      <w:r w:rsidRPr="00CE0276">
        <w:t>recent years to reduce the period of closure of public records</w:t>
      </w:r>
      <w:r>
        <w:rPr>
          <w:rFonts w:hint="eastAsia"/>
        </w:rPr>
        <w:t xml:space="preserve"> </w:t>
      </w:r>
      <w:r>
        <w:t>…</w:t>
      </w:r>
    </w:p>
    <w:p w:rsidR="00DF3CF7" w:rsidRDefault="00DF3CF7" w:rsidP="00DF3CF7">
      <w:pPr>
        <w:pStyle w:val="ListParagraph"/>
        <w:tabs>
          <w:tab w:val="clear" w:pos="1418"/>
          <w:tab w:val="left" w:pos="1440"/>
        </w:tabs>
        <w:ind w:left="1440"/>
        <w:rPr>
          <w:rFonts w:cs="Arial"/>
          <w:i/>
        </w:rPr>
      </w:pPr>
    </w:p>
    <w:p w:rsidR="00DF3CF7" w:rsidRDefault="00DF3CF7" w:rsidP="00DF3CF7">
      <w:pPr>
        <w:pStyle w:val="BlockText"/>
      </w:pPr>
      <w:r w:rsidRPr="00587C54">
        <w:t xml:space="preserve">Compared to the progressive liberalisation of restrictions on opening of records in other jurisdictions, Hong Kong has been inert in its promotion of transparent and open government. </w:t>
      </w:r>
      <w:r>
        <w:t xml:space="preserve"> </w:t>
      </w:r>
      <w:r w:rsidRPr="00587C54">
        <w:t>It is time for</w:t>
      </w:r>
      <w:r w:rsidRPr="00F77076">
        <w:t xml:space="preserve"> Government to review its system of closure of records, in particular the </w:t>
      </w:r>
      <w:r w:rsidRPr="00CE0276">
        <w:rPr>
          <w:b/>
        </w:rPr>
        <w:t>closure period</w:t>
      </w:r>
      <w:r w:rsidRPr="00587C54">
        <w:t xml:space="preserve"> and the criteria for approving/refusing public access to records including the need for considering the security grading of records</w:t>
      </w:r>
      <w:r>
        <w:rPr>
          <w:rFonts w:hint="eastAsia"/>
        </w:rPr>
        <w:t xml:space="preserve"> ..</w:t>
      </w:r>
      <w:r w:rsidRPr="00587C54">
        <w:t>.</w:t>
      </w:r>
      <w:r w:rsidRPr="00B1030A">
        <w:rPr>
          <w:i w:val="0"/>
        </w:rPr>
        <w:t>"</w:t>
      </w:r>
      <w:r w:rsidRPr="00885D59">
        <w:rPr>
          <w:rStyle w:val="FootnoteReference"/>
          <w:rFonts w:cs="Arial"/>
          <w:i w:val="0"/>
        </w:rPr>
        <w:footnoteReference w:id="441"/>
      </w:r>
      <w:r>
        <w:t xml:space="preserve"> </w:t>
      </w:r>
      <w:r w:rsidRPr="00587C54">
        <w:t>(emphasis added)</w:t>
      </w:r>
    </w:p>
    <w:p w:rsidR="00DF3CF7" w:rsidRDefault="00DF3CF7" w:rsidP="00DF3CF7">
      <w:pPr>
        <w:pStyle w:val="ListParagraph"/>
        <w:tabs>
          <w:tab w:val="clear" w:pos="1418"/>
          <w:tab w:val="left" w:pos="1440"/>
        </w:tabs>
        <w:ind w:left="0"/>
        <w:rPr>
          <w:rFonts w:cs="Arial"/>
        </w:rPr>
      </w:pPr>
    </w:p>
    <w:p w:rsidR="00DF3CF7" w:rsidRDefault="00DF3CF7" w:rsidP="00DF3CF7">
      <w:pPr>
        <w:pStyle w:val="ListParagraph"/>
        <w:tabs>
          <w:tab w:val="clear" w:pos="1418"/>
          <w:tab w:val="left" w:pos="1440"/>
        </w:tabs>
        <w:ind w:left="0"/>
        <w:rPr>
          <w:rFonts w:cs="Arial"/>
        </w:rPr>
      </w:pPr>
    </w:p>
    <w:p w:rsidR="00DF3CF7" w:rsidRPr="00587C54" w:rsidRDefault="00DF3CF7" w:rsidP="00DF3CF7">
      <w:pPr>
        <w:pStyle w:val="Heading3"/>
      </w:pPr>
      <w:r>
        <w:t xml:space="preserve">The "30-year Rule" on </w:t>
      </w:r>
      <w:r>
        <w:rPr>
          <w:rFonts w:hint="eastAsia"/>
        </w:rPr>
        <w:t>a</w:t>
      </w:r>
      <w:r>
        <w:t>ccess</w:t>
      </w:r>
    </w:p>
    <w:p w:rsidR="00DF3CF7" w:rsidRDefault="00DF3CF7" w:rsidP="00DF3CF7">
      <w:pPr>
        <w:pStyle w:val="ListParagraph"/>
        <w:tabs>
          <w:tab w:val="clear" w:pos="1418"/>
          <w:tab w:val="left" w:pos="1440"/>
        </w:tabs>
        <w:ind w:left="0"/>
        <w:rPr>
          <w:rFonts w:cs="Arial"/>
        </w:rPr>
      </w:pPr>
    </w:p>
    <w:p w:rsidR="00DF3CF7" w:rsidRDefault="00DF3CF7" w:rsidP="00DF3CF7">
      <w:r>
        <w:t>7</w:t>
      </w:r>
      <w:r>
        <w:rPr>
          <w:rFonts w:hint="eastAsia"/>
        </w:rPr>
        <w:t>.2</w:t>
      </w:r>
      <w:r>
        <w:tab/>
      </w:r>
      <w:r>
        <w:rPr>
          <w:rFonts w:hint="eastAsia"/>
        </w:rPr>
        <w:tab/>
      </w:r>
      <w:r>
        <w:t>The Ombudsman's above observations and suggestions are about Rule 3 of the PRAR which reads as follows:-</w:t>
      </w:r>
    </w:p>
    <w:p w:rsidR="00DF3CF7" w:rsidRDefault="00DF3CF7" w:rsidP="00DF3CF7">
      <w:pPr>
        <w:tabs>
          <w:tab w:val="clear" w:pos="1418"/>
          <w:tab w:val="left" w:pos="709"/>
          <w:tab w:val="left" w:pos="1440"/>
        </w:tabs>
        <w:ind w:left="1440" w:right="720"/>
        <w:rPr>
          <w:rFonts w:cs="Arial"/>
        </w:rPr>
      </w:pPr>
    </w:p>
    <w:p w:rsidR="00DF3CF7" w:rsidRPr="00555998" w:rsidRDefault="00DF3CF7" w:rsidP="00DF3CF7">
      <w:pPr>
        <w:pStyle w:val="BlockText"/>
      </w:pPr>
      <w:r w:rsidRPr="00B1030A">
        <w:rPr>
          <w:i w:val="0"/>
        </w:rPr>
        <w:t>"</w:t>
      </w:r>
      <w:r w:rsidRPr="00555998">
        <w:t xml:space="preserve">Subject to the provisions of these Rules and the laws of Hong Kong, public records </w:t>
      </w:r>
    </w:p>
    <w:p w:rsidR="00DF3CF7" w:rsidRDefault="00DF3CF7" w:rsidP="00DF3CF7">
      <w:pPr>
        <w:pStyle w:val="ListParagraph"/>
        <w:tabs>
          <w:tab w:val="clear" w:pos="1418"/>
          <w:tab w:val="left" w:pos="1440"/>
          <w:tab w:val="left" w:pos="2410"/>
        </w:tabs>
        <w:ind w:left="2410"/>
        <w:rPr>
          <w:rFonts w:cs="Arial"/>
          <w:i/>
        </w:rPr>
      </w:pPr>
    </w:p>
    <w:p w:rsidR="00DF3CF7" w:rsidRDefault="00DF3CF7" w:rsidP="00DF3CF7">
      <w:pPr>
        <w:pStyle w:val="Legislationindent1"/>
      </w:pPr>
      <w:r>
        <w:rPr>
          <w:rFonts w:hint="eastAsia"/>
        </w:rPr>
        <w:t>(a)</w:t>
      </w:r>
      <w:r>
        <w:tab/>
      </w:r>
      <w:r w:rsidRPr="00C02DAE">
        <w:t xml:space="preserve">which have been in existence for not less than </w:t>
      </w:r>
      <w:r>
        <w:t>thirty years; or</w:t>
      </w:r>
    </w:p>
    <w:p w:rsidR="00DF3CF7" w:rsidRPr="00555998" w:rsidRDefault="00DF3CF7" w:rsidP="00DF3CF7">
      <w:pPr>
        <w:pStyle w:val="Legislationindent1"/>
      </w:pPr>
      <w:r>
        <w:rPr>
          <w:rFonts w:hint="eastAsia"/>
        </w:rPr>
        <w:lastRenderedPageBreak/>
        <w:t>(b)</w:t>
      </w:r>
      <w:r>
        <w:tab/>
        <w:t>the contents of which have at any time been published or otherwise wholly disclosed to the public,</w:t>
      </w:r>
    </w:p>
    <w:p w:rsidR="00DF3CF7" w:rsidRPr="00B82FC4" w:rsidRDefault="00DF3CF7" w:rsidP="00DF3CF7">
      <w:pPr>
        <w:tabs>
          <w:tab w:val="clear" w:pos="1418"/>
          <w:tab w:val="left" w:pos="709"/>
          <w:tab w:val="left" w:pos="1440"/>
        </w:tabs>
        <w:ind w:left="709"/>
        <w:rPr>
          <w:rFonts w:cs="Arial"/>
          <w:i/>
          <w:sz w:val="20"/>
          <w:szCs w:val="20"/>
        </w:rPr>
      </w:pPr>
    </w:p>
    <w:p w:rsidR="00DF3CF7" w:rsidRDefault="00DF3CF7" w:rsidP="00DF3CF7">
      <w:pPr>
        <w:pStyle w:val="BlockText"/>
      </w:pPr>
      <w:r w:rsidRPr="00555998">
        <w:t>shall be available for public inspection.</w:t>
      </w:r>
      <w:r w:rsidRPr="00B1030A">
        <w:rPr>
          <w:i w:val="0"/>
        </w:rPr>
        <w:t>"</w:t>
      </w:r>
    </w:p>
    <w:p w:rsidR="00DF3CF7" w:rsidRDefault="00DF3CF7" w:rsidP="00DF3CF7">
      <w:pPr>
        <w:pStyle w:val="ListParagraph"/>
        <w:tabs>
          <w:tab w:val="clear" w:pos="1418"/>
          <w:tab w:val="left" w:pos="1440"/>
        </w:tabs>
        <w:ind w:firstLine="720"/>
        <w:rPr>
          <w:rFonts w:cs="Arial"/>
        </w:rPr>
      </w:pPr>
    </w:p>
    <w:p w:rsidR="00DF3CF7" w:rsidRDefault="00DF3CF7" w:rsidP="00DF3CF7">
      <w:r>
        <w:t>7</w:t>
      </w:r>
      <w:r>
        <w:rPr>
          <w:rFonts w:hint="eastAsia"/>
        </w:rPr>
        <w:t>.3</w:t>
      </w:r>
      <w:r>
        <w:tab/>
      </w:r>
      <w:r>
        <w:rPr>
          <w:rFonts w:hint="eastAsia"/>
        </w:rPr>
        <w:tab/>
      </w:r>
      <w:r>
        <w:t xml:space="preserve">Notably, the PRAR, like overseas </w:t>
      </w:r>
      <w:r w:rsidRPr="00BE4D66">
        <w:t xml:space="preserve">regimes that we will come to later on in this </w:t>
      </w:r>
      <w:r>
        <w:t>c</w:t>
      </w:r>
      <w:r w:rsidRPr="00BE4D66">
        <w:t>hapter, provides for exceptions to</w:t>
      </w:r>
      <w:r>
        <w:t>,</w:t>
      </w:r>
      <w:r w:rsidRPr="00BE4D66">
        <w:t xml:space="preserve"> and exemptions from</w:t>
      </w:r>
      <w:r>
        <w:t>,</w:t>
      </w:r>
      <w:r w:rsidRPr="00BE4D66">
        <w:t xml:space="preserve"> this general position.</w:t>
      </w:r>
      <w:r>
        <w:t xml:space="preserve">  </w:t>
      </w:r>
      <w:r w:rsidRPr="00BE4D66">
        <w:t>Access before the expiry of the 30 year period is possible and permission may be sought from the GRS Director</w:t>
      </w:r>
      <w:r>
        <w:t>.</w:t>
      </w:r>
      <w:r>
        <w:rPr>
          <w:rStyle w:val="FootnoteReference"/>
          <w:rFonts w:cs="Arial"/>
        </w:rPr>
        <w:footnoteReference w:id="442"/>
      </w:r>
      <w:r>
        <w:t xml:space="preserve">  Equally, access can also be denied </w:t>
      </w:r>
      <w:r w:rsidRPr="00F57BC8">
        <w:t xml:space="preserve">after the end of 30 years </w:t>
      </w:r>
      <w:r>
        <w:t>if, upon advice by the Head of the B/D by which the record is deposited,</w:t>
      </w:r>
      <w:r w:rsidRPr="00F57BC8">
        <w:t xml:space="preserve"> the Chief Secretary</w:t>
      </w:r>
      <w:r>
        <w:t xml:space="preserve"> for Administration</w:t>
      </w:r>
      <w:r w:rsidRPr="00F57BC8">
        <w:t xml:space="preserve"> considers that the records </w:t>
      </w:r>
      <w:r>
        <w:t xml:space="preserve">contain information the disclosure of which </w:t>
      </w:r>
      <w:r w:rsidRPr="00F57BC8">
        <w:t xml:space="preserve">would not be in the public interest, or that the records </w:t>
      </w:r>
      <w:r>
        <w:t>contain information which was</w:t>
      </w:r>
      <w:r w:rsidRPr="00F57BC8">
        <w:t xml:space="preserve"> obtained from members of the public under conditions such that their disclosure would or might constitute a breach of good faith.</w:t>
      </w:r>
      <w:r>
        <w:rPr>
          <w:rStyle w:val="FootnoteReference"/>
          <w:rFonts w:cs="Arial"/>
        </w:rPr>
        <w:footnoteReference w:id="443"/>
      </w:r>
    </w:p>
    <w:p w:rsidR="00DF3CF7" w:rsidRPr="00CC27F8" w:rsidRDefault="00DF3CF7" w:rsidP="00DF3CF7">
      <w:pPr>
        <w:pStyle w:val="ListParagraph"/>
        <w:tabs>
          <w:tab w:val="clear" w:pos="1418"/>
          <w:tab w:val="left" w:pos="1440"/>
        </w:tabs>
        <w:ind w:left="0"/>
        <w:rPr>
          <w:rFonts w:cs="Arial"/>
        </w:rPr>
      </w:pPr>
    </w:p>
    <w:p w:rsidR="00DF3CF7" w:rsidRDefault="00DF3CF7" w:rsidP="00DF3CF7">
      <w:r>
        <w:t>7</w:t>
      </w:r>
      <w:r>
        <w:rPr>
          <w:rFonts w:hint="eastAsia"/>
        </w:rPr>
        <w:t>.4</w:t>
      </w:r>
      <w:r>
        <w:tab/>
      </w:r>
      <w:r>
        <w:rPr>
          <w:rFonts w:hint="eastAsia"/>
        </w:rPr>
        <w:tab/>
      </w:r>
      <w:r>
        <w:t xml:space="preserve">In practice, if the requested records are deemed unsuitable for public access, the originating or transferring agency is required to provide reasons with reference to Part 2 of the CAI, which sets out the specific grounds on which B/Ds may refuse disclosure of government information. </w:t>
      </w:r>
    </w:p>
    <w:p w:rsidR="00DF3CF7" w:rsidRDefault="00DF3CF7" w:rsidP="00DF3CF7">
      <w:pPr>
        <w:pStyle w:val="ListParagraph"/>
        <w:tabs>
          <w:tab w:val="clear" w:pos="1418"/>
          <w:tab w:val="left" w:pos="1440"/>
        </w:tabs>
        <w:ind w:left="0"/>
        <w:rPr>
          <w:rFonts w:cs="Arial"/>
        </w:rPr>
      </w:pPr>
    </w:p>
    <w:p w:rsidR="00DF3CF7" w:rsidRPr="00CE0276" w:rsidRDefault="00DF3CF7" w:rsidP="00DF3CF7">
      <w:r>
        <w:t>7</w:t>
      </w:r>
      <w:r>
        <w:rPr>
          <w:rFonts w:hint="eastAsia"/>
        </w:rPr>
        <w:t>.5</w:t>
      </w:r>
      <w:r>
        <w:tab/>
      </w:r>
      <w:r>
        <w:rPr>
          <w:rFonts w:hint="eastAsia"/>
        </w:rPr>
        <w:tab/>
      </w:r>
      <w:r w:rsidRPr="00A37B63">
        <w:rPr>
          <w:u w:val="single"/>
        </w:rPr>
        <w:t xml:space="preserve">As mentioned in the Preface, we were tasked with looking at, amongst other things, the </w:t>
      </w:r>
      <w:r>
        <w:rPr>
          <w:i/>
          <w:u w:val="single"/>
        </w:rPr>
        <w:t xml:space="preserve">management </w:t>
      </w:r>
      <w:r>
        <w:rPr>
          <w:u w:val="single"/>
        </w:rPr>
        <w:t>of physical access</w:t>
      </w:r>
      <w:r w:rsidRPr="00A37B63">
        <w:rPr>
          <w:u w:val="single"/>
        </w:rPr>
        <w:t xml:space="preserve">; insofar as the </w:t>
      </w:r>
      <w:r w:rsidRPr="00E41BFB">
        <w:rPr>
          <w:i/>
          <w:u w:val="single"/>
        </w:rPr>
        <w:t xml:space="preserve">right </w:t>
      </w:r>
      <w:r>
        <w:rPr>
          <w:u w:val="single"/>
        </w:rPr>
        <w:t xml:space="preserve">to </w:t>
      </w:r>
      <w:r w:rsidRPr="00A37B63">
        <w:rPr>
          <w:u w:val="single"/>
        </w:rPr>
        <w:t xml:space="preserve">access </w:t>
      </w:r>
      <w:r>
        <w:rPr>
          <w:u w:val="single"/>
        </w:rPr>
        <w:t>is</w:t>
      </w:r>
      <w:r w:rsidRPr="00A37B63">
        <w:rPr>
          <w:u w:val="single"/>
        </w:rPr>
        <w:t xml:space="preserve"> concerned, </w:t>
      </w:r>
      <w:r>
        <w:rPr>
          <w:u w:val="single"/>
        </w:rPr>
        <w:t>it</w:t>
      </w:r>
      <w:r w:rsidRPr="00A37B63">
        <w:rPr>
          <w:u w:val="single"/>
        </w:rPr>
        <w:t xml:space="preserve"> fall</w:t>
      </w:r>
      <w:r>
        <w:rPr>
          <w:u w:val="single"/>
        </w:rPr>
        <w:t>s</w:t>
      </w:r>
      <w:r w:rsidRPr="00A37B63">
        <w:rPr>
          <w:u w:val="single"/>
        </w:rPr>
        <w:t xml:space="preserve"> within the purview of the ATI Sub-committee</w:t>
      </w:r>
      <w:r w:rsidRPr="00A37B63">
        <w:rPr>
          <w:i/>
          <w:u w:val="single"/>
        </w:rPr>
        <w:t>.</w:t>
      </w:r>
    </w:p>
    <w:p w:rsidR="00DF3CF7" w:rsidRDefault="00DF3CF7" w:rsidP="00DF3CF7">
      <w:pPr>
        <w:pStyle w:val="ListParagraph"/>
        <w:tabs>
          <w:tab w:val="clear" w:pos="1418"/>
          <w:tab w:val="left" w:pos="1440"/>
        </w:tabs>
        <w:ind w:left="0"/>
        <w:rPr>
          <w:rFonts w:cs="Arial"/>
        </w:rPr>
      </w:pPr>
    </w:p>
    <w:p w:rsidR="00DF3CF7" w:rsidRDefault="00DF3CF7" w:rsidP="00DF3CF7">
      <w:r>
        <w:t>7</w:t>
      </w:r>
      <w:r>
        <w:rPr>
          <w:rFonts w:hint="eastAsia"/>
        </w:rPr>
        <w:t>.6</w:t>
      </w:r>
      <w:r>
        <w:tab/>
      </w:r>
      <w:r>
        <w:rPr>
          <w:rFonts w:hint="eastAsia"/>
        </w:rPr>
        <w:tab/>
      </w:r>
      <w:r>
        <w:t xml:space="preserve">Given this division of labour, we will not address the </w:t>
      </w:r>
      <w:r w:rsidRPr="00132BE0">
        <w:t xml:space="preserve">merits or demerits of the </w:t>
      </w:r>
      <w:r>
        <w:t>"</w:t>
      </w:r>
      <w:r w:rsidRPr="00132BE0">
        <w:t>30-year Rule</w:t>
      </w:r>
      <w:r>
        <w:t>"</w:t>
      </w:r>
      <w:r w:rsidRPr="00132BE0">
        <w:t xml:space="preserve"> </w:t>
      </w:r>
      <w:r w:rsidRPr="002F3A11">
        <w:t>on</w:t>
      </w:r>
      <w:r w:rsidRPr="00132BE0">
        <w:rPr>
          <w:i/>
        </w:rPr>
        <w:t xml:space="preserve"> </w:t>
      </w:r>
      <w:r w:rsidRPr="00132BE0">
        <w:t>access</w:t>
      </w:r>
      <w:r>
        <w:t xml:space="preserve"> under Rule 3 of the PRAR (along with its exceptions and exemptions under Rules 6 and 7).  What we do seek to examine in this chapter is the </w:t>
      </w:r>
      <w:r w:rsidRPr="00132BE0">
        <w:rPr>
          <w:i/>
        </w:rPr>
        <w:t>transfer</w:t>
      </w:r>
      <w:r w:rsidRPr="00132BE0">
        <w:t xml:space="preserve"> of records to the GRS</w:t>
      </w:r>
      <w:r>
        <w:rPr>
          <w:rFonts w:hint="eastAsia"/>
          <w:lang w:eastAsia="zh-HK"/>
        </w:rPr>
        <w:t xml:space="preserve"> for appraisal and retention</w:t>
      </w:r>
      <w:r>
        <w:t xml:space="preserve">.  </w:t>
      </w:r>
    </w:p>
    <w:p w:rsidR="00DF3CF7" w:rsidRPr="00B82FC4" w:rsidRDefault="00DF3CF7" w:rsidP="00DF3CF7">
      <w:pPr>
        <w:pStyle w:val="ListParagraph"/>
        <w:tabs>
          <w:tab w:val="clear" w:pos="1418"/>
          <w:tab w:val="left" w:pos="1440"/>
        </w:tabs>
        <w:ind w:left="0"/>
        <w:rPr>
          <w:rFonts w:cs="Arial"/>
          <w:sz w:val="22"/>
          <w:szCs w:val="22"/>
          <w:lang w:val="en-US"/>
        </w:rPr>
      </w:pPr>
    </w:p>
    <w:p w:rsidR="00DF3CF7" w:rsidRPr="00B82FC4" w:rsidRDefault="00DF3CF7" w:rsidP="00DF3CF7">
      <w:pPr>
        <w:pStyle w:val="ListParagraph"/>
        <w:tabs>
          <w:tab w:val="clear" w:pos="1418"/>
          <w:tab w:val="left" w:pos="1440"/>
        </w:tabs>
        <w:ind w:left="0"/>
        <w:rPr>
          <w:rFonts w:cs="Arial"/>
          <w:sz w:val="22"/>
          <w:szCs w:val="22"/>
          <w:lang w:val="en-US"/>
        </w:rPr>
      </w:pPr>
    </w:p>
    <w:p w:rsidR="00DF3CF7" w:rsidRPr="00587C54" w:rsidRDefault="00DF3CF7" w:rsidP="00DF3CF7">
      <w:pPr>
        <w:pStyle w:val="Heading3"/>
        <w:rPr>
          <w:lang w:eastAsia="zh-HK"/>
        </w:rPr>
      </w:pPr>
      <w:r>
        <w:t>Transfer</w:t>
      </w:r>
      <w:r>
        <w:rPr>
          <w:rFonts w:hint="eastAsia"/>
          <w:lang w:eastAsia="zh-HK"/>
        </w:rPr>
        <w:t xml:space="preserve"> of records to GRS</w:t>
      </w:r>
    </w:p>
    <w:p w:rsidR="00DF3CF7" w:rsidRPr="000F5336" w:rsidRDefault="00DF3CF7" w:rsidP="00DF3CF7">
      <w:pPr>
        <w:pStyle w:val="ListParagraph"/>
        <w:keepNext/>
        <w:tabs>
          <w:tab w:val="clear" w:pos="1418"/>
          <w:tab w:val="left" w:pos="1440"/>
        </w:tabs>
        <w:ind w:left="0"/>
        <w:rPr>
          <w:rFonts w:cs="Arial"/>
        </w:rPr>
      </w:pPr>
    </w:p>
    <w:p w:rsidR="00DF3CF7" w:rsidRDefault="00DF3CF7" w:rsidP="00DF3CF7">
      <w:r>
        <w:t>7</w:t>
      </w:r>
      <w:r>
        <w:rPr>
          <w:rFonts w:hint="eastAsia"/>
        </w:rPr>
        <w:t>.7</w:t>
      </w:r>
      <w:r>
        <w:tab/>
      </w:r>
      <w:r>
        <w:rPr>
          <w:rFonts w:hint="eastAsia"/>
        </w:rPr>
        <w:tab/>
      </w:r>
      <w:r w:rsidRPr="00632BCE">
        <w:t xml:space="preserve">Under the current regime, disposal of records </w:t>
      </w:r>
      <w:r>
        <w:t>is</w:t>
      </w:r>
      <w:r w:rsidRPr="00632BCE">
        <w:t xml:space="preserve"> done in accordance with </w:t>
      </w:r>
      <w:r>
        <w:t>the relevant</w:t>
      </w:r>
      <w:r w:rsidRPr="00632BCE">
        <w:t xml:space="preserve"> </w:t>
      </w:r>
      <w:r>
        <w:t xml:space="preserve">disposal schedules.  As mentioned in </w:t>
      </w:r>
      <w:r w:rsidRPr="00D00944">
        <w:t>chapter</w:t>
      </w:r>
      <w:r w:rsidRPr="00D00944">
        <w:rPr>
          <w:lang w:val="en-US"/>
        </w:rPr>
        <w:t> </w:t>
      </w:r>
      <w:r w:rsidRPr="00D00944">
        <w:t>2</w:t>
      </w:r>
      <w:r>
        <w:t xml:space="preserve">, </w:t>
      </w:r>
      <w:r w:rsidRPr="00632BCE">
        <w:t>the GARDS (ie the General Administrative Records Disposal Schedules)</w:t>
      </w:r>
      <w:r>
        <w:t xml:space="preserve"> apply to administrative records; whereas for programme records, the disposal schedules approved by the GRS should be followed. </w:t>
      </w:r>
      <w:r w:rsidRPr="00632BCE">
        <w:t xml:space="preserve">  </w:t>
      </w:r>
    </w:p>
    <w:p w:rsidR="00DF3CF7" w:rsidRDefault="00DF3CF7" w:rsidP="00DF3CF7">
      <w:pPr>
        <w:pStyle w:val="ListParagraph"/>
        <w:tabs>
          <w:tab w:val="clear" w:pos="1418"/>
          <w:tab w:val="left" w:pos="1440"/>
        </w:tabs>
        <w:ind w:left="0"/>
        <w:rPr>
          <w:rFonts w:cs="Arial"/>
        </w:rPr>
      </w:pPr>
    </w:p>
    <w:p w:rsidR="00DF3CF7" w:rsidRDefault="00DF3CF7" w:rsidP="00DF3CF7">
      <w:r>
        <w:t>7</w:t>
      </w:r>
      <w:r>
        <w:rPr>
          <w:rFonts w:hint="eastAsia"/>
        </w:rPr>
        <w:t>.8</w:t>
      </w:r>
      <w:r>
        <w:tab/>
      </w:r>
      <w:r>
        <w:rPr>
          <w:rFonts w:hint="eastAsia"/>
        </w:rPr>
        <w:tab/>
      </w:r>
      <w:r w:rsidRPr="00632BCE">
        <w:t xml:space="preserve">Possible disposal actions specified under the disposal schedules </w:t>
      </w:r>
      <w:r>
        <w:t xml:space="preserve">include </w:t>
      </w:r>
      <w:r w:rsidRPr="00632BCE">
        <w:t xml:space="preserve">the </w:t>
      </w:r>
      <w:r w:rsidRPr="00CE0276">
        <w:rPr>
          <w:i/>
        </w:rPr>
        <w:t>transfer</w:t>
      </w:r>
      <w:r w:rsidRPr="00632BCE">
        <w:t xml:space="preserve"> of the records to the </w:t>
      </w:r>
      <w:r>
        <w:t>GRS</w:t>
      </w:r>
      <w:r w:rsidRPr="00632BCE">
        <w:t xml:space="preserve"> for appraisal of their archival value, or the </w:t>
      </w:r>
      <w:r w:rsidRPr="00CE0276">
        <w:rPr>
          <w:i/>
        </w:rPr>
        <w:t>transfer</w:t>
      </w:r>
      <w:r w:rsidRPr="00632BCE">
        <w:t xml:space="preserve"> of them to the GRS for permanent preservation</w:t>
      </w:r>
      <w:r>
        <w:t xml:space="preserve"> (if already appraised to be of archival value)</w:t>
      </w:r>
      <w:r w:rsidRPr="00632BCE">
        <w:t>.</w:t>
      </w:r>
      <w:r>
        <w:rPr>
          <w:rStyle w:val="FootnoteReference"/>
          <w:rFonts w:cs="Arial"/>
        </w:rPr>
        <w:footnoteReference w:id="444"/>
      </w:r>
      <w:r>
        <w:t xml:space="preserve">  </w:t>
      </w:r>
      <w:r>
        <w:rPr>
          <w:rFonts w:hint="eastAsia"/>
          <w:lang w:eastAsia="zh-HK"/>
        </w:rPr>
        <w:t xml:space="preserve">In addition, </w:t>
      </w:r>
      <w:r w:rsidRPr="00132BE0">
        <w:t>para 637 of the RMM</w:t>
      </w:r>
      <w:r w:rsidRPr="000F5336">
        <w:t xml:space="preserve"> provides that </w:t>
      </w:r>
      <w:r>
        <w:t>"</w:t>
      </w:r>
      <w:r w:rsidRPr="00CE0276">
        <w:rPr>
          <w:i/>
        </w:rPr>
        <w:t xml:space="preserve">[a]ll government records reaching 30 years old should be </w:t>
      </w:r>
      <w:r>
        <w:rPr>
          <w:i/>
        </w:rPr>
        <w:lastRenderedPageBreak/>
        <w:t>[</w:t>
      </w:r>
      <w:r w:rsidRPr="00132BE0">
        <w:rPr>
          <w:i/>
        </w:rPr>
        <w:t>transferred to and</w:t>
      </w:r>
      <w:r w:rsidRPr="00E52860">
        <w:rPr>
          <w:i/>
        </w:rPr>
        <w:t>]</w:t>
      </w:r>
      <w:r>
        <w:rPr>
          <w:rFonts w:hint="eastAsia"/>
          <w:i/>
          <w:lang w:eastAsia="zh-HK"/>
        </w:rPr>
        <w:t xml:space="preserve"> </w:t>
      </w:r>
      <w:r w:rsidRPr="00CE0276">
        <w:rPr>
          <w:i/>
        </w:rPr>
        <w:t>appraised by the P</w:t>
      </w:r>
      <w:r>
        <w:rPr>
          <w:i/>
        </w:rPr>
        <w:t xml:space="preserve">[ublic] </w:t>
      </w:r>
      <w:r w:rsidRPr="00CE0276">
        <w:rPr>
          <w:i/>
        </w:rPr>
        <w:t>R</w:t>
      </w:r>
      <w:r>
        <w:rPr>
          <w:i/>
        </w:rPr>
        <w:t xml:space="preserve">[ecords] </w:t>
      </w:r>
      <w:r w:rsidRPr="00CE0276">
        <w:rPr>
          <w:i/>
        </w:rPr>
        <w:t>O</w:t>
      </w:r>
      <w:r>
        <w:rPr>
          <w:i/>
        </w:rPr>
        <w:t>[ffice]</w:t>
      </w:r>
      <w:r w:rsidRPr="00CE0276">
        <w:rPr>
          <w:i/>
        </w:rPr>
        <w:t xml:space="preserve"> to determine whether or not they possess archival value for permanent preservation.</w:t>
      </w:r>
      <w:r>
        <w:rPr>
          <w:i/>
        </w:rPr>
        <w:t>"</w:t>
      </w:r>
      <w:r w:rsidRPr="000F5336">
        <w:t xml:space="preserve">  Records that are appraised to possess archival value </w:t>
      </w:r>
      <w:r>
        <w:t xml:space="preserve">will be </w:t>
      </w:r>
      <w:r w:rsidRPr="000F5336">
        <w:t>permanent</w:t>
      </w:r>
      <w:r>
        <w:t>ly</w:t>
      </w:r>
      <w:r w:rsidRPr="000F5336">
        <w:t xml:space="preserve"> preserv</w:t>
      </w:r>
      <w:r>
        <w:t>ed and made</w:t>
      </w:r>
      <w:r w:rsidRPr="000F5336">
        <w:t xml:space="preserve"> available for public inspection</w:t>
      </w:r>
      <w:r>
        <w:t>.</w:t>
      </w:r>
    </w:p>
    <w:p w:rsidR="00DF3CF7" w:rsidRDefault="00DF3CF7" w:rsidP="00DF3CF7">
      <w:pPr>
        <w:pStyle w:val="ListParagraph"/>
        <w:tabs>
          <w:tab w:val="clear" w:pos="1418"/>
          <w:tab w:val="left" w:pos="1440"/>
        </w:tabs>
        <w:ind w:left="0"/>
        <w:rPr>
          <w:rFonts w:cs="Arial"/>
        </w:rPr>
      </w:pPr>
    </w:p>
    <w:p w:rsidR="00DF3CF7" w:rsidRPr="00587C54" w:rsidRDefault="00DF3CF7" w:rsidP="00DF3CF7">
      <w:pPr>
        <w:rPr>
          <w:lang w:eastAsia="zh-HK"/>
        </w:rPr>
      </w:pPr>
      <w:r>
        <w:t>7</w:t>
      </w:r>
      <w:r>
        <w:rPr>
          <w:rFonts w:hint="eastAsia"/>
        </w:rPr>
        <w:t>.9</w:t>
      </w:r>
      <w:r>
        <w:tab/>
      </w:r>
      <w:r>
        <w:rPr>
          <w:rFonts w:hint="eastAsia"/>
        </w:rPr>
        <w:tab/>
      </w:r>
      <w:r w:rsidRPr="00CE0276">
        <w:t>According to information provided by the Government for the present study</w:t>
      </w:r>
      <w:r w:rsidRPr="00006B40">
        <w:t>, B/Ds</w:t>
      </w:r>
      <w:r>
        <w:t xml:space="preserve"> in practice</w:t>
      </w:r>
      <w:r w:rsidRPr="00006B40">
        <w:t xml:space="preserve"> dispose of their records according to GARDS or approved disposal schedules at a timeframe</w:t>
      </w:r>
      <w:r>
        <w:t xml:space="preserve"> set usually</w:t>
      </w:r>
      <w:r w:rsidRPr="00006B40">
        <w:t xml:space="preserve"> shorter than 30</w:t>
      </w:r>
      <w:r>
        <w:rPr>
          <w:lang w:val="en-US"/>
        </w:rPr>
        <w:t> </w:t>
      </w:r>
      <w:r w:rsidRPr="00006B40">
        <w:t>years.</w:t>
      </w:r>
      <w:r>
        <w:t xml:space="preserve">  P</w:t>
      </w:r>
      <w:r w:rsidRPr="00006B40">
        <w:t xml:space="preserve">ara 637 of the RMM serves </w:t>
      </w:r>
      <w:r>
        <w:rPr>
          <w:rFonts w:hint="eastAsia"/>
          <w:lang w:eastAsia="zh-HK"/>
        </w:rPr>
        <w:t xml:space="preserve">to complement the GARDS or approved </w:t>
      </w:r>
      <w:r>
        <w:rPr>
          <w:lang w:eastAsia="zh-HK"/>
        </w:rPr>
        <w:t>disposal</w:t>
      </w:r>
      <w:r>
        <w:rPr>
          <w:rFonts w:hint="eastAsia"/>
          <w:lang w:eastAsia="zh-HK"/>
        </w:rPr>
        <w:t xml:space="preserve"> schedules </w:t>
      </w:r>
      <w:r w:rsidRPr="00006B40">
        <w:t xml:space="preserve">to set 30 years as the deadline by which </w:t>
      </w:r>
      <w:r>
        <w:t xml:space="preserve">B/Ds </w:t>
      </w:r>
      <w:r>
        <w:rPr>
          <w:rFonts w:hint="eastAsia"/>
          <w:lang w:eastAsia="zh-HK"/>
        </w:rPr>
        <w:t>should</w:t>
      </w:r>
      <w:r>
        <w:t xml:space="preserve"> make the</w:t>
      </w:r>
      <w:r w:rsidRPr="00006B40">
        <w:t xml:space="preserve"> transfer</w:t>
      </w:r>
      <w:r>
        <w:rPr>
          <w:rFonts w:hint="eastAsia"/>
          <w:lang w:eastAsia="zh-HK"/>
        </w:rPr>
        <w:t xml:space="preserve"> for appraisal</w:t>
      </w:r>
      <w:r w:rsidRPr="00006B40">
        <w:t>.</w:t>
      </w:r>
      <w:r>
        <w:t xml:space="preserve">  </w:t>
      </w:r>
      <w:r>
        <w:rPr>
          <w:rFonts w:hint="eastAsia"/>
          <w:lang w:eastAsia="zh-HK"/>
        </w:rPr>
        <w:t>Para 626 of the RMM requires that those records appraised as possessing archival value by P</w:t>
      </w:r>
      <w:r>
        <w:rPr>
          <w:lang w:eastAsia="zh-HK"/>
        </w:rPr>
        <w:t xml:space="preserve">ublic </w:t>
      </w:r>
      <w:r>
        <w:rPr>
          <w:rFonts w:hint="eastAsia"/>
          <w:lang w:eastAsia="zh-HK"/>
        </w:rPr>
        <w:t>R</w:t>
      </w:r>
      <w:r>
        <w:rPr>
          <w:lang w:eastAsia="zh-HK"/>
        </w:rPr>
        <w:t xml:space="preserve">ecords </w:t>
      </w:r>
      <w:r>
        <w:rPr>
          <w:rFonts w:hint="eastAsia"/>
          <w:lang w:eastAsia="zh-HK"/>
        </w:rPr>
        <w:t>O</w:t>
      </w:r>
      <w:r>
        <w:rPr>
          <w:lang w:eastAsia="zh-HK"/>
        </w:rPr>
        <w:t>ffice</w:t>
      </w:r>
      <w:r>
        <w:rPr>
          <w:rFonts w:hint="eastAsia"/>
          <w:lang w:eastAsia="zh-HK"/>
        </w:rPr>
        <w:t xml:space="preserve"> should be transferred to and preserved by </w:t>
      </w:r>
      <w:r>
        <w:rPr>
          <w:lang w:eastAsia="zh-HK"/>
        </w:rPr>
        <w:t xml:space="preserve">the </w:t>
      </w:r>
      <w:r>
        <w:rPr>
          <w:rFonts w:hint="eastAsia"/>
          <w:lang w:eastAsia="zh-HK"/>
        </w:rPr>
        <w:t>P</w:t>
      </w:r>
      <w:r>
        <w:rPr>
          <w:lang w:eastAsia="zh-HK"/>
        </w:rPr>
        <w:t xml:space="preserve">ublic </w:t>
      </w:r>
      <w:r>
        <w:rPr>
          <w:rFonts w:hint="eastAsia"/>
          <w:lang w:eastAsia="zh-HK"/>
        </w:rPr>
        <w:t>R</w:t>
      </w:r>
      <w:r>
        <w:rPr>
          <w:lang w:eastAsia="zh-HK"/>
        </w:rPr>
        <w:t xml:space="preserve">ecords </w:t>
      </w:r>
      <w:r>
        <w:rPr>
          <w:rFonts w:hint="eastAsia"/>
          <w:lang w:eastAsia="zh-HK"/>
        </w:rPr>
        <w:t>O</w:t>
      </w:r>
      <w:r>
        <w:rPr>
          <w:lang w:eastAsia="zh-HK"/>
        </w:rPr>
        <w:t>ffice</w:t>
      </w:r>
      <w:r>
        <w:rPr>
          <w:rFonts w:hint="eastAsia"/>
          <w:lang w:eastAsia="zh-HK"/>
        </w:rPr>
        <w:t xml:space="preserve"> of GRS.  </w:t>
      </w:r>
      <w:r>
        <w:t>The transfer of records</w:t>
      </w:r>
      <w:r w:rsidRPr="006F6710">
        <w:t xml:space="preserve"> is an indispensable </w:t>
      </w:r>
      <w:r w:rsidRPr="006F6710">
        <w:rPr>
          <w:i/>
        </w:rPr>
        <w:t xml:space="preserve">procedural </w:t>
      </w:r>
      <w:r w:rsidRPr="006F6710">
        <w:t>stage that makes subsequent access to the</w:t>
      </w:r>
      <w:r>
        <w:t>m</w:t>
      </w:r>
      <w:r w:rsidRPr="006F6710">
        <w:t xml:space="preserve"> by the public possible.</w:t>
      </w:r>
      <w:r w:rsidRPr="00FE5FF2">
        <w:t xml:space="preserve"> </w:t>
      </w:r>
      <w:r w:rsidRPr="00006B40">
        <w:t xml:space="preserve"> </w:t>
      </w:r>
    </w:p>
    <w:p w:rsidR="00DF3CF7" w:rsidRPr="00B82FC4" w:rsidRDefault="00DF3CF7" w:rsidP="00DF3CF7">
      <w:pPr>
        <w:tabs>
          <w:tab w:val="clear" w:pos="1418"/>
          <w:tab w:val="left" w:pos="1440"/>
        </w:tabs>
        <w:rPr>
          <w:rFonts w:cs="Arial"/>
          <w:sz w:val="22"/>
          <w:szCs w:val="22"/>
        </w:rPr>
      </w:pPr>
    </w:p>
    <w:p w:rsidR="00DF3CF7" w:rsidRPr="00B82FC4" w:rsidRDefault="00DF3CF7" w:rsidP="00DF3CF7">
      <w:pPr>
        <w:tabs>
          <w:tab w:val="clear" w:pos="1418"/>
          <w:tab w:val="left" w:pos="1440"/>
        </w:tabs>
        <w:rPr>
          <w:rFonts w:cs="Arial"/>
          <w:b/>
          <w:sz w:val="22"/>
          <w:szCs w:val="22"/>
        </w:rPr>
      </w:pPr>
    </w:p>
    <w:p w:rsidR="00DF3CF7" w:rsidRPr="00F77076" w:rsidRDefault="00DF3CF7" w:rsidP="00DF3CF7">
      <w:pPr>
        <w:pStyle w:val="Heading2"/>
      </w:pPr>
      <w:r w:rsidRPr="00587C54">
        <w:t xml:space="preserve">Terminology </w:t>
      </w:r>
    </w:p>
    <w:p w:rsidR="00DF3CF7" w:rsidRPr="00587C54" w:rsidRDefault="00DF3CF7" w:rsidP="00DF3CF7">
      <w:pPr>
        <w:tabs>
          <w:tab w:val="clear" w:pos="1418"/>
          <w:tab w:val="left" w:pos="1440"/>
        </w:tabs>
        <w:rPr>
          <w:rFonts w:cs="Arial"/>
        </w:rPr>
      </w:pPr>
    </w:p>
    <w:p w:rsidR="00DF3CF7" w:rsidRDefault="00DF3CF7" w:rsidP="00DF3CF7">
      <w:r>
        <w:t>7</w:t>
      </w:r>
      <w:r>
        <w:rPr>
          <w:rFonts w:hint="eastAsia"/>
        </w:rPr>
        <w:t>.10</w:t>
      </w:r>
      <w:r>
        <w:tab/>
      </w:r>
      <w:r>
        <w:rPr>
          <w:rFonts w:hint="eastAsia"/>
        </w:rPr>
        <w:tab/>
      </w:r>
      <w:r>
        <w:t xml:space="preserve">From the above we can see that the "30-year Rule" </w:t>
      </w:r>
      <w:r>
        <w:rPr>
          <w:rFonts w:hint="eastAsia"/>
          <w:lang w:eastAsia="zh-HK"/>
        </w:rPr>
        <w:t xml:space="preserve">primarily </w:t>
      </w:r>
      <w:r>
        <w:t>governs and touches upon public access to such records</w:t>
      </w:r>
      <w:r>
        <w:rPr>
          <w:rFonts w:hint="eastAsia"/>
          <w:lang w:eastAsia="zh-HK"/>
        </w:rPr>
        <w:t xml:space="preserve"> (while such rule also mandates transfer in the case of England as discussed in the next section)</w:t>
      </w:r>
      <w:r>
        <w:t>.  Phrases like "closure period" or the antithetical term "open access period" used in some jurisdictions are somewhat confusing in our view, and we</w:t>
      </w:r>
      <w:r w:rsidRPr="00D52826">
        <w:t xml:space="preserve"> </w:t>
      </w:r>
      <w:r>
        <w:t xml:space="preserve">therefore adopt the phrase "30-year Rule" in this Paper instead for two reasons set out in the paragraphs below. </w:t>
      </w:r>
    </w:p>
    <w:p w:rsidR="00DF3CF7" w:rsidRPr="000455E8" w:rsidRDefault="00DF3CF7" w:rsidP="00DF3CF7">
      <w:pPr>
        <w:pStyle w:val="ListParagraph"/>
        <w:tabs>
          <w:tab w:val="clear" w:pos="1418"/>
          <w:tab w:val="left" w:pos="1440"/>
        </w:tabs>
        <w:ind w:left="0"/>
        <w:rPr>
          <w:rFonts w:cs="Arial"/>
        </w:rPr>
      </w:pPr>
    </w:p>
    <w:p w:rsidR="00DF3CF7" w:rsidRDefault="00DF3CF7" w:rsidP="00DF3CF7">
      <w:r>
        <w:t>7</w:t>
      </w:r>
      <w:r>
        <w:rPr>
          <w:rFonts w:hint="eastAsia"/>
        </w:rPr>
        <w:t>.11</w:t>
      </w:r>
      <w:r>
        <w:tab/>
      </w:r>
      <w:r>
        <w:rPr>
          <w:rFonts w:hint="eastAsia"/>
        </w:rPr>
        <w:tab/>
      </w:r>
      <w:r>
        <w:t>First, the "30-year Rule" on</w:t>
      </w:r>
      <w:r>
        <w:rPr>
          <w:i/>
        </w:rPr>
        <w:t xml:space="preserve"> </w:t>
      </w:r>
      <w:r>
        <w:t xml:space="preserve">access entails different exceptions and exemptions as discussed above.  </w:t>
      </w:r>
      <w:r w:rsidRPr="00D52826">
        <w:t>Th</w:t>
      </w:r>
      <w:r>
        <w:t>e effect is</w:t>
      </w:r>
      <w:r w:rsidRPr="00D52826">
        <w:t xml:space="preserve"> that the public may be able to access government records that are </w:t>
      </w:r>
      <w:r>
        <w:t>"</w:t>
      </w:r>
      <w:r w:rsidRPr="00D52826">
        <w:t>closed</w:t>
      </w:r>
      <w:r>
        <w:t>"</w:t>
      </w:r>
      <w:r w:rsidRPr="00D52826">
        <w:t xml:space="preserve"> or before the expiry of the </w:t>
      </w:r>
      <w:r>
        <w:t>so-called "</w:t>
      </w:r>
      <w:r w:rsidRPr="00D52826">
        <w:t>closure period</w:t>
      </w:r>
      <w:r>
        <w:t>"</w:t>
      </w:r>
      <w:r w:rsidRPr="00D52826">
        <w:t xml:space="preserve">, and </w:t>
      </w:r>
      <w:r>
        <w:t>by the same token</w:t>
      </w:r>
      <w:r w:rsidRPr="00D52826">
        <w:t xml:space="preserve">, public access may be denied even if the records become </w:t>
      </w:r>
      <w:r>
        <w:t>"</w:t>
      </w:r>
      <w:r w:rsidRPr="00D52826">
        <w:t>open</w:t>
      </w:r>
      <w:r>
        <w:t>"</w:t>
      </w:r>
      <w:r w:rsidRPr="00D52826">
        <w:t xml:space="preserve"> or have reached the </w:t>
      </w:r>
      <w:r>
        <w:t>so-called "</w:t>
      </w:r>
      <w:r w:rsidRPr="00D52826">
        <w:t>open access period</w:t>
      </w:r>
      <w:r>
        <w:t>"</w:t>
      </w:r>
      <w:r w:rsidRPr="00D52826">
        <w:t xml:space="preserve">. </w:t>
      </w:r>
      <w:r>
        <w:rPr>
          <w:rFonts w:hint="eastAsia"/>
        </w:rPr>
        <w:t xml:space="preserve"> </w:t>
      </w:r>
      <w:r>
        <w:t>A</w:t>
      </w:r>
      <w:r w:rsidRPr="00D52826">
        <w:t xml:space="preserve"> reference to either </w:t>
      </w:r>
      <w:r>
        <w:t>"</w:t>
      </w:r>
      <w:r w:rsidRPr="00D52826">
        <w:t>open</w:t>
      </w:r>
      <w:r>
        <w:t>"</w:t>
      </w:r>
      <w:r w:rsidRPr="00D52826">
        <w:t xml:space="preserve"> or </w:t>
      </w:r>
      <w:r>
        <w:t>"</w:t>
      </w:r>
      <w:r w:rsidRPr="00D52826">
        <w:t>closed</w:t>
      </w:r>
      <w:r>
        <w:t>" is therefore</w:t>
      </w:r>
      <w:r w:rsidRPr="00D52826">
        <w:t xml:space="preserve"> not </w:t>
      </w:r>
      <w:r>
        <w:t xml:space="preserve">indicative or conclusive, and the "30-year Rule" is more neutral. </w:t>
      </w:r>
    </w:p>
    <w:p w:rsidR="00DF3CF7" w:rsidRDefault="00DF3CF7" w:rsidP="00DF3CF7">
      <w:pPr>
        <w:pStyle w:val="ListParagraph"/>
        <w:tabs>
          <w:tab w:val="clear" w:pos="1418"/>
          <w:tab w:val="left" w:pos="1440"/>
        </w:tabs>
        <w:ind w:left="0"/>
        <w:rPr>
          <w:rFonts w:cs="Arial"/>
        </w:rPr>
      </w:pPr>
      <w:r>
        <w:rPr>
          <w:rFonts w:cs="Arial"/>
        </w:rPr>
        <w:t xml:space="preserve">  </w:t>
      </w:r>
    </w:p>
    <w:p w:rsidR="00DF3CF7" w:rsidRPr="003732A6" w:rsidRDefault="00DF3CF7" w:rsidP="00DF3CF7">
      <w:r>
        <w:t>7</w:t>
      </w:r>
      <w:r w:rsidRPr="003732A6">
        <w:rPr>
          <w:rFonts w:hint="eastAsia"/>
        </w:rPr>
        <w:t>.12</w:t>
      </w:r>
      <w:r w:rsidRPr="003732A6">
        <w:tab/>
      </w:r>
      <w:r w:rsidRPr="003732A6">
        <w:rPr>
          <w:rFonts w:hint="eastAsia"/>
        </w:rPr>
        <w:tab/>
      </w:r>
      <w:r w:rsidRPr="003732A6">
        <w:t xml:space="preserve">Secondly, the term </w:t>
      </w:r>
      <w:r>
        <w:t>"</w:t>
      </w:r>
      <w:r w:rsidRPr="003732A6">
        <w:t>closure period</w:t>
      </w:r>
      <w:r>
        <w:t>"</w:t>
      </w:r>
      <w:r w:rsidRPr="003732A6">
        <w:t xml:space="preserve"> is not a term of art.  In some jurisdictions, this phrase is conveniently used (say, in a TNA guideline in England</w:t>
      </w:r>
      <w:r w:rsidRPr="003732A6">
        <w:rPr>
          <w:rFonts w:hint="eastAsia"/>
        </w:rPr>
        <w:t>,</w:t>
      </w:r>
      <w:r w:rsidRPr="003732A6">
        <w:rPr>
          <w:vertAlign w:val="superscript"/>
        </w:rPr>
        <w:footnoteReference w:id="445"/>
      </w:r>
      <w:r w:rsidRPr="003732A6">
        <w:t xml:space="preserve"> albeit not in the 1958 Act itself); in others, the same concept exists but is described in antithetical terms (such as </w:t>
      </w:r>
      <w:r>
        <w:t>"</w:t>
      </w:r>
      <w:r w:rsidRPr="003732A6">
        <w:rPr>
          <w:i/>
        </w:rPr>
        <w:t>open access period</w:t>
      </w:r>
      <w:r>
        <w:t>"</w:t>
      </w:r>
      <w:r w:rsidRPr="003732A6">
        <w:t xml:space="preserve"> in Australia and </w:t>
      </w:r>
      <w:r>
        <w:t>"</w:t>
      </w:r>
      <w:r w:rsidRPr="003732A6">
        <w:rPr>
          <w:i/>
        </w:rPr>
        <w:t>open access record</w:t>
      </w:r>
      <w:r>
        <w:t>"</w:t>
      </w:r>
      <w:r w:rsidRPr="003732A6">
        <w:t xml:space="preserve"> in New Zealand).  Ireland does not coin its own specific term, but the essence of this concept is provided for under section</w:t>
      </w:r>
      <w:r w:rsidRPr="003732A6">
        <w:rPr>
          <w:lang w:val="en-US"/>
        </w:rPr>
        <w:t> </w:t>
      </w:r>
      <w:r w:rsidRPr="003732A6">
        <w:t xml:space="preserve">10 of the 1986 Act addressing access. </w:t>
      </w:r>
      <w:r w:rsidRPr="003732A6">
        <w:rPr>
          <w:rFonts w:hint="eastAsia"/>
        </w:rPr>
        <w:t xml:space="preserve"> </w:t>
      </w:r>
      <w:r w:rsidRPr="003732A6">
        <w:t xml:space="preserve">There is thus no one single term adopted universally. </w:t>
      </w:r>
    </w:p>
    <w:p w:rsidR="00DF3CF7" w:rsidRPr="000A394E" w:rsidRDefault="00DF3CF7" w:rsidP="00DF3CF7">
      <w:pPr>
        <w:pStyle w:val="ListParagraph"/>
        <w:tabs>
          <w:tab w:val="clear" w:pos="1418"/>
          <w:tab w:val="left" w:pos="1440"/>
        </w:tabs>
        <w:ind w:left="0"/>
        <w:rPr>
          <w:rFonts w:cs="Arial"/>
          <w:highlight w:val="yellow"/>
        </w:rPr>
      </w:pPr>
    </w:p>
    <w:p w:rsidR="00DF3CF7" w:rsidRPr="008E6AF8" w:rsidRDefault="00DF3CF7" w:rsidP="00DF3CF7">
      <w:r>
        <w:t>7</w:t>
      </w:r>
      <w:r w:rsidRPr="008E6AF8">
        <w:rPr>
          <w:rFonts w:hint="eastAsia"/>
        </w:rPr>
        <w:t>.13</w:t>
      </w:r>
      <w:r w:rsidRPr="008E6AF8">
        <w:tab/>
      </w:r>
      <w:r w:rsidRPr="008E6AF8">
        <w:rPr>
          <w:rFonts w:hint="eastAsia"/>
        </w:rPr>
        <w:tab/>
      </w:r>
      <w:r w:rsidRPr="008E6AF8">
        <w:t xml:space="preserve">Where discussing the laws of a particular jurisdiction in the paragraphs below, we will therefore use the terminology as adopted in that </w:t>
      </w:r>
      <w:r w:rsidRPr="008E6AF8">
        <w:lastRenderedPageBreak/>
        <w:t xml:space="preserve">regime.  Whilst our focus is on the law on </w:t>
      </w:r>
      <w:r w:rsidRPr="008E6AF8">
        <w:rPr>
          <w:i/>
        </w:rPr>
        <w:t xml:space="preserve">transfer </w:t>
      </w:r>
      <w:r w:rsidRPr="008E6AF8">
        <w:t xml:space="preserve">of records, </w:t>
      </w:r>
      <w:r w:rsidRPr="008E6AF8">
        <w:rPr>
          <w:u w:val="single"/>
        </w:rPr>
        <w:t xml:space="preserve">the following paragraphs will also briefly discuss the law on public access to records, but only for the purposes of giving a more complete picture for the sake of our consultation. </w:t>
      </w:r>
    </w:p>
    <w:p w:rsidR="00DF3CF7" w:rsidRPr="00587C54" w:rsidRDefault="00DF3CF7" w:rsidP="00DF3CF7">
      <w:pPr>
        <w:pStyle w:val="ListParagraph"/>
        <w:tabs>
          <w:tab w:val="clear" w:pos="1418"/>
          <w:tab w:val="left" w:pos="1440"/>
        </w:tabs>
        <w:ind w:left="0"/>
        <w:jc w:val="left"/>
        <w:rPr>
          <w:rFonts w:cs="Arial"/>
        </w:rPr>
      </w:pPr>
    </w:p>
    <w:p w:rsidR="00DF3CF7" w:rsidRDefault="00DF3CF7" w:rsidP="00DF3CF7">
      <w:pPr>
        <w:tabs>
          <w:tab w:val="clear" w:pos="1418"/>
          <w:tab w:val="left" w:pos="-142"/>
          <w:tab w:val="left" w:pos="1440"/>
        </w:tabs>
        <w:rPr>
          <w:rFonts w:cs="Arial"/>
          <w:b/>
        </w:rPr>
      </w:pPr>
    </w:p>
    <w:p w:rsidR="00DF3CF7" w:rsidRPr="00CE0276" w:rsidRDefault="00DF3CF7" w:rsidP="00DF3CF7">
      <w:pPr>
        <w:pStyle w:val="Heading2"/>
      </w:pPr>
      <w:r w:rsidRPr="00CE0276">
        <w:t xml:space="preserve">Other </w:t>
      </w:r>
      <w:r>
        <w:rPr>
          <w:rFonts w:hint="eastAsia"/>
        </w:rPr>
        <w:t>j</w:t>
      </w:r>
      <w:r w:rsidRPr="00CE0276">
        <w:t>urisdictions</w:t>
      </w:r>
    </w:p>
    <w:p w:rsidR="00DF3CF7" w:rsidRDefault="00DF3CF7" w:rsidP="00DF3CF7">
      <w:pPr>
        <w:tabs>
          <w:tab w:val="clear" w:pos="1418"/>
          <w:tab w:val="left" w:pos="-142"/>
          <w:tab w:val="left" w:pos="1440"/>
        </w:tabs>
        <w:rPr>
          <w:rFonts w:cs="Arial"/>
          <w:b/>
          <w:lang w:val="en-US"/>
        </w:rPr>
      </w:pPr>
    </w:p>
    <w:p w:rsidR="00DF3CF7" w:rsidRPr="00CE0276" w:rsidRDefault="00DF3CF7" w:rsidP="00DF3CF7">
      <w:pPr>
        <w:pStyle w:val="Heading3"/>
        <w:rPr>
          <w:sz w:val="20"/>
        </w:rPr>
      </w:pPr>
      <w:r w:rsidRPr="00BF1CF8">
        <w:t>Australia</w:t>
      </w:r>
    </w:p>
    <w:p w:rsidR="00DF3CF7" w:rsidRDefault="00DF3CF7" w:rsidP="00DF3CF7">
      <w:pPr>
        <w:tabs>
          <w:tab w:val="clear" w:pos="1418"/>
          <w:tab w:val="left" w:pos="1440"/>
        </w:tabs>
        <w:rPr>
          <w:rFonts w:cs="Arial"/>
          <w:lang w:val="en-US"/>
        </w:rPr>
      </w:pPr>
    </w:p>
    <w:p w:rsidR="00DF3CF7" w:rsidRPr="00336090" w:rsidRDefault="00DF3CF7" w:rsidP="00B82FC4">
      <w:pPr>
        <w:pStyle w:val="Heading4"/>
        <w:tabs>
          <w:tab w:val="clear" w:pos="1418"/>
          <w:tab w:val="left" w:pos="720"/>
        </w:tabs>
        <w:rPr>
          <w:lang w:val="en-US"/>
        </w:rPr>
      </w:pPr>
      <w:r>
        <w:rPr>
          <w:rFonts w:hint="eastAsia"/>
          <w:lang w:val="en-US"/>
        </w:rPr>
        <w:t>(i)</w:t>
      </w:r>
      <w:r>
        <w:rPr>
          <w:lang w:val="en-US"/>
        </w:rPr>
        <w:tab/>
        <w:t>Transfer of</w:t>
      </w:r>
      <w:r w:rsidRPr="00336090">
        <w:rPr>
          <w:lang w:val="en-US"/>
        </w:rPr>
        <w:t xml:space="preserve"> records to archival authority</w:t>
      </w:r>
    </w:p>
    <w:p w:rsidR="00DF3CF7" w:rsidRPr="00336090" w:rsidRDefault="00DF3CF7" w:rsidP="00DF3CF7">
      <w:pPr>
        <w:pStyle w:val="ListParagraph"/>
        <w:tabs>
          <w:tab w:val="clear" w:pos="1418"/>
          <w:tab w:val="left" w:pos="709"/>
          <w:tab w:val="left" w:pos="1440"/>
        </w:tabs>
        <w:ind w:left="709"/>
        <w:rPr>
          <w:rFonts w:cs="Arial"/>
          <w:lang w:val="en-US"/>
        </w:rPr>
      </w:pPr>
    </w:p>
    <w:p w:rsidR="00DF3CF7" w:rsidRDefault="00DF3CF7" w:rsidP="00DF3CF7">
      <w:r>
        <w:t>7</w:t>
      </w:r>
      <w:r>
        <w:rPr>
          <w:rFonts w:hint="eastAsia"/>
        </w:rPr>
        <w:t>.</w:t>
      </w:r>
      <w:r>
        <w:t>14</w:t>
      </w:r>
      <w:r>
        <w:tab/>
      </w:r>
      <w:r>
        <w:rPr>
          <w:rFonts w:hint="eastAsia"/>
        </w:rPr>
        <w:tab/>
      </w:r>
      <w:r>
        <w:t>Under the 1983 Act, Commonwealth records that are in the custody of a Commonwealth institution other than the NAA and have been determined to be part of the archival resources of the Commonwealth in accordance with the Act must be, subject to exemptions,</w:t>
      </w:r>
      <w:r>
        <w:rPr>
          <w:rStyle w:val="FootnoteReference"/>
          <w:rFonts w:cs="Arial"/>
        </w:rPr>
        <w:footnoteReference w:id="446"/>
      </w:r>
      <w:r>
        <w:t xml:space="preserve"> transferred to the care of the NAA as soon as practicable after they ceased to be "</w:t>
      </w:r>
      <w:r w:rsidRPr="00CE0276">
        <w:rPr>
          <w:i/>
        </w:rPr>
        <w:t>current Commonwealth records</w:t>
      </w:r>
      <w:r>
        <w:t>",</w:t>
      </w:r>
      <w:r>
        <w:rPr>
          <w:rStyle w:val="FootnoteReference"/>
          <w:rFonts w:cs="Arial"/>
        </w:rPr>
        <w:footnoteReference w:id="447"/>
      </w:r>
      <w:r>
        <w:t xml:space="preserve"> and in any event within 15</w:t>
      </w:r>
      <w:r>
        <w:rPr>
          <w:lang w:val="en-US"/>
        </w:rPr>
        <w:t> </w:t>
      </w:r>
      <w:r>
        <w:t>years of the record coming into existence.</w:t>
      </w:r>
      <w:r>
        <w:rPr>
          <w:rStyle w:val="FootnoteReference"/>
          <w:rFonts w:cs="Arial"/>
        </w:rPr>
        <w:footnoteReference w:id="448"/>
      </w:r>
      <w:r>
        <w:t xml:space="preserve">  This 15-year timeframe was reduced from a timeframe of 25 years by an amendment in 2010 made to section 27(3)(b) of the 1983 Act.</w:t>
      </w:r>
      <w:r>
        <w:rPr>
          <w:rStyle w:val="FootnoteReference"/>
        </w:rPr>
        <w:footnoteReference w:id="449"/>
      </w:r>
      <w:r>
        <w:t xml:space="preserve">  This reduction of timeframe was not phased.</w:t>
      </w:r>
    </w:p>
    <w:p w:rsidR="00DF3CF7" w:rsidRDefault="00DF3CF7" w:rsidP="00DF3CF7">
      <w:pPr>
        <w:tabs>
          <w:tab w:val="clear" w:pos="1418"/>
          <w:tab w:val="left" w:pos="1440"/>
        </w:tabs>
        <w:rPr>
          <w:rFonts w:cs="Arial"/>
          <w:lang w:val="en-US"/>
        </w:rPr>
      </w:pPr>
    </w:p>
    <w:p w:rsidR="00DF3CF7" w:rsidRPr="00BF20CE" w:rsidRDefault="00DF3CF7" w:rsidP="00B82FC4">
      <w:pPr>
        <w:pStyle w:val="Heading4"/>
        <w:tabs>
          <w:tab w:val="clear" w:pos="1418"/>
          <w:tab w:val="left" w:pos="720"/>
        </w:tabs>
        <w:rPr>
          <w:lang w:val="en-US"/>
        </w:rPr>
      </w:pPr>
      <w:r>
        <w:rPr>
          <w:rFonts w:hint="eastAsia"/>
          <w:lang w:val="en-US"/>
        </w:rPr>
        <w:t>(ii)</w:t>
      </w:r>
      <w:r>
        <w:rPr>
          <w:lang w:val="en-US"/>
        </w:rPr>
        <w:tab/>
      </w:r>
      <w:r w:rsidRPr="00BF20CE">
        <w:rPr>
          <w:lang w:val="en-US"/>
        </w:rPr>
        <w:t>Public access</w:t>
      </w:r>
    </w:p>
    <w:p w:rsidR="00DF3CF7" w:rsidRPr="00BF20CE" w:rsidRDefault="00DF3CF7" w:rsidP="00DF3CF7">
      <w:pPr>
        <w:tabs>
          <w:tab w:val="clear" w:pos="1418"/>
          <w:tab w:val="left" w:pos="1440"/>
        </w:tabs>
        <w:rPr>
          <w:rFonts w:cs="Arial"/>
          <w:lang w:val="en-US"/>
        </w:rPr>
      </w:pPr>
    </w:p>
    <w:p w:rsidR="00DF3CF7" w:rsidRDefault="00DF3CF7" w:rsidP="00DF3CF7">
      <w:r>
        <w:t>7</w:t>
      </w:r>
      <w:r>
        <w:rPr>
          <w:rFonts w:hint="eastAsia"/>
        </w:rPr>
        <w:t>.</w:t>
      </w:r>
      <w:r>
        <w:t>15</w:t>
      </w:r>
      <w:r>
        <w:tab/>
      </w:r>
      <w:r>
        <w:rPr>
          <w:rFonts w:hint="eastAsia"/>
        </w:rPr>
        <w:tab/>
      </w:r>
      <w:r>
        <w:t>Speaking not in terms of "</w:t>
      </w:r>
      <w:r w:rsidRPr="00CE0276">
        <w:rPr>
          <w:i/>
        </w:rPr>
        <w:t>closure period</w:t>
      </w:r>
      <w:r>
        <w:t>" but "</w:t>
      </w:r>
      <w:r w:rsidRPr="00CE0276">
        <w:rPr>
          <w:i/>
        </w:rPr>
        <w:t>open access period</w:t>
      </w:r>
      <w:r>
        <w:t>", the 1983 Act provides that the NAA must generally cause a Commonwealth record: (1) which is in this period, and (2) which is in its care or in the custody of a Commonwealth institution, and (3) which is not an exempt record, to be made available for public inspection.</w:t>
      </w:r>
      <w:r>
        <w:rPr>
          <w:rStyle w:val="FootnoteReference"/>
          <w:rFonts w:cs="Arial"/>
        </w:rPr>
        <w:footnoteReference w:id="450"/>
      </w:r>
      <w:r>
        <w:t xml:space="preserve"> </w:t>
      </w:r>
      <w:r>
        <w:rPr>
          <w:rFonts w:hint="eastAsia"/>
        </w:rPr>
        <w:t xml:space="preserve"> </w:t>
      </w:r>
      <w:r>
        <w:t xml:space="preserve">The determination of a record to be an exempt record is effectively the equivalent to the process of sensitivity review in England. </w:t>
      </w:r>
      <w:r>
        <w:rPr>
          <w:rFonts w:hint="eastAsia"/>
        </w:rPr>
        <w:t xml:space="preserve"> </w:t>
      </w:r>
      <w:r>
        <w:t>However, in Australia, generally this appraisal of access status is to be performed after the records have been transferred and on the premises of the NAA.</w:t>
      </w:r>
      <w:r>
        <w:rPr>
          <w:rStyle w:val="FootnoteReference"/>
          <w:rFonts w:cs="Arial"/>
        </w:rPr>
        <w:footnoteReference w:id="451"/>
      </w:r>
    </w:p>
    <w:p w:rsidR="00DF3CF7" w:rsidRDefault="00DF3CF7" w:rsidP="00DF3CF7">
      <w:pPr>
        <w:snapToGrid/>
        <w:jc w:val="left"/>
      </w:pPr>
    </w:p>
    <w:p w:rsidR="00DF3CF7" w:rsidRPr="00CE0276" w:rsidRDefault="00DF3CF7" w:rsidP="00DF3CF7">
      <w:pPr>
        <w:rPr>
          <w:shd w:val="clear" w:color="auto" w:fill="FFFF99"/>
        </w:rPr>
      </w:pPr>
      <w:r>
        <w:t>7</w:t>
      </w:r>
      <w:r>
        <w:rPr>
          <w:rFonts w:hint="eastAsia"/>
        </w:rPr>
        <w:t>.</w:t>
      </w:r>
      <w:r>
        <w:t>16</w:t>
      </w:r>
      <w:r>
        <w:tab/>
      </w:r>
      <w:r>
        <w:rPr>
          <w:rFonts w:hint="eastAsia"/>
        </w:rPr>
        <w:tab/>
      </w:r>
      <w:r w:rsidRPr="00E41BFB">
        <w:t>The current open access period of 20 years for Commonwealth records</w:t>
      </w:r>
      <w:r w:rsidRPr="00E41BFB">
        <w:rPr>
          <w:rStyle w:val="FootnoteReference"/>
          <w:rFonts w:cs="Arial"/>
        </w:rPr>
        <w:footnoteReference w:id="452"/>
      </w:r>
      <w:r w:rsidRPr="00E41BFB">
        <w:t xml:space="preserve"> was reduced from 30 years in November 2010, to be phased over a </w:t>
      </w:r>
      <w:r w:rsidRPr="00E41BFB">
        <w:lastRenderedPageBreak/>
        <w:t>10 year period.  Under this change, Commonwealth records created after 2000 will be in the open access period on and after 1 January in the year that is 21 years after the creation year.</w:t>
      </w:r>
      <w:r w:rsidRPr="00B55FB1">
        <w:t xml:space="preserve">    </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t>7</w:t>
      </w:r>
      <w:r>
        <w:rPr>
          <w:rFonts w:hint="eastAsia"/>
        </w:rPr>
        <w:t>.</w:t>
      </w:r>
      <w:r>
        <w:t>17</w:t>
      </w:r>
      <w:r>
        <w:tab/>
      </w:r>
      <w:r>
        <w:rPr>
          <w:rFonts w:hint="eastAsia"/>
        </w:rPr>
        <w:tab/>
      </w:r>
      <w:r>
        <w:t>Access to a record is, however, not dependent on it being first transferred to the NAA.</w:t>
      </w:r>
      <w:r>
        <w:rPr>
          <w:rStyle w:val="FootnoteReference"/>
          <w:rFonts w:cs="Arial"/>
        </w:rPr>
        <w:footnoteReference w:id="453"/>
      </w:r>
      <w:r>
        <w:t xml:space="preserve"> </w:t>
      </w:r>
      <w:r>
        <w:rPr>
          <w:rFonts w:hint="eastAsia"/>
        </w:rPr>
        <w:t xml:space="preserve"> </w:t>
      </w:r>
      <w:r>
        <w:t>Where the relevant record is still in the custody of the relevant Commonwealth institution, that institution must make necessary arrangements with the NAA to enable the latter to meet its obligation to make it publicly available.</w:t>
      </w:r>
      <w:r>
        <w:rPr>
          <w:rStyle w:val="FootnoteReference"/>
          <w:rFonts w:cs="Arial"/>
        </w:rPr>
        <w:footnoteReference w:id="454"/>
      </w:r>
    </w:p>
    <w:p w:rsidR="00DF3CF7" w:rsidRDefault="00DF3CF7" w:rsidP="00DF3CF7">
      <w:pPr>
        <w:pStyle w:val="ListParagraph"/>
        <w:tabs>
          <w:tab w:val="clear" w:pos="1418"/>
          <w:tab w:val="left" w:pos="709"/>
          <w:tab w:val="left" w:pos="1440"/>
        </w:tabs>
        <w:ind w:left="709"/>
        <w:rPr>
          <w:rFonts w:cs="Arial"/>
        </w:rPr>
      </w:pPr>
    </w:p>
    <w:p w:rsidR="00DF3CF7" w:rsidRDefault="00DF3CF7" w:rsidP="00DF3CF7">
      <w:pPr>
        <w:tabs>
          <w:tab w:val="clear" w:pos="1418"/>
          <w:tab w:val="left" w:pos="-142"/>
          <w:tab w:val="left" w:pos="1440"/>
        </w:tabs>
      </w:pPr>
      <w:r>
        <w:t>7</w:t>
      </w:r>
      <w:r>
        <w:rPr>
          <w:rFonts w:hint="eastAsia"/>
        </w:rPr>
        <w:t>.</w:t>
      </w:r>
      <w:r>
        <w:t>18</w:t>
      </w:r>
      <w:r>
        <w:tab/>
        <w:t>Similar to other jurisdictions, a Commonwealth record can be made publicly available before reaching the general open access period (20 years) if authorised by the Minister.</w:t>
      </w:r>
      <w:r>
        <w:rPr>
          <w:rStyle w:val="FootnoteReference"/>
          <w:rFonts w:cs="Arial"/>
        </w:rPr>
        <w:footnoteReference w:id="455"/>
      </w:r>
      <w:r>
        <w:t xml:space="preserve">  Conversely, public access may still be denied even after the end of the 20 years if the record is an exempt record.</w:t>
      </w:r>
      <w:r>
        <w:rPr>
          <w:rStyle w:val="FootnoteReference"/>
          <w:rFonts w:cs="Arial"/>
        </w:rPr>
        <w:footnoteReference w:id="456"/>
      </w:r>
    </w:p>
    <w:p w:rsidR="00DF3CF7" w:rsidRDefault="00DF3CF7" w:rsidP="00DF3CF7">
      <w:pPr>
        <w:tabs>
          <w:tab w:val="clear" w:pos="1418"/>
          <w:tab w:val="left" w:pos="-142"/>
          <w:tab w:val="left" w:pos="1440"/>
        </w:tabs>
        <w:rPr>
          <w:rFonts w:cs="Arial"/>
          <w:b/>
          <w:lang w:val="en-US"/>
        </w:rPr>
      </w:pPr>
    </w:p>
    <w:p w:rsidR="00DF3CF7" w:rsidRPr="0048382E" w:rsidRDefault="00DF3CF7" w:rsidP="00DF3CF7">
      <w:pPr>
        <w:tabs>
          <w:tab w:val="clear" w:pos="1418"/>
          <w:tab w:val="left" w:pos="-142"/>
          <w:tab w:val="left" w:pos="1440"/>
        </w:tabs>
        <w:rPr>
          <w:rFonts w:cs="Arial"/>
          <w:b/>
          <w:lang w:val="en-US"/>
        </w:rPr>
      </w:pPr>
    </w:p>
    <w:p w:rsidR="00DF3CF7" w:rsidRPr="00CE0276" w:rsidRDefault="00DF3CF7" w:rsidP="00DF3CF7">
      <w:pPr>
        <w:pStyle w:val="Heading3"/>
        <w:rPr>
          <w:sz w:val="20"/>
        </w:rPr>
      </w:pPr>
      <w:r>
        <w:t>England</w:t>
      </w:r>
    </w:p>
    <w:p w:rsidR="00DF3CF7" w:rsidRDefault="00DF3CF7" w:rsidP="00DF3CF7">
      <w:pPr>
        <w:pStyle w:val="ListParagraph"/>
        <w:tabs>
          <w:tab w:val="clear" w:pos="1418"/>
          <w:tab w:val="left" w:pos="-142"/>
          <w:tab w:val="left" w:pos="1440"/>
        </w:tabs>
        <w:ind w:leftChars="-59" w:left="-142"/>
        <w:rPr>
          <w:rFonts w:cs="Arial"/>
        </w:rPr>
      </w:pPr>
    </w:p>
    <w:p w:rsidR="00DF3CF7" w:rsidRPr="00CE0276" w:rsidRDefault="00DF3CF7" w:rsidP="00DF3CF7">
      <w:pPr>
        <w:rPr>
          <w:b/>
          <w:i/>
        </w:rPr>
      </w:pPr>
      <w:r>
        <w:t>7</w:t>
      </w:r>
      <w:r>
        <w:rPr>
          <w:rFonts w:hint="eastAsia"/>
        </w:rPr>
        <w:t>.</w:t>
      </w:r>
      <w:r>
        <w:t>19</w:t>
      </w:r>
      <w:r>
        <w:tab/>
      </w:r>
      <w:r>
        <w:rPr>
          <w:rFonts w:hint="eastAsia"/>
        </w:rPr>
        <w:tab/>
      </w:r>
      <w:r>
        <w:t>The FOIA 2000</w:t>
      </w:r>
      <w:r>
        <w:rPr>
          <w:b/>
          <w:i/>
        </w:rPr>
        <w:t xml:space="preserve"> </w:t>
      </w:r>
      <w:r>
        <w:t xml:space="preserve">that came into force in 2005 marked an important watershed as it brought significant changes to public access to public records. </w:t>
      </w:r>
      <w:r>
        <w:rPr>
          <w:rFonts w:hint="eastAsia"/>
        </w:rPr>
        <w:t xml:space="preserve"> </w:t>
      </w:r>
    </w:p>
    <w:p w:rsidR="00DF3CF7" w:rsidRDefault="00DF3CF7" w:rsidP="00DF3CF7">
      <w:pPr>
        <w:tabs>
          <w:tab w:val="clear" w:pos="1418"/>
          <w:tab w:val="left" w:pos="709"/>
          <w:tab w:val="left" w:pos="1440"/>
        </w:tabs>
        <w:rPr>
          <w:rFonts w:cs="Arial"/>
        </w:rPr>
      </w:pPr>
    </w:p>
    <w:p w:rsidR="00DF3CF7" w:rsidRPr="00212E11" w:rsidRDefault="00DF3CF7" w:rsidP="00DF3CF7">
      <w:pPr>
        <w:pStyle w:val="Heading4"/>
      </w:pPr>
      <w:r w:rsidRPr="00212E11">
        <w:t>Regime before the F</w:t>
      </w:r>
      <w:r>
        <w:t>OIA 2000</w:t>
      </w:r>
    </w:p>
    <w:p w:rsidR="00DF3CF7" w:rsidRDefault="00DF3CF7" w:rsidP="00DF3CF7">
      <w:pPr>
        <w:tabs>
          <w:tab w:val="clear" w:pos="1418"/>
          <w:tab w:val="left" w:pos="1440"/>
        </w:tabs>
        <w:rPr>
          <w:rFonts w:cs="Arial"/>
        </w:rPr>
      </w:pPr>
    </w:p>
    <w:p w:rsidR="00DF3CF7" w:rsidRDefault="00DF3CF7" w:rsidP="00DF3CF7">
      <w:r>
        <w:t>7</w:t>
      </w:r>
      <w:r>
        <w:rPr>
          <w:rFonts w:hint="eastAsia"/>
        </w:rPr>
        <w:t>.</w:t>
      </w:r>
      <w:r>
        <w:t>20</w:t>
      </w:r>
      <w:r>
        <w:tab/>
      </w:r>
      <w:r>
        <w:rPr>
          <w:rFonts w:hint="eastAsia"/>
        </w:rPr>
        <w:tab/>
      </w:r>
      <w:r>
        <w:t>Under the 1958 Act, public records selected for permanent preservation were required to be transferred to the Public Record Office (or such other appointed place of deposit) not later than 30 years after their creation subject to possible exception.</w:t>
      </w:r>
      <w:r>
        <w:rPr>
          <w:rStyle w:val="FootnoteReference"/>
          <w:rFonts w:cs="Arial"/>
        </w:rPr>
        <w:footnoteReference w:id="457"/>
      </w:r>
      <w:r>
        <w:t xml:space="preserve">  However, these transferred records shall not be made available for public inspection until they had been in existence for 50 years, or such longer or shorter period as may be prescribed in accordance with the Act.</w:t>
      </w:r>
      <w:r>
        <w:rPr>
          <w:rStyle w:val="FootnoteReference"/>
          <w:rFonts w:cs="Arial"/>
        </w:rPr>
        <w:footnoteReference w:id="458"/>
      </w:r>
      <w:r>
        <w:t xml:space="preserve"> </w:t>
      </w:r>
    </w:p>
    <w:p w:rsidR="00DF3CF7" w:rsidRDefault="00DF3CF7" w:rsidP="00DF3CF7">
      <w:pPr>
        <w:tabs>
          <w:tab w:val="clear" w:pos="1418"/>
          <w:tab w:val="left" w:pos="1440"/>
        </w:tabs>
        <w:rPr>
          <w:rFonts w:cs="Arial"/>
        </w:rPr>
      </w:pPr>
    </w:p>
    <w:p w:rsidR="00DF3CF7" w:rsidRDefault="00DF3CF7" w:rsidP="00DF3CF7">
      <w:r>
        <w:t>7</w:t>
      </w:r>
      <w:r>
        <w:rPr>
          <w:rFonts w:hint="eastAsia"/>
        </w:rPr>
        <w:t>.</w:t>
      </w:r>
      <w:r>
        <w:t>21</w:t>
      </w:r>
      <w:r>
        <w:tab/>
      </w:r>
      <w:r>
        <w:rPr>
          <w:rFonts w:hint="eastAsia"/>
        </w:rPr>
        <w:tab/>
      </w:r>
      <w:r>
        <w:t>The Public Records Act 1967 amended the 1958 Act by abridging the time span before the records could be accessed, such that, subject to exceptions, records generally became available for public inspection at the expiration of the period of 30 years "</w:t>
      </w:r>
      <w:r w:rsidRPr="002E34B2">
        <w:rPr>
          <w:i/>
        </w:rPr>
        <w:t>beginning with the first day of January in the year next after that in which [the records] were created</w:t>
      </w:r>
      <w:r>
        <w:t xml:space="preserve">". </w:t>
      </w:r>
      <w:r>
        <w:rPr>
          <w:rFonts w:hint="eastAsia"/>
        </w:rPr>
        <w:t xml:space="preserve"> </w:t>
      </w:r>
      <w:r>
        <w:t>Thus, for example, a record created in 1973 would be released to the public domain on 1 January 2004.</w:t>
      </w:r>
      <w:r>
        <w:rPr>
          <w:rStyle w:val="FootnoteReference"/>
          <w:rFonts w:cs="Arial"/>
        </w:rPr>
        <w:footnoteReference w:id="459"/>
      </w:r>
      <w:r>
        <w:t xml:space="preserve">  </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lastRenderedPageBreak/>
        <w:t>7</w:t>
      </w:r>
      <w:r>
        <w:rPr>
          <w:rFonts w:hint="eastAsia"/>
        </w:rPr>
        <w:t>.</w:t>
      </w:r>
      <w:r>
        <w:t>22</w:t>
      </w:r>
      <w:r>
        <w:tab/>
      </w:r>
      <w:r>
        <w:rPr>
          <w:rFonts w:hint="eastAsia"/>
        </w:rPr>
        <w:tab/>
      </w:r>
      <w:r>
        <w:t xml:space="preserve">It should be noted that the 1967 Act did not change the relevant deadline for transfer (ie 30 years), bringing </w:t>
      </w:r>
      <w:r>
        <w:rPr>
          <w:i/>
        </w:rPr>
        <w:t>access</w:t>
      </w:r>
      <w:r w:rsidRPr="002E34B2">
        <w:rPr>
          <w:i/>
        </w:rPr>
        <w:t xml:space="preserve"> </w:t>
      </w:r>
      <w:r>
        <w:t xml:space="preserve">to government records into line with their </w:t>
      </w:r>
      <w:r>
        <w:rPr>
          <w:i/>
        </w:rPr>
        <w:t>transfer</w:t>
      </w:r>
      <w:r>
        <w:t xml:space="preserve"> in what was effectively </w:t>
      </w:r>
      <w:r w:rsidRPr="005016E6">
        <w:t xml:space="preserve">a consolidated </w:t>
      </w:r>
      <w:r>
        <w:t>"</w:t>
      </w:r>
      <w:r w:rsidRPr="005016E6">
        <w:t>30-year Rule</w:t>
      </w:r>
      <w:r>
        <w:t>".</w:t>
      </w:r>
      <w:r>
        <w:rPr>
          <w:rStyle w:val="FootnoteReference"/>
          <w:rFonts w:cs="Arial"/>
        </w:rPr>
        <w:footnoteReference w:id="460"/>
      </w:r>
      <w:r>
        <w:t xml:space="preserve"> </w:t>
      </w:r>
      <w:r>
        <w:rPr>
          <w:rFonts w:hint="eastAsia"/>
        </w:rPr>
        <w:t xml:space="preserve"> </w:t>
      </w:r>
    </w:p>
    <w:p w:rsidR="00DF3CF7" w:rsidRPr="00336090" w:rsidRDefault="00DF3CF7" w:rsidP="00DF3CF7">
      <w:pPr>
        <w:tabs>
          <w:tab w:val="clear" w:pos="1418"/>
          <w:tab w:val="left" w:pos="709"/>
          <w:tab w:val="left" w:pos="1440"/>
        </w:tabs>
        <w:rPr>
          <w:rFonts w:cs="Arial"/>
          <w:lang w:val="en-US"/>
        </w:rPr>
      </w:pPr>
    </w:p>
    <w:p w:rsidR="00DF3CF7" w:rsidRDefault="00DF3CF7" w:rsidP="00DF3CF7">
      <w:pPr>
        <w:pStyle w:val="Heading4"/>
      </w:pPr>
      <w:r w:rsidRPr="00526F49">
        <w:t>Regime after the F</w:t>
      </w:r>
      <w:r>
        <w:t>OIA</w:t>
      </w:r>
      <w:r w:rsidRPr="00526F49">
        <w:t xml:space="preserve"> 2000</w:t>
      </w:r>
    </w:p>
    <w:p w:rsidR="00DF3CF7" w:rsidRPr="001705B2" w:rsidRDefault="00DF3CF7" w:rsidP="00DF3CF7">
      <w:pPr>
        <w:keepNext/>
        <w:rPr>
          <w:sz w:val="22"/>
          <w:szCs w:val="22"/>
          <w:lang w:val="en-US"/>
        </w:rPr>
      </w:pPr>
    </w:p>
    <w:p w:rsidR="00DF3CF7" w:rsidRPr="004A0ED7" w:rsidRDefault="00DF3CF7" w:rsidP="009F6B2B">
      <w:pPr>
        <w:pStyle w:val="Heading4"/>
        <w:tabs>
          <w:tab w:val="clear" w:pos="1418"/>
          <w:tab w:val="left" w:pos="720"/>
        </w:tabs>
        <w:rPr>
          <w:lang w:val="en-US"/>
        </w:rPr>
      </w:pPr>
      <w:r>
        <w:rPr>
          <w:rFonts w:hint="eastAsia"/>
          <w:lang w:val="en-US"/>
        </w:rPr>
        <w:t>(i)</w:t>
      </w:r>
      <w:r>
        <w:rPr>
          <w:lang w:val="en-US"/>
        </w:rPr>
        <w:tab/>
      </w:r>
      <w:r w:rsidRPr="004A0ED7">
        <w:rPr>
          <w:lang w:val="en-US"/>
        </w:rPr>
        <w:t xml:space="preserve">Transfer </w:t>
      </w:r>
      <w:r>
        <w:rPr>
          <w:lang w:val="en-US"/>
        </w:rPr>
        <w:t>of</w:t>
      </w:r>
      <w:r w:rsidRPr="004A0ED7">
        <w:rPr>
          <w:lang w:val="en-US"/>
        </w:rPr>
        <w:t xml:space="preserve"> records to archival authority</w:t>
      </w:r>
    </w:p>
    <w:p w:rsidR="00DF3CF7" w:rsidRPr="001705B2" w:rsidRDefault="00DF3CF7" w:rsidP="00DF3CF7">
      <w:pPr>
        <w:keepNext/>
        <w:tabs>
          <w:tab w:val="clear" w:pos="1418"/>
          <w:tab w:val="left" w:pos="1440"/>
        </w:tabs>
        <w:rPr>
          <w:rFonts w:cs="Arial"/>
          <w:sz w:val="22"/>
          <w:szCs w:val="22"/>
        </w:rPr>
      </w:pPr>
    </w:p>
    <w:p w:rsidR="00DF3CF7" w:rsidRDefault="00DF3CF7" w:rsidP="00DF3CF7">
      <w:r>
        <w:t>7</w:t>
      </w:r>
      <w:r>
        <w:rPr>
          <w:rFonts w:hint="eastAsia"/>
        </w:rPr>
        <w:t>.</w:t>
      </w:r>
      <w:r>
        <w:t>23</w:t>
      </w:r>
      <w:r>
        <w:tab/>
      </w:r>
      <w:r>
        <w:rPr>
          <w:rFonts w:hint="eastAsia"/>
        </w:rPr>
        <w:tab/>
      </w:r>
      <w:r w:rsidRPr="005A4902">
        <w:t xml:space="preserve">The </w:t>
      </w:r>
      <w:r>
        <w:t>"</w:t>
      </w:r>
      <w:r w:rsidRPr="005A4902">
        <w:t>30-year Rule</w:t>
      </w:r>
      <w:r>
        <w:t>"</w:t>
      </w:r>
      <w:r w:rsidRPr="005A4902">
        <w:t xml:space="preserve"> </w:t>
      </w:r>
      <w:r>
        <w:t xml:space="preserve">on </w:t>
      </w:r>
      <w:r w:rsidRPr="005A4902">
        <w:t xml:space="preserve">transfer survives the FOIA 2000 - public records selected for permanent preservation are still required to be transferred to </w:t>
      </w:r>
      <w:r>
        <w:t>the now</w:t>
      </w:r>
      <w:r w:rsidRPr="005A4902">
        <w:t xml:space="preserve"> TNA </w:t>
      </w:r>
      <w:r>
        <w:t>(</w:t>
      </w:r>
      <w:r w:rsidRPr="005A4902">
        <w:t>or an appointed place of deposit</w:t>
      </w:r>
      <w:r>
        <w:t>)</w:t>
      </w:r>
      <w:r w:rsidRPr="005A4902">
        <w:t xml:space="preserve"> not later than 30 years after their creation, subject to exceptions.</w:t>
      </w:r>
      <w:r>
        <w:t xml:space="preserve">  An independent review of the "30-year Rule" in 2009 recommended replacing it with a "15-year Rule".</w:t>
      </w:r>
      <w:r>
        <w:rPr>
          <w:rStyle w:val="FootnoteReference"/>
          <w:rFonts w:cs="Arial"/>
        </w:rPr>
        <w:footnoteReference w:id="461"/>
      </w:r>
      <w:r>
        <w:t xml:space="preserve"> </w:t>
      </w:r>
      <w:r>
        <w:rPr>
          <w:rFonts w:hint="eastAsia"/>
        </w:rPr>
        <w:t xml:space="preserve"> </w:t>
      </w:r>
      <w:r>
        <w:t xml:space="preserve">Eventually, both the 1958 Act and FOIA 2000 were amended by the Constitutional Reform and Governance Act 2010 which, instead, introduced a "20-year Rule".  This reduction from a "30-year Rule" to "20-year Rule" on </w:t>
      </w:r>
      <w:r>
        <w:rPr>
          <w:i/>
        </w:rPr>
        <w:t xml:space="preserve">transfer </w:t>
      </w:r>
      <w:r>
        <w:t>was to take place over a 10-year transitional period.</w:t>
      </w:r>
      <w:r>
        <w:rPr>
          <w:rStyle w:val="FootnoteReference"/>
          <w:rFonts w:cs="Arial"/>
        </w:rPr>
        <w:footnoteReference w:id="462"/>
      </w:r>
      <w:r>
        <w:t xml:space="preserve">  When a record is to be transferred, the department concerned should conduct a "sensitivity review", determining whether the record is </w:t>
      </w:r>
      <w:r>
        <w:rPr>
          <w:i/>
        </w:rPr>
        <w:t>"</w:t>
      </w:r>
      <w:r w:rsidRPr="006B6978">
        <w:rPr>
          <w:i/>
        </w:rPr>
        <w:t>open</w:t>
      </w:r>
      <w:r>
        <w:rPr>
          <w:i/>
        </w:rPr>
        <w:t xml:space="preserve"> on transfer</w:t>
      </w:r>
      <w:r>
        <w:t>" (ie access exemptions under the FOIA 2000 not applicable) or "</w:t>
      </w:r>
      <w:r w:rsidRPr="006B6978">
        <w:rPr>
          <w:i/>
        </w:rPr>
        <w:t>transferred as closed</w:t>
      </w:r>
      <w:r>
        <w:t>" (ie such exemption(s) applicable).</w:t>
      </w:r>
      <w:r>
        <w:rPr>
          <w:rStyle w:val="FootnoteReference"/>
          <w:rFonts w:cs="Arial"/>
        </w:rPr>
        <w:footnoteReference w:id="463"/>
      </w:r>
      <w:r>
        <w:t xml:space="preserve"> </w:t>
      </w:r>
    </w:p>
    <w:p w:rsidR="00DF3CF7" w:rsidRPr="001705B2" w:rsidRDefault="00DF3CF7" w:rsidP="00DF3CF7">
      <w:pPr>
        <w:pStyle w:val="ListParagraph"/>
        <w:tabs>
          <w:tab w:val="clear" w:pos="1418"/>
          <w:tab w:val="left" w:pos="709"/>
          <w:tab w:val="left" w:pos="1440"/>
        </w:tabs>
        <w:ind w:left="709"/>
        <w:rPr>
          <w:rFonts w:cs="Arial"/>
          <w:sz w:val="22"/>
          <w:szCs w:val="22"/>
        </w:rPr>
      </w:pPr>
    </w:p>
    <w:p w:rsidR="00DF3CF7" w:rsidRPr="005016E6" w:rsidRDefault="00DF3CF7" w:rsidP="009F6B2B">
      <w:pPr>
        <w:pStyle w:val="Heading4"/>
        <w:tabs>
          <w:tab w:val="clear" w:pos="1418"/>
          <w:tab w:val="left" w:pos="720"/>
        </w:tabs>
        <w:rPr>
          <w:lang w:val="en-US"/>
        </w:rPr>
      </w:pPr>
      <w:r>
        <w:rPr>
          <w:lang w:val="en-US"/>
        </w:rPr>
        <w:t>(ii)</w:t>
      </w:r>
      <w:r>
        <w:rPr>
          <w:lang w:val="en-US"/>
        </w:rPr>
        <w:tab/>
      </w:r>
      <w:r w:rsidRPr="005C4F51">
        <w:rPr>
          <w:lang w:val="en-US"/>
        </w:rPr>
        <w:t>Public a</w:t>
      </w:r>
      <w:r w:rsidRPr="00766FDB">
        <w:rPr>
          <w:lang w:val="en-US"/>
        </w:rPr>
        <w:t>ccess</w:t>
      </w:r>
      <w:r w:rsidRPr="005C4F51">
        <w:rPr>
          <w:lang w:val="en-US"/>
        </w:rPr>
        <w:t xml:space="preserve"> </w:t>
      </w:r>
    </w:p>
    <w:p w:rsidR="00DF3CF7" w:rsidRPr="001705B2" w:rsidRDefault="00DF3CF7" w:rsidP="00DF3CF7">
      <w:pPr>
        <w:tabs>
          <w:tab w:val="clear" w:pos="1418"/>
          <w:tab w:val="left" w:pos="1440"/>
        </w:tabs>
        <w:rPr>
          <w:rFonts w:cs="Arial"/>
          <w:sz w:val="22"/>
          <w:szCs w:val="22"/>
        </w:rPr>
      </w:pPr>
    </w:p>
    <w:p w:rsidR="00DF3CF7" w:rsidRDefault="00DF3CF7" w:rsidP="00DF3CF7">
      <w:r>
        <w:t>7</w:t>
      </w:r>
      <w:r>
        <w:rPr>
          <w:rFonts w:hint="eastAsia"/>
        </w:rPr>
        <w:t>.</w:t>
      </w:r>
      <w:r>
        <w:t>24</w:t>
      </w:r>
      <w:r>
        <w:tab/>
      </w:r>
      <w:r>
        <w:rPr>
          <w:rFonts w:hint="eastAsia"/>
        </w:rPr>
        <w:tab/>
      </w:r>
      <w:r>
        <w:t xml:space="preserve">The "30-year Rule" on access is abolished under the FOIA 2000 regime, and the public can generally have access to a government record </w:t>
      </w:r>
      <w:r>
        <w:rPr>
          <w:i/>
        </w:rPr>
        <w:t>as soon as it is created</w:t>
      </w:r>
      <w:r>
        <w:t xml:space="preserve">, unless an exemption in the FOIA 2000 applies. </w:t>
      </w:r>
      <w:r>
        <w:rPr>
          <w:rFonts w:hint="eastAsia"/>
        </w:rPr>
        <w:t xml:space="preserve"> </w:t>
      </w:r>
      <w:r>
        <w:t>Moreover, this general right to access a public record does not depend on it having been transferred to the archival authority (or an appointed place of deposit), and where it has not been so transferred, the public could simply approach the relevant authority that holds it.</w:t>
      </w:r>
      <w:r>
        <w:rPr>
          <w:rStyle w:val="FootnoteReference"/>
          <w:rFonts w:cs="Arial"/>
        </w:rPr>
        <w:footnoteReference w:id="464"/>
      </w:r>
      <w:r>
        <w:rPr>
          <w:rFonts w:hint="eastAsia"/>
        </w:rPr>
        <w:t xml:space="preserve"> </w:t>
      </w:r>
      <w:r>
        <w:t xml:space="preserve">  </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t>7</w:t>
      </w:r>
      <w:r>
        <w:rPr>
          <w:rFonts w:hint="eastAsia"/>
        </w:rPr>
        <w:t>.2</w:t>
      </w:r>
      <w:r>
        <w:t>5</w:t>
      </w:r>
      <w:r>
        <w:tab/>
      </w:r>
      <w:r>
        <w:rPr>
          <w:rFonts w:hint="eastAsia"/>
        </w:rPr>
        <w:tab/>
      </w:r>
      <w:r>
        <w:t xml:space="preserve">The point was succinctly put by the 30 Year Rule Review team in its Final Report published in January 2009:- </w:t>
      </w:r>
    </w:p>
    <w:p w:rsidR="00DF3CF7" w:rsidRDefault="00DF3CF7" w:rsidP="00DF3CF7">
      <w:pPr>
        <w:pStyle w:val="ListParagraph"/>
        <w:tabs>
          <w:tab w:val="clear" w:pos="1418"/>
          <w:tab w:val="left" w:pos="709"/>
          <w:tab w:val="left" w:pos="1440"/>
        </w:tabs>
        <w:ind w:left="1440"/>
        <w:rPr>
          <w:rFonts w:cs="Arial"/>
          <w:i/>
        </w:rPr>
      </w:pPr>
    </w:p>
    <w:p w:rsidR="00DF3CF7" w:rsidRPr="00AE2FF3" w:rsidRDefault="00DF3CF7" w:rsidP="00DF3CF7">
      <w:pPr>
        <w:pStyle w:val="BlockText"/>
      </w:pPr>
      <w:r>
        <w:t>"</w:t>
      </w:r>
      <w:r w:rsidRPr="00AE2FF3">
        <w:t xml:space="preserve">Before the </w:t>
      </w:r>
      <w:r>
        <w:t>[FOIA 2000]</w:t>
      </w:r>
      <w:r w:rsidRPr="00AE2FF3">
        <w:t xml:space="preserve"> came into force, official records were presumed </w:t>
      </w:r>
      <w:r w:rsidRPr="00AE2FF3">
        <w:rPr>
          <w:u w:val="single"/>
        </w:rPr>
        <w:t>closed</w:t>
      </w:r>
      <w:r w:rsidRPr="00AE2FF3">
        <w:t xml:space="preserve"> until they were at least 30 years old and had been transferred to </w:t>
      </w:r>
      <w:r>
        <w:t>[TNA]</w:t>
      </w:r>
      <w:r w:rsidRPr="00AE2FF3">
        <w:t xml:space="preserve">. </w:t>
      </w:r>
      <w:r>
        <w:rPr>
          <w:rFonts w:hint="eastAsia"/>
        </w:rPr>
        <w:t xml:space="preserve"> </w:t>
      </w:r>
      <w:r w:rsidRPr="00AE2FF3">
        <w:t xml:space="preserve">Under </w:t>
      </w:r>
      <w:r>
        <w:t>[FOIA 2000]</w:t>
      </w:r>
      <w:r w:rsidRPr="00AE2FF3">
        <w:t xml:space="preserve">, such information is presumed </w:t>
      </w:r>
      <w:r w:rsidRPr="00AE2FF3">
        <w:rPr>
          <w:u w:val="single"/>
        </w:rPr>
        <w:t>open</w:t>
      </w:r>
      <w:r w:rsidRPr="00AE2FF3">
        <w:t xml:space="preserve"> from the time it is created, and long before it is transferred to </w:t>
      </w:r>
      <w:r>
        <w:t>[TNA]</w:t>
      </w:r>
      <w:r w:rsidRPr="00AE2FF3">
        <w:t>, and it must be made available unless specific exemption criteria apply.</w:t>
      </w:r>
      <w:r>
        <w:t>"</w:t>
      </w:r>
      <w:r w:rsidRPr="00A37B63">
        <w:rPr>
          <w:rStyle w:val="FootnoteReference"/>
          <w:rFonts w:cs="Arial"/>
          <w:i w:val="0"/>
        </w:rPr>
        <w:footnoteReference w:id="465"/>
      </w:r>
    </w:p>
    <w:p w:rsidR="00DF3CF7" w:rsidRDefault="00DF3CF7" w:rsidP="00DF3CF7">
      <w:pPr>
        <w:pStyle w:val="ListParagraph"/>
        <w:tabs>
          <w:tab w:val="clear" w:pos="1418"/>
          <w:tab w:val="left" w:pos="709"/>
          <w:tab w:val="left" w:pos="1440"/>
        </w:tabs>
        <w:ind w:left="709"/>
        <w:rPr>
          <w:rFonts w:cs="Arial"/>
          <w:lang w:val="en-US"/>
        </w:rPr>
      </w:pPr>
    </w:p>
    <w:p w:rsidR="00DF3CF7" w:rsidRDefault="00DF3CF7" w:rsidP="00DF3CF7">
      <w:pPr>
        <w:rPr>
          <w:lang w:val="en-US"/>
        </w:rPr>
      </w:pPr>
      <w:r>
        <w:t>7</w:t>
      </w:r>
      <w:r>
        <w:rPr>
          <w:rFonts w:hint="eastAsia"/>
        </w:rPr>
        <w:t>.2</w:t>
      </w:r>
      <w:r>
        <w:t>6</w:t>
      </w:r>
      <w:r>
        <w:tab/>
      </w:r>
      <w:r>
        <w:tab/>
        <w:t>Following this latest development, a record would become a "</w:t>
      </w:r>
      <w:r w:rsidRPr="00D07133">
        <w:rPr>
          <w:i/>
        </w:rPr>
        <w:t>historical record</w:t>
      </w:r>
      <w:r>
        <w:t>" at the end of 20 years beginning with the year following that in which it was created.</w:t>
      </w:r>
      <w:r>
        <w:rPr>
          <w:rStyle w:val="FootnoteReference"/>
          <w:rFonts w:cs="Arial"/>
        </w:rPr>
        <w:footnoteReference w:id="466"/>
      </w:r>
      <w:r>
        <w:rPr>
          <w:rFonts w:hint="eastAsia"/>
        </w:rPr>
        <w:t xml:space="preserve"> </w:t>
      </w:r>
      <w:r>
        <w:t xml:space="preserve"> The implication is that the categories of exemptions to public inspection would be fewer.</w:t>
      </w:r>
      <w:r>
        <w:rPr>
          <w:rStyle w:val="FootnoteReference"/>
          <w:rFonts w:cs="Arial"/>
        </w:rPr>
        <w:footnoteReference w:id="467"/>
      </w:r>
    </w:p>
    <w:p w:rsidR="00DF3CF7" w:rsidRPr="0096286C" w:rsidRDefault="00DF3CF7" w:rsidP="00DF3CF7">
      <w:pPr>
        <w:tabs>
          <w:tab w:val="clear" w:pos="1418"/>
          <w:tab w:val="left" w:pos="709"/>
          <w:tab w:val="left" w:pos="1440"/>
        </w:tabs>
        <w:rPr>
          <w:rFonts w:cs="Arial"/>
          <w:lang w:val="en-US"/>
        </w:rPr>
      </w:pPr>
    </w:p>
    <w:p w:rsidR="00DF3CF7" w:rsidRPr="0096286C" w:rsidRDefault="00DF3CF7" w:rsidP="00DF3CF7">
      <w:pPr>
        <w:tabs>
          <w:tab w:val="clear" w:pos="1418"/>
          <w:tab w:val="left" w:pos="709"/>
          <w:tab w:val="left" w:pos="1440"/>
        </w:tabs>
        <w:rPr>
          <w:rFonts w:cs="Arial"/>
          <w:lang w:val="en-US"/>
        </w:rPr>
      </w:pPr>
    </w:p>
    <w:p w:rsidR="00DF3CF7" w:rsidRPr="00587C54" w:rsidRDefault="00DF3CF7" w:rsidP="00DF3CF7">
      <w:pPr>
        <w:pStyle w:val="Heading3"/>
      </w:pPr>
      <w:r w:rsidRPr="006F0BA3">
        <w:t>Ireland</w:t>
      </w:r>
    </w:p>
    <w:p w:rsidR="00DF3CF7" w:rsidRPr="000A635C" w:rsidRDefault="00DF3CF7" w:rsidP="00DF3CF7">
      <w:pPr>
        <w:tabs>
          <w:tab w:val="clear" w:pos="1418"/>
          <w:tab w:val="left" w:pos="709"/>
          <w:tab w:val="left" w:pos="1440"/>
        </w:tabs>
        <w:rPr>
          <w:rFonts w:cs="Arial"/>
        </w:rPr>
      </w:pPr>
    </w:p>
    <w:p w:rsidR="00DF3CF7" w:rsidRDefault="00DF3CF7" w:rsidP="00DF3CF7">
      <w:r>
        <w:t>7</w:t>
      </w:r>
      <w:r>
        <w:rPr>
          <w:rFonts w:hint="eastAsia"/>
        </w:rPr>
        <w:t>.</w:t>
      </w:r>
      <w:r>
        <w:t>27</w:t>
      </w:r>
      <w:r>
        <w:tab/>
      </w:r>
      <w:r>
        <w:rPr>
          <w:rFonts w:hint="eastAsia"/>
        </w:rPr>
        <w:tab/>
      </w:r>
      <w:r>
        <w:t>The 1986 Act does not adopt closure period, open access period, or other similar phrases.</w:t>
      </w:r>
      <w:r>
        <w:rPr>
          <w:rFonts w:hint="eastAsia"/>
        </w:rPr>
        <w:t xml:space="preserve"> </w:t>
      </w:r>
      <w:r>
        <w:t xml:space="preserve"> Instead, the substance of this concept is enunciated in the relevant provisions concerning transfer and access, both of which carry a deadline of 30 years.</w:t>
      </w:r>
      <w:r>
        <w:rPr>
          <w:rStyle w:val="FootnoteReference"/>
        </w:rPr>
        <w:footnoteReference w:id="468"/>
      </w:r>
      <w:r>
        <w:t xml:space="preserve"> </w:t>
      </w:r>
    </w:p>
    <w:p w:rsidR="00DF3CF7" w:rsidRDefault="00DF3CF7" w:rsidP="00DF3CF7">
      <w:pPr>
        <w:pStyle w:val="ListParagraph"/>
        <w:tabs>
          <w:tab w:val="clear" w:pos="1418"/>
          <w:tab w:val="left" w:pos="709"/>
          <w:tab w:val="left" w:pos="1440"/>
        </w:tabs>
        <w:ind w:left="709"/>
        <w:rPr>
          <w:rFonts w:cs="Arial"/>
          <w:lang w:val="en-US"/>
        </w:rPr>
      </w:pPr>
    </w:p>
    <w:p w:rsidR="00DF3CF7" w:rsidRPr="002B0563" w:rsidRDefault="00DF3CF7" w:rsidP="009F6B2B">
      <w:pPr>
        <w:pStyle w:val="Heading4"/>
        <w:tabs>
          <w:tab w:val="clear" w:pos="1418"/>
          <w:tab w:val="left" w:pos="720"/>
        </w:tabs>
        <w:rPr>
          <w:lang w:val="en-US"/>
        </w:rPr>
      </w:pPr>
      <w:r>
        <w:rPr>
          <w:rFonts w:hint="eastAsia"/>
          <w:lang w:val="en-US"/>
        </w:rPr>
        <w:t>(i)</w:t>
      </w:r>
      <w:r>
        <w:rPr>
          <w:lang w:val="en-US"/>
        </w:rPr>
        <w:tab/>
      </w:r>
      <w:r w:rsidRPr="002B0563">
        <w:rPr>
          <w:lang w:val="en-US"/>
        </w:rPr>
        <w:t>Transfer of records to archival authority</w:t>
      </w:r>
    </w:p>
    <w:p w:rsidR="00DF3CF7" w:rsidRPr="002B0563" w:rsidRDefault="00DF3CF7" w:rsidP="00DF3CF7">
      <w:pPr>
        <w:pStyle w:val="ListParagraph"/>
        <w:tabs>
          <w:tab w:val="clear" w:pos="1418"/>
          <w:tab w:val="left" w:pos="709"/>
          <w:tab w:val="left" w:pos="1440"/>
        </w:tabs>
        <w:ind w:left="709"/>
        <w:rPr>
          <w:rFonts w:cs="Arial"/>
          <w:lang w:val="en-US"/>
        </w:rPr>
      </w:pPr>
    </w:p>
    <w:p w:rsidR="00DF3CF7" w:rsidRDefault="00DF3CF7" w:rsidP="00DF3CF7">
      <w:r>
        <w:t>7</w:t>
      </w:r>
      <w:r>
        <w:rPr>
          <w:rFonts w:hint="eastAsia"/>
        </w:rPr>
        <w:t>.</w:t>
      </w:r>
      <w:r>
        <w:t>28</w:t>
      </w:r>
      <w:r>
        <w:tab/>
      </w:r>
      <w:r>
        <w:rPr>
          <w:rFonts w:hint="eastAsia"/>
        </w:rPr>
        <w:tab/>
      </w:r>
      <w:r>
        <w:t xml:space="preserve">The 1986 Act </w:t>
      </w:r>
      <w:r w:rsidRPr="00484AE2">
        <w:t xml:space="preserve">provides that departmental records which are more than 30 years old shall, subject to exceptions </w:t>
      </w:r>
      <w:r>
        <w:t>(</w:t>
      </w:r>
      <w:r w:rsidRPr="00484AE2">
        <w:t>such as where the record (or a class of records) concerned is in regular use</w:t>
      </w:r>
      <w:r>
        <w:t>)</w:t>
      </w:r>
      <w:r w:rsidRPr="00484AE2">
        <w:t>,</w:t>
      </w:r>
      <w:r>
        <w:rPr>
          <w:rStyle w:val="FootnoteReference"/>
          <w:rFonts w:cs="Arial"/>
        </w:rPr>
        <w:footnoteReference w:id="469"/>
      </w:r>
      <w:r w:rsidRPr="00484AE2">
        <w:t xml:space="preserve"> be transferred by the Department of State in which they were made to the </w:t>
      </w:r>
      <w:r>
        <w:t>NAI.</w:t>
      </w:r>
      <w:r>
        <w:rPr>
          <w:rStyle w:val="FootnoteReference"/>
          <w:rFonts w:cs="Arial"/>
        </w:rPr>
        <w:footnoteReference w:id="470"/>
      </w:r>
      <w:r>
        <w:t xml:space="preserve">  </w:t>
      </w:r>
      <w:r w:rsidRPr="009F3E07">
        <w:t xml:space="preserve">For the purposes of the 1986 Act, the deposit of specified Departmental records in any place approved by the Taoiseach after consultation with the Director of the </w:t>
      </w:r>
      <w:r>
        <w:t xml:space="preserve">NAI </w:t>
      </w:r>
      <w:r w:rsidRPr="009F3E07">
        <w:t xml:space="preserve">shall constitute a transfer to the </w:t>
      </w:r>
      <w:r>
        <w:t>NAI</w:t>
      </w:r>
      <w:r w:rsidRPr="009F3E07">
        <w:t>.</w:t>
      </w:r>
      <w:r>
        <w:rPr>
          <w:rStyle w:val="FootnoteReference"/>
        </w:rPr>
        <w:footnoteReference w:id="471"/>
      </w:r>
    </w:p>
    <w:p w:rsidR="00DF3CF7" w:rsidRDefault="00DF3CF7" w:rsidP="00DF3CF7">
      <w:pPr>
        <w:pStyle w:val="ListParagraph"/>
        <w:tabs>
          <w:tab w:val="clear" w:pos="1418"/>
          <w:tab w:val="left" w:pos="709"/>
          <w:tab w:val="left" w:pos="1440"/>
        </w:tabs>
        <w:ind w:left="709"/>
        <w:rPr>
          <w:rFonts w:cs="Arial"/>
          <w:lang w:val="en-US"/>
        </w:rPr>
      </w:pPr>
    </w:p>
    <w:p w:rsidR="00DF3CF7" w:rsidRPr="002B0563" w:rsidRDefault="00DF3CF7" w:rsidP="009F6B2B">
      <w:pPr>
        <w:pStyle w:val="Heading4"/>
        <w:tabs>
          <w:tab w:val="clear" w:pos="1418"/>
          <w:tab w:val="left" w:pos="720"/>
        </w:tabs>
        <w:rPr>
          <w:lang w:val="en-US"/>
        </w:rPr>
      </w:pPr>
      <w:r>
        <w:rPr>
          <w:rFonts w:hint="eastAsia"/>
          <w:lang w:val="en-US"/>
        </w:rPr>
        <w:lastRenderedPageBreak/>
        <w:t>(ii)</w:t>
      </w:r>
      <w:r>
        <w:rPr>
          <w:lang w:val="en-US"/>
        </w:rPr>
        <w:tab/>
      </w:r>
      <w:r w:rsidRPr="002B0563">
        <w:rPr>
          <w:lang w:val="en-US"/>
        </w:rPr>
        <w:t>Public access</w:t>
      </w:r>
    </w:p>
    <w:p w:rsidR="00DF3CF7" w:rsidRPr="002B0563" w:rsidRDefault="00DF3CF7" w:rsidP="00DF3CF7">
      <w:pPr>
        <w:pStyle w:val="ListParagraph"/>
        <w:keepNext/>
        <w:tabs>
          <w:tab w:val="clear" w:pos="1418"/>
          <w:tab w:val="left" w:pos="709"/>
          <w:tab w:val="left" w:pos="1440"/>
        </w:tabs>
        <w:ind w:left="709"/>
        <w:rPr>
          <w:rFonts w:cs="Arial"/>
          <w:lang w:val="en-US"/>
        </w:rPr>
      </w:pPr>
    </w:p>
    <w:p w:rsidR="00DF3CF7" w:rsidRDefault="00DF3CF7" w:rsidP="00DF3CF7">
      <w:pPr>
        <w:keepNext/>
      </w:pPr>
      <w:r>
        <w:t>7</w:t>
      </w:r>
      <w:r>
        <w:rPr>
          <w:rFonts w:hint="eastAsia"/>
        </w:rPr>
        <w:t>.</w:t>
      </w:r>
      <w:r>
        <w:t>29</w:t>
      </w:r>
      <w:r>
        <w:tab/>
      </w:r>
      <w:r>
        <w:rPr>
          <w:rFonts w:hint="eastAsia"/>
        </w:rPr>
        <w:tab/>
      </w:r>
      <w:r>
        <w:t xml:space="preserve">The 1986 Act goes on to provide that </w:t>
      </w:r>
      <w:r w:rsidRPr="00484AE2">
        <w:t>all archives in the custody of the N</w:t>
      </w:r>
      <w:r>
        <w:t>AI</w:t>
      </w:r>
      <w:r w:rsidRPr="00484AE2">
        <w:t xml:space="preserve"> or held elsewhere in accordance with the Act shall, subject to</w:t>
      </w:r>
      <w:r>
        <w:t xml:space="preserve"> regulations made in accordance with the Act</w:t>
      </w:r>
      <w:r w:rsidRPr="00484AE2">
        <w:t>, be made available for public inspection</w:t>
      </w:r>
      <w:r>
        <w:t>, except:-</w:t>
      </w:r>
    </w:p>
    <w:p w:rsidR="00DF3CF7" w:rsidRDefault="00DF3CF7" w:rsidP="00DF3CF7">
      <w:pPr>
        <w:pStyle w:val="ListParagraph"/>
        <w:tabs>
          <w:tab w:val="clear" w:pos="1418"/>
          <w:tab w:val="left" w:pos="1440"/>
          <w:tab w:val="left" w:pos="1560"/>
        </w:tabs>
        <w:ind w:left="1560"/>
        <w:rPr>
          <w:rFonts w:cs="Arial"/>
        </w:rPr>
      </w:pPr>
    </w:p>
    <w:p w:rsidR="00DF3CF7" w:rsidRPr="00944B9B" w:rsidRDefault="00DF3CF7" w:rsidP="00DF3CF7">
      <w:pPr>
        <w:tabs>
          <w:tab w:val="clear" w:pos="1418"/>
          <w:tab w:val="left" w:pos="1440"/>
        </w:tabs>
        <w:ind w:left="1440" w:hanging="720"/>
        <w:rPr>
          <w:rFonts w:cs="Arial"/>
        </w:rPr>
      </w:pPr>
      <w:r>
        <w:rPr>
          <w:rFonts w:cs="Arial" w:hint="eastAsia"/>
        </w:rPr>
        <w:t>(i)</w:t>
      </w:r>
      <w:r>
        <w:rPr>
          <w:rFonts w:cs="Arial"/>
        </w:rPr>
        <w:tab/>
      </w:r>
      <w:r w:rsidRPr="00123218">
        <w:rPr>
          <w:rFonts w:cs="Arial"/>
        </w:rPr>
        <w:t>archives which were formerly Departmental records (other than court or testamentary documents) and are less than 30 years old,</w:t>
      </w:r>
    </w:p>
    <w:p w:rsidR="00DF3CF7" w:rsidRDefault="00DF3CF7">
      <w:pPr>
        <w:pStyle w:val="ListParagraph"/>
        <w:tabs>
          <w:tab w:val="clear" w:pos="1418"/>
          <w:tab w:val="left" w:pos="1440"/>
        </w:tabs>
        <w:ind w:left="1440" w:hanging="720"/>
        <w:rPr>
          <w:rFonts w:cs="Arial"/>
        </w:rPr>
      </w:pPr>
    </w:p>
    <w:p w:rsidR="00DF3CF7" w:rsidRPr="008F1625" w:rsidRDefault="00DF3CF7" w:rsidP="00DF3CF7">
      <w:pPr>
        <w:tabs>
          <w:tab w:val="clear" w:pos="1418"/>
          <w:tab w:val="left" w:pos="1440"/>
        </w:tabs>
        <w:ind w:left="1440" w:hanging="720"/>
        <w:rPr>
          <w:rFonts w:cs="Arial"/>
        </w:rPr>
      </w:pPr>
      <w:r>
        <w:rPr>
          <w:rFonts w:cs="Arial" w:hint="eastAsia"/>
        </w:rPr>
        <w:t>(ii)</w:t>
      </w:r>
      <w:r>
        <w:rPr>
          <w:rFonts w:cs="Arial"/>
        </w:rPr>
        <w:tab/>
      </w:r>
      <w:r w:rsidRPr="00944B9B">
        <w:rPr>
          <w:rFonts w:cs="Arial"/>
        </w:rPr>
        <w:t>archives</w:t>
      </w:r>
      <w:r w:rsidRPr="008F1625">
        <w:rPr>
          <w:rFonts w:cs="Arial"/>
        </w:rPr>
        <w:t xml:space="preserve"> which were formerly Departmental records and have been certified by an authorised officer that to make them available for public inspection </w:t>
      </w:r>
    </w:p>
    <w:p w:rsidR="00DF3CF7" w:rsidRDefault="00DF3CF7" w:rsidP="00DF3CF7">
      <w:pPr>
        <w:pStyle w:val="ListParagraph"/>
        <w:tabs>
          <w:tab w:val="clear" w:pos="1418"/>
          <w:tab w:val="left" w:pos="1440"/>
          <w:tab w:val="left" w:pos="2268"/>
        </w:tabs>
        <w:ind w:left="2268"/>
        <w:rPr>
          <w:rFonts w:cs="Arial"/>
        </w:rPr>
      </w:pPr>
    </w:p>
    <w:p w:rsidR="00DF3CF7" w:rsidRPr="008F1625" w:rsidRDefault="00DF3CF7" w:rsidP="00DF3CF7">
      <w:pPr>
        <w:ind w:left="2160" w:hanging="720"/>
        <w:rPr>
          <w:rFonts w:cs="Arial"/>
        </w:rPr>
      </w:pPr>
      <w:r>
        <w:rPr>
          <w:rFonts w:cs="Arial" w:hint="eastAsia"/>
        </w:rPr>
        <w:t>(a)</w:t>
      </w:r>
      <w:r>
        <w:rPr>
          <w:rFonts w:cs="Arial"/>
        </w:rPr>
        <w:tab/>
      </w:r>
      <w:r w:rsidRPr="00944B9B">
        <w:rPr>
          <w:rFonts w:cs="Arial"/>
        </w:rPr>
        <w:t>would be contrary to the public interest, or</w:t>
      </w:r>
    </w:p>
    <w:p w:rsidR="00DF3CF7" w:rsidRDefault="00DF3CF7">
      <w:pPr>
        <w:pStyle w:val="ListParagraph"/>
        <w:tabs>
          <w:tab w:val="clear" w:pos="1418"/>
          <w:tab w:val="left" w:pos="1440"/>
          <w:tab w:val="left" w:pos="2268"/>
        </w:tabs>
        <w:ind w:left="2160" w:hanging="720"/>
        <w:rPr>
          <w:rFonts w:cs="Arial"/>
        </w:rPr>
      </w:pPr>
    </w:p>
    <w:p w:rsidR="00DF3CF7" w:rsidRPr="008F1625" w:rsidRDefault="00DF3CF7" w:rsidP="00DF3CF7">
      <w:pPr>
        <w:tabs>
          <w:tab w:val="clear" w:pos="1418"/>
          <w:tab w:val="left" w:pos="1440"/>
          <w:tab w:val="left" w:pos="2268"/>
        </w:tabs>
        <w:ind w:left="2160" w:hanging="720"/>
        <w:rPr>
          <w:rFonts w:cs="Arial"/>
        </w:rPr>
      </w:pPr>
      <w:r>
        <w:rPr>
          <w:rFonts w:cs="Arial" w:hint="eastAsia"/>
        </w:rPr>
        <w:t>(b)</w:t>
      </w:r>
      <w:r>
        <w:rPr>
          <w:rFonts w:cs="Arial"/>
        </w:rPr>
        <w:tab/>
      </w:r>
      <w:r w:rsidRPr="00944B9B">
        <w:rPr>
          <w:rFonts w:cs="Arial"/>
        </w:rPr>
        <w:t xml:space="preserve">would or might constitute a breach of statutory duty, or a </w:t>
      </w:r>
      <w:r w:rsidRPr="008F1625">
        <w:rPr>
          <w:rFonts w:cs="Arial"/>
        </w:rPr>
        <w:t>breach of good faith on the ground that they contain information supplied in confidence, or</w:t>
      </w:r>
    </w:p>
    <w:p w:rsidR="00DF3CF7" w:rsidRDefault="00DF3CF7">
      <w:pPr>
        <w:pStyle w:val="ListParagraph"/>
        <w:tabs>
          <w:tab w:val="clear" w:pos="1418"/>
          <w:tab w:val="left" w:pos="1440"/>
          <w:tab w:val="left" w:pos="2268"/>
        </w:tabs>
        <w:ind w:left="2160" w:hanging="720"/>
        <w:rPr>
          <w:rFonts w:cs="Arial"/>
        </w:rPr>
      </w:pPr>
    </w:p>
    <w:p w:rsidR="00DF3CF7" w:rsidRPr="00944B9B" w:rsidRDefault="00DF3CF7" w:rsidP="00DF3CF7">
      <w:pPr>
        <w:tabs>
          <w:tab w:val="clear" w:pos="1418"/>
          <w:tab w:val="left" w:pos="1440"/>
          <w:tab w:val="left" w:pos="2268"/>
        </w:tabs>
        <w:ind w:left="2160" w:hanging="720"/>
        <w:rPr>
          <w:rFonts w:cs="Arial"/>
        </w:rPr>
      </w:pPr>
      <w:r>
        <w:rPr>
          <w:rFonts w:cs="Arial" w:hint="eastAsia"/>
        </w:rPr>
        <w:t>(c)</w:t>
      </w:r>
      <w:r>
        <w:rPr>
          <w:rFonts w:cs="Arial"/>
        </w:rPr>
        <w:tab/>
      </w:r>
      <w:r w:rsidRPr="00944B9B">
        <w:rPr>
          <w:rFonts w:cs="Arial"/>
        </w:rPr>
        <w:t>would or might cause distress or danger to living persons on the ground that they contain information about individuals, or would or might be likely to lead to</w:t>
      </w:r>
      <w:r w:rsidRPr="008F1625">
        <w:rPr>
          <w:rFonts w:cs="Arial"/>
        </w:rPr>
        <w:t xml:space="preserve"> an action for damages for defamation.</w:t>
      </w:r>
      <w:r>
        <w:rPr>
          <w:rStyle w:val="FootnoteReference"/>
          <w:rFonts w:cs="Arial"/>
        </w:rPr>
        <w:footnoteReference w:id="472"/>
      </w:r>
    </w:p>
    <w:p w:rsidR="00DF3CF7" w:rsidRDefault="00DF3CF7" w:rsidP="00DF3CF7">
      <w:pPr>
        <w:pStyle w:val="ListParagraph"/>
        <w:tabs>
          <w:tab w:val="clear" w:pos="1418"/>
          <w:tab w:val="left" w:pos="709"/>
          <w:tab w:val="left" w:pos="1440"/>
        </w:tabs>
        <w:ind w:left="709"/>
        <w:rPr>
          <w:rFonts w:cs="Arial"/>
        </w:rPr>
      </w:pPr>
    </w:p>
    <w:p w:rsidR="00DF3CF7" w:rsidRPr="00AB44CA" w:rsidRDefault="00DF3CF7" w:rsidP="00DF3CF7">
      <w:r>
        <w:t>7</w:t>
      </w:r>
      <w:r>
        <w:rPr>
          <w:rFonts w:hint="eastAsia"/>
        </w:rPr>
        <w:t>.3</w:t>
      </w:r>
      <w:r>
        <w:t>0</w:t>
      </w:r>
      <w:r>
        <w:tab/>
      </w:r>
      <w:r>
        <w:rPr>
          <w:rFonts w:hint="eastAsia"/>
        </w:rPr>
        <w:tab/>
      </w:r>
      <w:r>
        <w:t xml:space="preserve">Thus, there is a built-in mechanism for the appraisal of access status and public inspection of records aged more than 30 years to be withheld if so certified in accordance with the Act. </w:t>
      </w:r>
      <w:r>
        <w:rPr>
          <w:rFonts w:hint="eastAsia"/>
        </w:rPr>
        <w:t xml:space="preserve"> </w:t>
      </w:r>
      <w:r>
        <w:t>Conversely, a member of the Government is empowered to grant access to records that are less than 30</w:t>
      </w:r>
      <w:r>
        <w:rPr>
          <w:lang w:val="en-US"/>
        </w:rPr>
        <w:t> </w:t>
      </w:r>
      <w:r>
        <w:t>years old.</w:t>
      </w:r>
      <w:r>
        <w:rPr>
          <w:rStyle w:val="FootnoteReference"/>
          <w:rFonts w:cs="Arial"/>
        </w:rPr>
        <w:footnoteReference w:id="473"/>
      </w:r>
      <w:r>
        <w:t xml:space="preserve"> </w:t>
      </w:r>
      <w:r>
        <w:rPr>
          <w:rFonts w:hint="eastAsia"/>
        </w:rPr>
        <w:t xml:space="preserve"> </w:t>
      </w:r>
    </w:p>
    <w:p w:rsidR="00DF3CF7" w:rsidRDefault="00DF3CF7" w:rsidP="00DF3CF7">
      <w:pPr>
        <w:tabs>
          <w:tab w:val="clear" w:pos="1418"/>
          <w:tab w:val="left" w:pos="709"/>
          <w:tab w:val="left" w:pos="1440"/>
        </w:tabs>
        <w:rPr>
          <w:rFonts w:cs="Arial"/>
        </w:rPr>
      </w:pPr>
    </w:p>
    <w:p w:rsidR="00DF3CF7" w:rsidRDefault="00DF3CF7" w:rsidP="00DF3CF7">
      <w:pPr>
        <w:tabs>
          <w:tab w:val="clear" w:pos="1418"/>
          <w:tab w:val="left" w:pos="709"/>
          <w:tab w:val="left" w:pos="1440"/>
        </w:tabs>
        <w:rPr>
          <w:rFonts w:cs="Arial"/>
          <w:lang w:val="en-US"/>
        </w:rPr>
      </w:pPr>
    </w:p>
    <w:p w:rsidR="00DF3CF7" w:rsidRPr="00CE0276" w:rsidRDefault="00DF3CF7" w:rsidP="00DF3CF7">
      <w:pPr>
        <w:pStyle w:val="Heading3"/>
        <w:rPr>
          <w:sz w:val="20"/>
        </w:rPr>
      </w:pPr>
      <w:r w:rsidRPr="006F0BA3">
        <w:t xml:space="preserve">New Zealand </w:t>
      </w:r>
    </w:p>
    <w:p w:rsidR="00DF3CF7" w:rsidRPr="00DF4417" w:rsidRDefault="00DF3CF7" w:rsidP="00DF3CF7">
      <w:pPr>
        <w:tabs>
          <w:tab w:val="clear" w:pos="1418"/>
          <w:tab w:val="left" w:pos="709"/>
          <w:tab w:val="left" w:pos="1440"/>
        </w:tabs>
        <w:rPr>
          <w:rFonts w:cs="Arial"/>
        </w:rPr>
      </w:pPr>
    </w:p>
    <w:p w:rsidR="00DF3CF7" w:rsidRDefault="00DF3CF7" w:rsidP="00DF3CF7">
      <w:r>
        <w:t>7.31</w:t>
      </w:r>
      <w:r>
        <w:tab/>
      </w:r>
      <w:r>
        <w:rPr>
          <w:rFonts w:hint="eastAsia"/>
        </w:rPr>
        <w:tab/>
      </w:r>
      <w:r>
        <w:t xml:space="preserve">Unlike Australia, 25 years after the creation of a public record is the deadline for both its transfer and determination of its access status in New Zealand. </w:t>
      </w:r>
    </w:p>
    <w:p w:rsidR="00DF3CF7" w:rsidRDefault="00DF3CF7" w:rsidP="00DF3CF7">
      <w:pPr>
        <w:tabs>
          <w:tab w:val="clear" w:pos="1418"/>
          <w:tab w:val="left" w:pos="1440"/>
        </w:tabs>
        <w:rPr>
          <w:rFonts w:cs="Arial"/>
        </w:rPr>
      </w:pPr>
    </w:p>
    <w:p w:rsidR="00DF3CF7" w:rsidRDefault="00DF3CF7" w:rsidP="00DF3CF7">
      <w:r>
        <w:t>7</w:t>
      </w:r>
      <w:r>
        <w:rPr>
          <w:rFonts w:hint="eastAsia"/>
        </w:rPr>
        <w:t>.</w:t>
      </w:r>
      <w:r>
        <w:t>32</w:t>
      </w:r>
      <w:r>
        <w:tab/>
      </w:r>
      <w:r>
        <w:rPr>
          <w:rFonts w:hint="eastAsia"/>
        </w:rPr>
        <w:tab/>
      </w:r>
      <w:r>
        <w:t>Under the 2005 Act, every public office is generally required to transfer from its possession and control public records that have been in existence for 25 years, although an earlier or deferred transfer is possible.</w:t>
      </w:r>
      <w:r>
        <w:rPr>
          <w:rStyle w:val="FootnoteReference"/>
          <w:rFonts w:cs="Arial"/>
        </w:rPr>
        <w:footnoteReference w:id="474"/>
      </w:r>
      <w:r>
        <w:t xml:space="preserve"> </w:t>
      </w:r>
      <w:r>
        <w:rPr>
          <w:rFonts w:hint="eastAsia"/>
        </w:rPr>
        <w:t xml:space="preserve"> </w:t>
      </w:r>
      <w:r>
        <w:t xml:space="preserve">The transfer is made to the possession of the ANZ or an approved repository, and to the control of the Chief Archivist. </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lastRenderedPageBreak/>
        <w:t>7</w:t>
      </w:r>
      <w:r>
        <w:rPr>
          <w:rFonts w:hint="eastAsia"/>
        </w:rPr>
        <w:t>.</w:t>
      </w:r>
      <w:r>
        <w:t>33</w:t>
      </w:r>
      <w:r>
        <w:tab/>
      </w:r>
      <w:r>
        <w:rPr>
          <w:rFonts w:hint="eastAsia"/>
        </w:rPr>
        <w:tab/>
      </w:r>
      <w:r>
        <w:t>Similar to the "</w:t>
      </w:r>
      <w:r w:rsidRPr="00CE0276">
        <w:rPr>
          <w:i/>
        </w:rPr>
        <w:t>sensitivity review</w:t>
      </w:r>
      <w:r>
        <w:t xml:space="preserve">" in England, the appraisal of access status of records is closely bound up with their transfer to the archival authority. </w:t>
      </w:r>
      <w:r>
        <w:rPr>
          <w:rFonts w:hint="eastAsia"/>
        </w:rPr>
        <w:t xml:space="preserve"> </w:t>
      </w:r>
      <w:r>
        <w:t>Specifically, the 2005 Act obliges the administrative head of the relevant public office to classify public records as either (a) open access records; or (b) restricted access records when they have been in existence for 25 years or are about to be transferred to ANZ and the Chief Archivist.</w:t>
      </w:r>
      <w:r>
        <w:rPr>
          <w:rStyle w:val="FootnoteReference"/>
          <w:rFonts w:cs="Arial"/>
        </w:rPr>
        <w:footnoteReference w:id="475"/>
      </w:r>
      <w:r>
        <w:t xml:space="preserve"> </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t>7</w:t>
      </w:r>
      <w:r>
        <w:rPr>
          <w:rFonts w:hint="eastAsia"/>
        </w:rPr>
        <w:t>.</w:t>
      </w:r>
      <w:r>
        <w:t>34</w:t>
      </w:r>
      <w:r>
        <w:tab/>
      </w:r>
      <w:r>
        <w:rPr>
          <w:rFonts w:hint="eastAsia"/>
        </w:rPr>
        <w:tab/>
      </w:r>
      <w:r>
        <w:t>If there are no good reasons to restrict public access or if no other enactment requires a public record to be withheld from public access, the record concerned must be classified as an open access record.</w:t>
      </w:r>
      <w:r>
        <w:rPr>
          <w:rStyle w:val="FootnoteReference"/>
          <w:rFonts w:cs="Arial"/>
        </w:rPr>
        <w:footnoteReference w:id="476"/>
      </w:r>
      <w:r>
        <w:t xml:space="preserve"> </w:t>
      </w:r>
      <w:r>
        <w:rPr>
          <w:rFonts w:hint="eastAsia"/>
        </w:rPr>
        <w:t xml:space="preserve"> </w:t>
      </w:r>
      <w:r>
        <w:t xml:space="preserve">Such record </w:t>
      </w:r>
      <w:r w:rsidRPr="00484AE2">
        <w:t>must be made available for public inspection as soon as is reasonably practicable after a request to inspect it is made</w:t>
      </w:r>
      <w:r>
        <w:t>.</w:t>
      </w:r>
      <w:r>
        <w:rPr>
          <w:rStyle w:val="FootnoteReference"/>
          <w:rFonts w:cs="Arial"/>
        </w:rPr>
        <w:footnoteReference w:id="477"/>
      </w:r>
    </w:p>
    <w:p w:rsidR="00DF3CF7" w:rsidRDefault="00DF3CF7" w:rsidP="00DF3CF7">
      <w:pPr>
        <w:tabs>
          <w:tab w:val="clear" w:pos="1418"/>
          <w:tab w:val="left" w:pos="709"/>
          <w:tab w:val="left" w:pos="1440"/>
        </w:tabs>
        <w:rPr>
          <w:rFonts w:cs="Arial"/>
          <w:lang w:val="en-US"/>
        </w:rPr>
      </w:pPr>
    </w:p>
    <w:p w:rsidR="00DF3CF7" w:rsidRPr="0096286C" w:rsidRDefault="00DF3CF7" w:rsidP="00DF3CF7">
      <w:pPr>
        <w:tabs>
          <w:tab w:val="clear" w:pos="1418"/>
          <w:tab w:val="left" w:pos="709"/>
          <w:tab w:val="left" w:pos="1440"/>
        </w:tabs>
        <w:rPr>
          <w:rFonts w:cs="Arial"/>
          <w:lang w:val="en-US"/>
        </w:rPr>
      </w:pPr>
    </w:p>
    <w:p w:rsidR="00DF3CF7" w:rsidRPr="00CE0276" w:rsidRDefault="00DF3CF7" w:rsidP="00DF3CF7">
      <w:pPr>
        <w:pStyle w:val="Heading3"/>
        <w:rPr>
          <w:sz w:val="20"/>
        </w:rPr>
      </w:pPr>
      <w:r w:rsidRPr="006F0BA3">
        <w:t>Singapore</w:t>
      </w:r>
    </w:p>
    <w:p w:rsidR="00DF3CF7" w:rsidRPr="00AB44CA" w:rsidRDefault="00DF3CF7" w:rsidP="00DF3CF7">
      <w:pPr>
        <w:tabs>
          <w:tab w:val="clear" w:pos="1418"/>
          <w:tab w:val="left" w:pos="709"/>
          <w:tab w:val="left" w:pos="1440"/>
        </w:tabs>
        <w:rPr>
          <w:rFonts w:cs="Arial"/>
        </w:rPr>
      </w:pPr>
    </w:p>
    <w:p w:rsidR="00DF3CF7" w:rsidRDefault="00DF3CF7" w:rsidP="00DF3CF7">
      <w:r>
        <w:t>7</w:t>
      </w:r>
      <w:r>
        <w:rPr>
          <w:rFonts w:hint="eastAsia"/>
        </w:rPr>
        <w:t>.35</w:t>
      </w:r>
      <w:r>
        <w:tab/>
      </w:r>
      <w:r>
        <w:rPr>
          <w:rFonts w:hint="eastAsia"/>
        </w:rPr>
        <w:tab/>
      </w:r>
      <w:r>
        <w:t xml:space="preserve">Access to a record is not available until it is more than 25 years old, and is dependent on its having been first transferred to the NLB or other designated repositories. </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t>7</w:t>
      </w:r>
      <w:r>
        <w:rPr>
          <w:rFonts w:hint="eastAsia"/>
        </w:rPr>
        <w:t>.</w:t>
      </w:r>
      <w:r>
        <w:t>3</w:t>
      </w:r>
      <w:r>
        <w:rPr>
          <w:rFonts w:hint="eastAsia"/>
        </w:rPr>
        <w:t>6</w:t>
      </w:r>
      <w:r>
        <w:tab/>
      </w:r>
      <w:r>
        <w:rPr>
          <w:rFonts w:hint="eastAsia"/>
        </w:rPr>
        <w:tab/>
      </w:r>
      <w:r>
        <w:t>This is derived from the definition of "</w:t>
      </w:r>
      <w:r w:rsidRPr="000E42FD">
        <w:rPr>
          <w:i/>
        </w:rPr>
        <w:t>public archives</w:t>
      </w:r>
      <w:r>
        <w:t>" in s2 of the NLBA which means:</w:t>
      </w:r>
    </w:p>
    <w:p w:rsidR="00DF3CF7" w:rsidRDefault="00DF3CF7" w:rsidP="00DF3CF7">
      <w:pPr>
        <w:pStyle w:val="ListParagraph"/>
        <w:tabs>
          <w:tab w:val="clear" w:pos="1418"/>
          <w:tab w:val="left" w:pos="709"/>
          <w:tab w:val="left" w:pos="1440"/>
        </w:tabs>
        <w:ind w:left="709"/>
        <w:rPr>
          <w:rFonts w:cs="Arial"/>
        </w:rPr>
      </w:pPr>
    </w:p>
    <w:p w:rsidR="00DF3CF7" w:rsidRPr="000E42FD" w:rsidRDefault="00DF3CF7" w:rsidP="00DF3CF7">
      <w:pPr>
        <w:pStyle w:val="BlockText"/>
      </w:pPr>
      <w:r w:rsidRPr="0050639F">
        <w:rPr>
          <w:i w:val="0"/>
        </w:rPr>
        <w:t>"</w:t>
      </w:r>
      <w:r w:rsidRPr="000E42FD">
        <w:t>Public records that:</w:t>
      </w:r>
    </w:p>
    <w:p w:rsidR="00DF3CF7" w:rsidRPr="00E647F3" w:rsidRDefault="00DF3CF7" w:rsidP="00DF3CF7">
      <w:pPr>
        <w:pStyle w:val="ListParagraph"/>
        <w:tabs>
          <w:tab w:val="clear" w:pos="1418"/>
          <w:tab w:val="left" w:pos="1440"/>
          <w:tab w:val="left" w:pos="2268"/>
        </w:tabs>
        <w:ind w:left="2268"/>
        <w:rPr>
          <w:rFonts w:cs="Arial"/>
          <w:i/>
          <w:sz w:val="18"/>
          <w:szCs w:val="18"/>
        </w:rPr>
      </w:pPr>
    </w:p>
    <w:p w:rsidR="00DF3CF7" w:rsidRPr="00E55431" w:rsidRDefault="00DF3CF7" w:rsidP="00DF3CF7">
      <w:pPr>
        <w:pStyle w:val="Legislationindent1"/>
      </w:pPr>
      <w:r>
        <w:rPr>
          <w:rFonts w:hint="eastAsia"/>
        </w:rPr>
        <w:t>(a)</w:t>
      </w:r>
      <w:r>
        <w:tab/>
      </w:r>
      <w:r w:rsidRPr="000E42FD">
        <w:t>are more than 25 years old;</w:t>
      </w:r>
    </w:p>
    <w:p w:rsidR="00DF3CF7" w:rsidRPr="000E42FD" w:rsidRDefault="00DF3CF7" w:rsidP="00DF3CF7">
      <w:pPr>
        <w:pStyle w:val="Legislationindent1"/>
      </w:pPr>
      <w:r>
        <w:rPr>
          <w:rFonts w:hint="eastAsia"/>
        </w:rPr>
        <w:t>(b)</w:t>
      </w:r>
      <w:r>
        <w:tab/>
      </w:r>
      <w:r w:rsidRPr="000E42FD">
        <w:t xml:space="preserve">are specified by the </w:t>
      </w:r>
      <w:r>
        <w:t>[NLB]</w:t>
      </w:r>
      <w:r w:rsidRPr="000E42FD">
        <w:t xml:space="preserve"> as being of national or historical significance; </w:t>
      </w:r>
      <w:r w:rsidRPr="00065932">
        <w:rPr>
          <w:u w:val="single"/>
        </w:rPr>
        <w:t>and</w:t>
      </w:r>
    </w:p>
    <w:p w:rsidR="00DF3CF7" w:rsidRPr="00496ABC" w:rsidRDefault="00DF3CF7" w:rsidP="00DF3CF7">
      <w:pPr>
        <w:pStyle w:val="Legislationindent1"/>
      </w:pPr>
      <w:r>
        <w:rPr>
          <w:rFonts w:hint="eastAsia"/>
        </w:rPr>
        <w:t>(c)</w:t>
      </w:r>
      <w:r>
        <w:tab/>
      </w:r>
      <w:r w:rsidRPr="000E42FD">
        <w:t xml:space="preserve">have been transferred to the </w:t>
      </w:r>
      <w:r>
        <w:t xml:space="preserve">[NLB] </w:t>
      </w:r>
      <w:r w:rsidRPr="000E42FD">
        <w:t xml:space="preserve">or to such other place as the </w:t>
      </w:r>
      <w:r>
        <w:t>[NLB]</w:t>
      </w:r>
      <w:r w:rsidRPr="000E42FD">
        <w:t xml:space="preserve"> may from time to time determine</w:t>
      </w:r>
      <w:r>
        <w:t>.</w:t>
      </w:r>
      <w:r w:rsidRPr="0050639F">
        <w:rPr>
          <w:i w:val="0"/>
        </w:rPr>
        <w:t>"</w:t>
      </w:r>
      <w:r>
        <w:t xml:space="preserve"> (emphasis added)</w:t>
      </w:r>
    </w:p>
    <w:p w:rsidR="00DF3CF7" w:rsidRDefault="00DF3CF7" w:rsidP="00DF3CF7">
      <w:pPr>
        <w:pStyle w:val="ListParagraph"/>
        <w:tabs>
          <w:tab w:val="clear" w:pos="1418"/>
          <w:tab w:val="left" w:pos="709"/>
          <w:tab w:val="left" w:pos="1440"/>
        </w:tabs>
        <w:ind w:left="709"/>
        <w:rPr>
          <w:rFonts w:cs="Arial"/>
        </w:rPr>
      </w:pPr>
    </w:p>
    <w:p w:rsidR="00DF3CF7" w:rsidRDefault="00DF3CF7" w:rsidP="00DF3CF7">
      <w:r>
        <w:t>7</w:t>
      </w:r>
      <w:r>
        <w:rPr>
          <w:rFonts w:hint="eastAsia"/>
        </w:rPr>
        <w:t>.37</w:t>
      </w:r>
      <w:r>
        <w:tab/>
      </w:r>
      <w:r>
        <w:rPr>
          <w:rFonts w:hint="eastAsia"/>
        </w:rPr>
        <w:tab/>
      </w:r>
      <w:r>
        <w:t>In practice, rather than being transferred to the NLB itself, it appears that public records are mostly transferred to the NAS one of whose mandate is to "</w:t>
      </w:r>
      <w:r w:rsidRPr="003A296E">
        <w:t>take custody of records transferred from public agencies</w:t>
      </w:r>
      <w:r>
        <w:t>".</w:t>
      </w:r>
      <w:r>
        <w:rPr>
          <w:rStyle w:val="FootnoteReference"/>
          <w:rFonts w:cs="Arial"/>
        </w:rPr>
        <w:footnoteReference w:id="478"/>
      </w:r>
      <w:r>
        <w:rPr>
          <w:rFonts w:hint="eastAsia"/>
        </w:rPr>
        <w:t xml:space="preserve"> </w:t>
      </w:r>
      <w:r>
        <w:t xml:space="preserve"> This is indeed what the NLBA generally provides for in section 14C:- </w:t>
      </w:r>
      <w:r>
        <w:rPr>
          <w:rFonts w:hint="eastAsia"/>
        </w:rPr>
        <w:t xml:space="preserve"> </w:t>
      </w:r>
      <w:r>
        <w:t xml:space="preserve"> </w:t>
      </w:r>
    </w:p>
    <w:p w:rsidR="00DF3CF7" w:rsidRPr="00E647F3" w:rsidRDefault="00DF3CF7" w:rsidP="00DF3CF7">
      <w:pPr>
        <w:tabs>
          <w:tab w:val="clear" w:pos="1418"/>
          <w:tab w:val="left" w:pos="1440"/>
        </w:tabs>
        <w:rPr>
          <w:rFonts w:cs="Arial"/>
          <w:sz w:val="20"/>
          <w:szCs w:val="20"/>
        </w:rPr>
      </w:pPr>
    </w:p>
    <w:p w:rsidR="00DF3CF7" w:rsidRPr="0050639F" w:rsidRDefault="00DF3CF7" w:rsidP="00DF3CF7">
      <w:pPr>
        <w:pStyle w:val="BlockText"/>
        <w:rPr>
          <w:i w:val="0"/>
        </w:rPr>
      </w:pPr>
      <w:r w:rsidRPr="0050639F">
        <w:rPr>
          <w:i w:val="0"/>
        </w:rPr>
        <w:t>"</w:t>
      </w:r>
      <w:r w:rsidRPr="00587C54">
        <w:t xml:space="preserve">Any public records which, in the opinion of the </w:t>
      </w:r>
      <w:r>
        <w:t>[NLB]</w:t>
      </w:r>
      <w:r w:rsidRPr="00F77076">
        <w:t xml:space="preserve">, are of national or historical significance shall be transferred to the care and control of the </w:t>
      </w:r>
      <w:r>
        <w:t>[NAS]</w:t>
      </w:r>
      <w:r w:rsidRPr="00F77076">
        <w:t xml:space="preserve"> in accordance with such schedules or other agreements for the transfer of records as may be agreed on between the </w:t>
      </w:r>
      <w:r>
        <w:t>[NLB]</w:t>
      </w:r>
      <w:r w:rsidRPr="00F77076">
        <w:t xml:space="preserve"> and the public office responsible for</w:t>
      </w:r>
      <w:r>
        <w:t xml:space="preserve"> </w:t>
      </w:r>
      <w:r w:rsidRPr="00F77076">
        <w:t>the public records.</w:t>
      </w:r>
      <w:r w:rsidRPr="0050639F">
        <w:rPr>
          <w:i w:val="0"/>
        </w:rPr>
        <w:t>"</w:t>
      </w:r>
    </w:p>
    <w:p w:rsidR="00DF3CF7" w:rsidRDefault="00DF3CF7" w:rsidP="00DF3CF7">
      <w:pPr>
        <w:tabs>
          <w:tab w:val="clear" w:pos="1418"/>
          <w:tab w:val="left" w:pos="1440"/>
        </w:tabs>
        <w:rPr>
          <w:rFonts w:cs="Arial"/>
        </w:rPr>
      </w:pPr>
    </w:p>
    <w:p w:rsidR="00DF3CF7" w:rsidRDefault="00DF3CF7" w:rsidP="00DF3CF7">
      <w:r>
        <w:lastRenderedPageBreak/>
        <w:t>7.</w:t>
      </w:r>
      <w:r>
        <w:rPr>
          <w:rFonts w:hint="eastAsia"/>
        </w:rPr>
        <w:t>38</w:t>
      </w:r>
      <w:r>
        <w:tab/>
      </w:r>
      <w:r>
        <w:rPr>
          <w:rFonts w:hint="eastAsia"/>
        </w:rPr>
        <w:tab/>
      </w:r>
      <w:r>
        <w:t>Public archives made available may be inspected by the public but only for the purpose of reference or research, and the inspection may be subject to conditions/restrictions.</w:t>
      </w:r>
      <w:r>
        <w:rPr>
          <w:rStyle w:val="FootnoteReference"/>
          <w:rFonts w:cs="Arial"/>
        </w:rPr>
        <w:footnoteReference w:id="479"/>
      </w:r>
      <w:r>
        <w:t xml:space="preserve"> </w:t>
      </w:r>
    </w:p>
    <w:p w:rsidR="00DF3CF7" w:rsidRPr="00E647F3" w:rsidRDefault="00DF3CF7" w:rsidP="00DF3CF7">
      <w:pPr>
        <w:tabs>
          <w:tab w:val="clear" w:pos="1418"/>
          <w:tab w:val="left" w:pos="709"/>
          <w:tab w:val="left" w:pos="1440"/>
        </w:tabs>
        <w:rPr>
          <w:rFonts w:cs="Arial"/>
          <w:sz w:val="22"/>
          <w:szCs w:val="22"/>
        </w:rPr>
      </w:pPr>
    </w:p>
    <w:p w:rsidR="00DF3CF7" w:rsidRPr="00E647F3" w:rsidRDefault="00DF3CF7" w:rsidP="00DF3CF7">
      <w:pPr>
        <w:tabs>
          <w:tab w:val="clear" w:pos="1418"/>
          <w:tab w:val="left" w:pos="1440"/>
        </w:tabs>
        <w:rPr>
          <w:rFonts w:cs="Arial"/>
          <w:sz w:val="22"/>
          <w:szCs w:val="22"/>
          <w:lang w:val="en-US"/>
        </w:rPr>
      </w:pPr>
    </w:p>
    <w:p w:rsidR="00DF3CF7" w:rsidRPr="006010E3" w:rsidRDefault="00DF3CF7" w:rsidP="00DF3CF7">
      <w:pPr>
        <w:pStyle w:val="Heading2"/>
        <w:rPr>
          <w:lang w:eastAsia="zh-HK"/>
        </w:rPr>
      </w:pPr>
      <w:r w:rsidRPr="006010E3">
        <w:t xml:space="preserve">Our </w:t>
      </w:r>
      <w:r>
        <w:rPr>
          <w:rFonts w:hint="eastAsia"/>
        </w:rPr>
        <w:t>o</w:t>
      </w:r>
      <w:r w:rsidRPr="006010E3">
        <w:t>bservations</w:t>
      </w:r>
    </w:p>
    <w:p w:rsidR="00DF3CF7" w:rsidRPr="00B55FB1" w:rsidRDefault="00DF3CF7" w:rsidP="00DF3CF7">
      <w:pPr>
        <w:pStyle w:val="ListParagraph"/>
        <w:keepNext/>
        <w:tabs>
          <w:tab w:val="clear" w:pos="1418"/>
          <w:tab w:val="left" w:pos="1440"/>
        </w:tabs>
        <w:ind w:left="0"/>
        <w:rPr>
          <w:rFonts w:cs="Arial"/>
          <w:highlight w:val="yellow"/>
          <w:shd w:val="clear" w:color="auto" w:fill="FFFF99"/>
        </w:rPr>
      </w:pPr>
    </w:p>
    <w:p w:rsidR="00DF3CF7" w:rsidRPr="00E41BFB" w:rsidRDefault="00DF3CF7" w:rsidP="00DF3CF7">
      <w:r>
        <w:t>7</w:t>
      </w:r>
      <w:r w:rsidRPr="00E41BFB">
        <w:t>.39</w:t>
      </w:r>
      <w:r w:rsidRPr="00E41BFB">
        <w:tab/>
      </w:r>
      <w:r w:rsidRPr="00E41BFB">
        <w:tab/>
        <w:t xml:space="preserve">Focusing on the current </w:t>
      </w:r>
      <w:r w:rsidRPr="00E41BFB">
        <w:rPr>
          <w:lang w:eastAsia="zh-HK"/>
        </w:rPr>
        <w:t xml:space="preserve">30-year time frame on </w:t>
      </w:r>
      <w:r w:rsidRPr="00E41BFB">
        <w:rPr>
          <w:i/>
        </w:rPr>
        <w:t>transfer</w:t>
      </w:r>
      <w:r w:rsidRPr="00E41BFB">
        <w:t xml:space="preserve"> of records from B/Ds to the GRS for appraisal, the following observations can be distilled from the overseas models studied:</w:t>
      </w:r>
    </w:p>
    <w:p w:rsidR="00DF3CF7" w:rsidRPr="00E647F3" w:rsidRDefault="00DF3CF7" w:rsidP="00DF3CF7">
      <w:pPr>
        <w:pStyle w:val="ListParagraph"/>
        <w:tabs>
          <w:tab w:val="clear" w:pos="1418"/>
          <w:tab w:val="left" w:pos="1440"/>
        </w:tabs>
        <w:ind w:left="1200"/>
        <w:rPr>
          <w:rFonts w:cs="Arial"/>
          <w:color w:val="FF0000"/>
          <w:sz w:val="20"/>
          <w:szCs w:val="20"/>
          <w:shd w:val="clear" w:color="auto" w:fill="FFFF99"/>
          <w:lang w:eastAsia="zh-HK"/>
        </w:rPr>
      </w:pPr>
    </w:p>
    <w:p w:rsidR="00DF3CF7" w:rsidRPr="008F1625" w:rsidRDefault="00DF3CF7" w:rsidP="00DF3CF7">
      <w:pPr>
        <w:tabs>
          <w:tab w:val="clear" w:pos="1418"/>
          <w:tab w:val="left" w:pos="1440"/>
        </w:tabs>
        <w:ind w:left="1440" w:hanging="720"/>
        <w:rPr>
          <w:rFonts w:cs="Arial"/>
          <w:lang w:eastAsia="zh-HK"/>
        </w:rPr>
      </w:pPr>
      <w:r>
        <w:rPr>
          <w:rFonts w:cs="Arial" w:hint="eastAsia"/>
          <w:lang w:eastAsia="zh-HK"/>
        </w:rPr>
        <w:t>(i)</w:t>
      </w:r>
      <w:r>
        <w:rPr>
          <w:rFonts w:cs="Arial"/>
          <w:lang w:eastAsia="zh-HK"/>
        </w:rPr>
        <w:tab/>
      </w:r>
      <w:r w:rsidRPr="00944B9B">
        <w:rPr>
          <w:rFonts w:cs="Arial"/>
          <w:lang w:eastAsia="zh-HK"/>
        </w:rPr>
        <w:t xml:space="preserve">the term </w:t>
      </w:r>
      <w:r>
        <w:rPr>
          <w:rFonts w:cs="Arial"/>
          <w:lang w:eastAsia="zh-HK"/>
        </w:rPr>
        <w:t>"</w:t>
      </w:r>
      <w:r w:rsidRPr="00944B9B">
        <w:rPr>
          <w:rFonts w:cs="Arial"/>
          <w:lang w:eastAsia="zh-HK"/>
        </w:rPr>
        <w:t>transfer</w:t>
      </w:r>
      <w:r>
        <w:rPr>
          <w:rFonts w:cs="Arial"/>
          <w:lang w:eastAsia="zh-HK"/>
        </w:rPr>
        <w:t>"</w:t>
      </w:r>
      <w:r w:rsidRPr="00944B9B">
        <w:rPr>
          <w:rFonts w:cs="Arial"/>
          <w:lang w:eastAsia="zh-HK"/>
        </w:rPr>
        <w:t xml:space="preserve"> in other jurisdictions refers to </w:t>
      </w:r>
      <w:r>
        <w:rPr>
          <w:rFonts w:cs="Arial"/>
          <w:lang w:eastAsia="zh-HK"/>
        </w:rPr>
        <w:t>"</w:t>
      </w:r>
      <w:r w:rsidRPr="00944B9B">
        <w:rPr>
          <w:rFonts w:cs="Arial"/>
          <w:lang w:eastAsia="zh-HK"/>
        </w:rPr>
        <w:t>transfer for retention</w:t>
      </w:r>
      <w:r>
        <w:rPr>
          <w:rFonts w:cs="Arial"/>
          <w:lang w:eastAsia="zh-HK"/>
        </w:rPr>
        <w:t>"</w:t>
      </w:r>
      <w:r w:rsidRPr="00944B9B">
        <w:rPr>
          <w:rFonts w:cs="Arial"/>
          <w:lang w:eastAsia="zh-HK"/>
        </w:rPr>
        <w:t xml:space="preserve">, rather than </w:t>
      </w:r>
      <w:r>
        <w:rPr>
          <w:rFonts w:cs="Arial"/>
          <w:lang w:eastAsia="zh-HK"/>
        </w:rPr>
        <w:t>"</w:t>
      </w:r>
      <w:r w:rsidRPr="00944B9B">
        <w:rPr>
          <w:rFonts w:cs="Arial"/>
          <w:lang w:eastAsia="zh-HK"/>
        </w:rPr>
        <w:t>transfer for appraisal</w:t>
      </w:r>
      <w:r>
        <w:rPr>
          <w:rFonts w:cs="Arial"/>
          <w:lang w:eastAsia="zh-HK"/>
        </w:rPr>
        <w:t>"</w:t>
      </w:r>
      <w:r w:rsidRPr="00944B9B">
        <w:rPr>
          <w:rFonts w:cs="Arial"/>
          <w:lang w:eastAsia="zh-HK"/>
        </w:rPr>
        <w:t>;</w:t>
      </w:r>
    </w:p>
    <w:p w:rsidR="00DF3CF7" w:rsidRPr="00400D10" w:rsidRDefault="00DF3CF7" w:rsidP="00DF3CF7">
      <w:pPr>
        <w:pStyle w:val="ListParagraph"/>
        <w:tabs>
          <w:tab w:val="clear" w:pos="1418"/>
          <w:tab w:val="left" w:pos="1440"/>
        </w:tabs>
        <w:ind w:left="1440" w:hanging="720"/>
        <w:rPr>
          <w:rFonts w:cs="Arial"/>
          <w:color w:val="FF0000"/>
          <w:shd w:val="clear" w:color="auto" w:fill="FFFF99"/>
          <w:lang w:eastAsia="zh-HK"/>
        </w:rPr>
      </w:pPr>
    </w:p>
    <w:p w:rsidR="00DF3CF7" w:rsidRPr="008F1625" w:rsidRDefault="00DF3CF7" w:rsidP="00DF3CF7">
      <w:pPr>
        <w:tabs>
          <w:tab w:val="clear" w:pos="1418"/>
          <w:tab w:val="left" w:pos="1440"/>
        </w:tabs>
        <w:ind w:left="1440" w:hanging="720"/>
        <w:rPr>
          <w:rFonts w:cs="Arial"/>
        </w:rPr>
      </w:pPr>
      <w:r w:rsidRPr="008F1625">
        <w:rPr>
          <w:rFonts w:cs="Arial"/>
        </w:rPr>
        <w:t>(ii)</w:t>
      </w:r>
      <w:r>
        <w:rPr>
          <w:rFonts w:cs="Arial"/>
          <w:i/>
        </w:rPr>
        <w:tab/>
      </w:r>
      <w:r w:rsidRPr="00944B9B">
        <w:rPr>
          <w:rFonts w:cs="Arial"/>
          <w:i/>
        </w:rPr>
        <w:t xml:space="preserve">access </w:t>
      </w:r>
      <w:r w:rsidRPr="00944B9B">
        <w:rPr>
          <w:rFonts w:cs="Arial"/>
        </w:rPr>
        <w:t xml:space="preserve">to records may or may not depend on the records first having been </w:t>
      </w:r>
      <w:r w:rsidRPr="008F1625">
        <w:rPr>
          <w:rFonts w:cs="Arial"/>
          <w:i/>
        </w:rPr>
        <w:t>transferred</w:t>
      </w:r>
      <w:r w:rsidRPr="008F1625">
        <w:rPr>
          <w:rFonts w:cs="Arial"/>
        </w:rPr>
        <w:t xml:space="preserve"> to the archival authority</w:t>
      </w:r>
      <w:r w:rsidRPr="008F1625">
        <w:rPr>
          <w:rFonts w:cs="Arial"/>
          <w:lang w:eastAsia="zh-HK"/>
        </w:rPr>
        <w:t xml:space="preserve"> for retention</w:t>
      </w:r>
      <w:r w:rsidRPr="008F1625">
        <w:rPr>
          <w:rFonts w:cs="Arial"/>
        </w:rPr>
        <w:t>.  As such, the deadline</w:t>
      </w:r>
      <w:r w:rsidRPr="00944B9B">
        <w:rPr>
          <w:rFonts w:cs="Arial"/>
        </w:rPr>
        <w:t xml:space="preserve"> for </w:t>
      </w:r>
      <w:r w:rsidRPr="00944B9B">
        <w:rPr>
          <w:rFonts w:cs="Arial"/>
          <w:i/>
        </w:rPr>
        <w:t>transfer</w:t>
      </w:r>
      <w:r w:rsidRPr="00944B9B">
        <w:rPr>
          <w:rFonts w:cs="Arial"/>
        </w:rPr>
        <w:t xml:space="preserve"> may not have an impact on when the records can be </w:t>
      </w:r>
      <w:r w:rsidRPr="008F1625">
        <w:rPr>
          <w:rFonts w:cs="Arial"/>
        </w:rPr>
        <w:t>made available for public access;</w:t>
      </w:r>
    </w:p>
    <w:p w:rsidR="00DF3CF7" w:rsidRPr="00684CA6" w:rsidRDefault="00DF3CF7">
      <w:pPr>
        <w:pStyle w:val="ListParagraph"/>
        <w:tabs>
          <w:tab w:val="clear" w:pos="1418"/>
          <w:tab w:val="left" w:pos="1440"/>
        </w:tabs>
        <w:ind w:left="1440" w:hanging="720"/>
        <w:rPr>
          <w:rFonts w:cs="Arial"/>
          <w:highlight w:val="yellow"/>
          <w:shd w:val="clear" w:color="auto" w:fill="FFFF99"/>
        </w:rPr>
      </w:pPr>
    </w:p>
    <w:p w:rsidR="00DF3CF7" w:rsidRPr="008F1625" w:rsidRDefault="00DF3CF7" w:rsidP="00DF3CF7">
      <w:pPr>
        <w:tabs>
          <w:tab w:val="clear" w:pos="1418"/>
          <w:tab w:val="left" w:pos="1440"/>
        </w:tabs>
        <w:ind w:left="1440" w:hanging="720"/>
        <w:rPr>
          <w:rFonts w:cs="Arial"/>
        </w:rPr>
      </w:pPr>
      <w:r>
        <w:rPr>
          <w:rFonts w:cs="Arial" w:hint="eastAsia"/>
        </w:rPr>
        <w:t>(iii)</w:t>
      </w:r>
      <w:r>
        <w:rPr>
          <w:rFonts w:cs="Arial"/>
        </w:rPr>
        <w:tab/>
      </w:r>
      <w:r w:rsidRPr="00944B9B">
        <w:rPr>
          <w:rFonts w:cs="Arial"/>
        </w:rPr>
        <w:t>there is no universal deadline for transfer</w:t>
      </w:r>
      <w:r w:rsidRPr="00944B9B">
        <w:rPr>
          <w:rFonts w:cs="Arial"/>
          <w:lang w:eastAsia="zh-HK"/>
        </w:rPr>
        <w:t xml:space="preserve"> of records to archival authority for retention</w:t>
      </w:r>
      <w:r w:rsidRPr="008F1625">
        <w:rPr>
          <w:rFonts w:cs="Arial"/>
        </w:rPr>
        <w:t xml:space="preserve">:- currently 30 years in Ireland, 25 years in New Zealand and Singapore, 20 years in England and 15 years in Australia. </w:t>
      </w:r>
      <w:r w:rsidRPr="008F1625">
        <w:rPr>
          <w:rFonts w:cs="Arial"/>
          <w:lang w:eastAsia="zh-HK"/>
        </w:rPr>
        <w:t xml:space="preserve"> </w:t>
      </w:r>
      <w:r w:rsidRPr="008F1625">
        <w:rPr>
          <w:rFonts w:cs="Arial"/>
        </w:rPr>
        <w:t>In determining the appropriate deadline, it is important to bear in mind considerations such as the costs, resources, ramifications on the operations of the transferring authorities (such as government departments) and expertise available in a particular regime;</w:t>
      </w:r>
    </w:p>
    <w:p w:rsidR="00DF3CF7" w:rsidRPr="00B55FB1" w:rsidRDefault="00DF3CF7">
      <w:pPr>
        <w:pStyle w:val="ListParagraph"/>
        <w:tabs>
          <w:tab w:val="clear" w:pos="1418"/>
          <w:tab w:val="left" w:pos="1440"/>
          <w:tab w:val="left" w:pos="5280"/>
        </w:tabs>
        <w:ind w:left="1440" w:hanging="720"/>
        <w:rPr>
          <w:rFonts w:cs="Arial"/>
          <w:highlight w:val="yellow"/>
          <w:shd w:val="clear" w:color="auto" w:fill="FFFF99"/>
        </w:rPr>
      </w:pPr>
    </w:p>
    <w:p w:rsidR="00DF3CF7" w:rsidRPr="008F1625" w:rsidRDefault="00DF3CF7" w:rsidP="00DF3CF7">
      <w:pPr>
        <w:tabs>
          <w:tab w:val="clear" w:pos="1418"/>
          <w:tab w:val="left" w:pos="1440"/>
        </w:tabs>
        <w:ind w:left="1440" w:hanging="720"/>
        <w:rPr>
          <w:rFonts w:cs="Arial"/>
        </w:rPr>
      </w:pPr>
      <w:r>
        <w:rPr>
          <w:rFonts w:cs="Arial" w:hint="eastAsia"/>
        </w:rPr>
        <w:t>(iv)</w:t>
      </w:r>
      <w:r>
        <w:rPr>
          <w:rFonts w:cs="Arial"/>
        </w:rPr>
        <w:tab/>
      </w:r>
      <w:r w:rsidRPr="00944B9B">
        <w:rPr>
          <w:rFonts w:cs="Arial"/>
        </w:rPr>
        <w:t>even with a specified deadline for transfer, the deadline is not absolute, and exceptions, exemptions and deferrals can be allowed; and</w:t>
      </w:r>
    </w:p>
    <w:p w:rsidR="00DF3CF7" w:rsidRPr="00B55FB1" w:rsidRDefault="00DF3CF7">
      <w:pPr>
        <w:pStyle w:val="ListParagraph"/>
        <w:tabs>
          <w:tab w:val="clear" w:pos="1418"/>
          <w:tab w:val="left" w:pos="1440"/>
        </w:tabs>
        <w:ind w:left="1440" w:hanging="720"/>
        <w:rPr>
          <w:rFonts w:cs="Arial"/>
          <w:highlight w:val="yellow"/>
          <w:shd w:val="clear" w:color="auto" w:fill="FFFF99"/>
        </w:rPr>
      </w:pPr>
    </w:p>
    <w:p w:rsidR="00DF3CF7" w:rsidRPr="00944B9B" w:rsidRDefault="00DF3CF7" w:rsidP="00DF3CF7">
      <w:pPr>
        <w:tabs>
          <w:tab w:val="clear" w:pos="1418"/>
          <w:tab w:val="left" w:pos="1440"/>
        </w:tabs>
        <w:ind w:left="1440" w:hanging="720"/>
        <w:rPr>
          <w:rFonts w:cs="Arial"/>
        </w:rPr>
      </w:pPr>
      <w:r>
        <w:rPr>
          <w:rFonts w:cs="Arial" w:hint="eastAsia"/>
        </w:rPr>
        <w:t>(v)</w:t>
      </w:r>
      <w:r>
        <w:rPr>
          <w:rFonts w:cs="Arial"/>
        </w:rPr>
        <w:tab/>
      </w:r>
      <w:r w:rsidRPr="00944B9B">
        <w:rPr>
          <w:rFonts w:cs="Arial"/>
        </w:rPr>
        <w:t>moving forward the specified deadline may realistically have to be phased over a number of years, again bearing in mind the considerations mentioned in (</w:t>
      </w:r>
      <w:r>
        <w:rPr>
          <w:rFonts w:cs="Arial"/>
        </w:rPr>
        <w:t>iii</w:t>
      </w:r>
      <w:r w:rsidRPr="00944B9B">
        <w:rPr>
          <w:rFonts w:cs="Arial"/>
        </w:rPr>
        <w:t xml:space="preserve">) above.   </w:t>
      </w:r>
    </w:p>
    <w:p w:rsidR="00DF3CF7" w:rsidRPr="00F4145C" w:rsidRDefault="00DF3CF7" w:rsidP="00DF3CF7">
      <w:pPr>
        <w:pStyle w:val="ListParagraph"/>
        <w:tabs>
          <w:tab w:val="clear" w:pos="1418"/>
          <w:tab w:val="left" w:pos="1440"/>
        </w:tabs>
        <w:ind w:left="0"/>
        <w:rPr>
          <w:rFonts w:cs="Arial"/>
          <w:highlight w:val="green"/>
          <w:shd w:val="clear" w:color="auto" w:fill="FFFF99"/>
        </w:rPr>
      </w:pPr>
    </w:p>
    <w:p w:rsidR="00DF3CF7" w:rsidRPr="00E41BFB" w:rsidRDefault="00DF3CF7" w:rsidP="00DF3CF7">
      <w:r>
        <w:t>7</w:t>
      </w:r>
      <w:r w:rsidRPr="00E41BFB">
        <w:t>.40</w:t>
      </w:r>
      <w:r w:rsidRPr="00E41BFB">
        <w:tab/>
      </w:r>
      <w:r w:rsidRPr="00E41BFB">
        <w:tab/>
        <w:t xml:space="preserve">Bearing in mind the discussion in this </w:t>
      </w:r>
      <w:r>
        <w:t>c</w:t>
      </w:r>
      <w:r w:rsidRPr="00E41BFB">
        <w:t>hapter (in particular the above observations), there are some benefits of shortening the current 30-year timeframe on transfer of records to the GRS</w:t>
      </w:r>
      <w:r w:rsidRPr="00E41BFB">
        <w:rPr>
          <w:lang w:eastAsia="zh-HK"/>
        </w:rPr>
        <w:t xml:space="preserve"> and specifying it for the purpose of retention</w:t>
      </w:r>
      <w:r w:rsidRPr="00E41BFB">
        <w:t>, including:-</w:t>
      </w:r>
    </w:p>
    <w:p w:rsidR="00DF3CF7" w:rsidRPr="00E647F3" w:rsidRDefault="00DF3CF7" w:rsidP="00DF3CF7">
      <w:pPr>
        <w:pStyle w:val="ListParagraph"/>
        <w:tabs>
          <w:tab w:val="clear" w:pos="1418"/>
          <w:tab w:val="left" w:pos="1440"/>
        </w:tabs>
        <w:ind w:left="1276"/>
        <w:rPr>
          <w:rFonts w:cs="Arial"/>
          <w:sz w:val="20"/>
          <w:szCs w:val="20"/>
          <w:highlight w:val="cyan"/>
          <w:shd w:val="clear" w:color="auto" w:fill="FFFF99"/>
        </w:rPr>
      </w:pPr>
    </w:p>
    <w:p w:rsidR="00DF3CF7" w:rsidRPr="008F1625" w:rsidRDefault="00DF3CF7" w:rsidP="00DF3CF7">
      <w:pPr>
        <w:tabs>
          <w:tab w:val="clear" w:pos="1418"/>
          <w:tab w:val="left" w:pos="1440"/>
        </w:tabs>
        <w:ind w:left="1440" w:hanging="720"/>
        <w:rPr>
          <w:rFonts w:cs="Arial"/>
        </w:rPr>
      </w:pPr>
      <w:r>
        <w:rPr>
          <w:rFonts w:cs="Arial" w:hint="eastAsia"/>
        </w:rPr>
        <w:t>(i)</w:t>
      </w:r>
      <w:r>
        <w:rPr>
          <w:rFonts w:cs="Arial"/>
        </w:rPr>
        <w:tab/>
      </w:r>
      <w:r w:rsidRPr="00944B9B">
        <w:rPr>
          <w:rFonts w:cs="Arial"/>
        </w:rPr>
        <w:t xml:space="preserve">enabling the GRS to get hold of records from B/Ds earlier for retention </w:t>
      </w:r>
      <w:r w:rsidRPr="008F1625">
        <w:rPr>
          <w:rFonts w:cs="Arial"/>
        </w:rPr>
        <w:t>purposes;</w:t>
      </w:r>
    </w:p>
    <w:p w:rsidR="00DF3CF7" w:rsidRPr="00E647F3" w:rsidRDefault="00DF3CF7" w:rsidP="00DF3CF7">
      <w:pPr>
        <w:pStyle w:val="ListParagraph"/>
        <w:tabs>
          <w:tab w:val="clear" w:pos="1418"/>
          <w:tab w:val="left" w:pos="1440"/>
        </w:tabs>
        <w:ind w:left="1440" w:hanging="720"/>
        <w:rPr>
          <w:rFonts w:cs="Arial"/>
          <w:sz w:val="20"/>
          <w:szCs w:val="20"/>
        </w:rPr>
      </w:pPr>
    </w:p>
    <w:p w:rsidR="00DF3CF7" w:rsidRPr="008F1625" w:rsidRDefault="00DF3CF7" w:rsidP="00DF3CF7">
      <w:pPr>
        <w:tabs>
          <w:tab w:val="clear" w:pos="1418"/>
          <w:tab w:val="left" w:pos="1440"/>
        </w:tabs>
        <w:ind w:left="1440" w:hanging="720"/>
        <w:rPr>
          <w:rFonts w:cs="Arial"/>
        </w:rPr>
      </w:pPr>
      <w:r>
        <w:rPr>
          <w:rFonts w:cs="Arial" w:hint="eastAsia"/>
        </w:rPr>
        <w:t>(ii)</w:t>
      </w:r>
      <w:r>
        <w:rPr>
          <w:rFonts w:cs="Arial"/>
        </w:rPr>
        <w:tab/>
      </w:r>
      <w:r w:rsidRPr="00944B9B">
        <w:rPr>
          <w:rFonts w:cs="Arial"/>
        </w:rPr>
        <w:t>reinforcing the government</w:t>
      </w:r>
      <w:r>
        <w:rPr>
          <w:rFonts w:cs="Arial"/>
        </w:rPr>
        <w:t>'</w:t>
      </w:r>
      <w:r w:rsidRPr="00944B9B">
        <w:rPr>
          <w:rFonts w:cs="Arial"/>
        </w:rPr>
        <w:t>s commitment to put in place a</w:t>
      </w:r>
      <w:r w:rsidRPr="00944B9B">
        <w:rPr>
          <w:rFonts w:cs="Arial"/>
          <w:color w:val="FF0000"/>
        </w:rPr>
        <w:t xml:space="preserve"> </w:t>
      </w:r>
      <w:r w:rsidRPr="008F1625">
        <w:rPr>
          <w:rFonts w:cs="Arial"/>
        </w:rPr>
        <w:t xml:space="preserve">vigorous </w:t>
      </w:r>
      <w:r>
        <w:rPr>
          <w:rFonts w:cs="Arial"/>
        </w:rPr>
        <w:t xml:space="preserve">public </w:t>
      </w:r>
      <w:r w:rsidRPr="008F1625">
        <w:rPr>
          <w:rFonts w:cs="Arial"/>
        </w:rPr>
        <w:t>records management regime; and</w:t>
      </w:r>
    </w:p>
    <w:p w:rsidR="00DF3CF7" w:rsidRPr="00E647F3" w:rsidRDefault="00DF3CF7" w:rsidP="00DF3CF7">
      <w:pPr>
        <w:pStyle w:val="ListParagraph"/>
        <w:tabs>
          <w:tab w:val="clear" w:pos="1418"/>
          <w:tab w:val="left" w:pos="1440"/>
        </w:tabs>
        <w:ind w:left="1440" w:hanging="720"/>
        <w:rPr>
          <w:rFonts w:cs="Arial"/>
          <w:sz w:val="20"/>
          <w:szCs w:val="20"/>
        </w:rPr>
      </w:pPr>
    </w:p>
    <w:p w:rsidR="00DF3CF7" w:rsidRPr="008F1625" w:rsidRDefault="00DF3CF7" w:rsidP="00DF3CF7">
      <w:pPr>
        <w:tabs>
          <w:tab w:val="clear" w:pos="1418"/>
          <w:tab w:val="left" w:pos="1440"/>
        </w:tabs>
        <w:ind w:left="1440" w:hanging="720"/>
        <w:rPr>
          <w:rFonts w:cs="Arial"/>
        </w:rPr>
      </w:pPr>
      <w:r>
        <w:rPr>
          <w:rFonts w:cs="Arial" w:hint="eastAsia"/>
        </w:rPr>
        <w:t>(iii)</w:t>
      </w:r>
      <w:r>
        <w:rPr>
          <w:rFonts w:cs="Arial"/>
        </w:rPr>
        <w:tab/>
      </w:r>
      <w:r w:rsidRPr="00944B9B">
        <w:rPr>
          <w:rFonts w:cs="Arial"/>
        </w:rPr>
        <w:t>putting Hong Kong on par with some jurisdictions studied.</w:t>
      </w:r>
    </w:p>
    <w:p w:rsidR="00DF3CF7" w:rsidRPr="00F4145C" w:rsidRDefault="00DF3CF7" w:rsidP="00DF3CF7">
      <w:pPr>
        <w:pStyle w:val="ListParagraph"/>
        <w:tabs>
          <w:tab w:val="clear" w:pos="1418"/>
          <w:tab w:val="left" w:pos="1440"/>
        </w:tabs>
        <w:ind w:left="1440" w:hanging="720"/>
        <w:jc w:val="left"/>
        <w:rPr>
          <w:rFonts w:cs="Arial"/>
          <w:highlight w:val="green"/>
          <w:shd w:val="clear" w:color="auto" w:fill="FFFF99"/>
        </w:rPr>
      </w:pPr>
    </w:p>
    <w:p w:rsidR="00DF3CF7" w:rsidRPr="00E41BFB" w:rsidRDefault="00DF3CF7" w:rsidP="00DF3CF7">
      <w:r>
        <w:t>7</w:t>
      </w:r>
      <w:r w:rsidRPr="00E41BFB">
        <w:t>.41</w:t>
      </w:r>
      <w:r w:rsidRPr="00E41BFB">
        <w:tab/>
      </w:r>
      <w:r w:rsidRPr="00E41BFB">
        <w:tab/>
        <w:t>On the other hand, shortening the current 30-year timeframe on transfer of records has its disadvantages, including:-</w:t>
      </w:r>
    </w:p>
    <w:p w:rsidR="00DF3CF7" w:rsidRPr="00D86E22" w:rsidRDefault="00DF3CF7" w:rsidP="00DF3CF7">
      <w:pPr>
        <w:pStyle w:val="ListParagraph"/>
        <w:tabs>
          <w:tab w:val="clear" w:pos="1418"/>
          <w:tab w:val="left" w:pos="1440"/>
        </w:tabs>
        <w:ind w:left="0"/>
        <w:rPr>
          <w:rFonts w:cs="Arial"/>
          <w:highlight w:val="yellow"/>
          <w:shd w:val="clear" w:color="auto" w:fill="FFFFFF"/>
        </w:rPr>
      </w:pPr>
    </w:p>
    <w:p w:rsidR="00DF3CF7" w:rsidRPr="008F1625" w:rsidRDefault="00DF3CF7" w:rsidP="00DF3CF7">
      <w:pPr>
        <w:tabs>
          <w:tab w:val="clear" w:pos="1418"/>
          <w:tab w:val="left" w:pos="1440"/>
        </w:tabs>
        <w:ind w:left="1440" w:hanging="720"/>
        <w:rPr>
          <w:rFonts w:cs="Arial"/>
        </w:rPr>
      </w:pPr>
      <w:r>
        <w:rPr>
          <w:rFonts w:cs="Arial" w:hint="eastAsia"/>
        </w:rPr>
        <w:t>(i)</w:t>
      </w:r>
      <w:r>
        <w:rPr>
          <w:rFonts w:cs="Arial"/>
        </w:rPr>
        <w:tab/>
      </w:r>
      <w:r w:rsidRPr="00944B9B">
        <w:rPr>
          <w:rFonts w:cs="Arial"/>
        </w:rPr>
        <w:t>some</w:t>
      </w:r>
      <w:r w:rsidRPr="008F1625">
        <w:rPr>
          <w:rFonts w:cs="Arial"/>
        </w:rPr>
        <w:t xml:space="preserve"> policies may be ironed out over a long period of time, and B/Ds may need to refer to the relevant records during the whole time.  Too close a deadline for transfer will hinder B/Ds</w:t>
      </w:r>
      <w:r>
        <w:rPr>
          <w:rFonts w:cs="Arial"/>
        </w:rPr>
        <w:t>'</w:t>
      </w:r>
      <w:r w:rsidRPr="008F1625">
        <w:rPr>
          <w:rFonts w:cs="Arial"/>
        </w:rPr>
        <w:t xml:space="preserve"> use of or reference to those records essential for their operational needs.  There will be time and resources implications if B/Ds have to apply for deferral of transfer and wait for GRS</w:t>
      </w:r>
      <w:r>
        <w:rPr>
          <w:rFonts w:cs="Arial"/>
        </w:rPr>
        <w:t>'</w:t>
      </w:r>
      <w:r w:rsidRPr="008F1625">
        <w:rPr>
          <w:rFonts w:cs="Arial"/>
        </w:rPr>
        <w:t xml:space="preserve"> processing and approval; and</w:t>
      </w:r>
    </w:p>
    <w:p w:rsidR="00DF3CF7" w:rsidRPr="000959EF" w:rsidRDefault="00DF3CF7" w:rsidP="00DF3CF7">
      <w:pPr>
        <w:pStyle w:val="ListParagraph"/>
        <w:tabs>
          <w:tab w:val="clear" w:pos="1418"/>
          <w:tab w:val="left" w:pos="1440"/>
        </w:tabs>
        <w:ind w:left="1440" w:hanging="720"/>
        <w:rPr>
          <w:rFonts w:cs="Arial"/>
        </w:rPr>
      </w:pPr>
    </w:p>
    <w:p w:rsidR="00DF3CF7" w:rsidRPr="008F1625" w:rsidRDefault="00DF3CF7" w:rsidP="00DF3CF7">
      <w:pPr>
        <w:tabs>
          <w:tab w:val="clear" w:pos="1418"/>
          <w:tab w:val="left" w:pos="1440"/>
        </w:tabs>
        <w:ind w:left="1440" w:hanging="720"/>
        <w:rPr>
          <w:rFonts w:cs="Arial"/>
        </w:rPr>
      </w:pPr>
      <w:r>
        <w:rPr>
          <w:rFonts w:cs="Arial" w:hint="eastAsia"/>
        </w:rPr>
        <w:t>(i</w:t>
      </w:r>
      <w:r>
        <w:rPr>
          <w:rFonts w:cs="Arial"/>
        </w:rPr>
        <w:t>i</w:t>
      </w:r>
      <w:r>
        <w:rPr>
          <w:rFonts w:cs="Arial" w:hint="eastAsia"/>
        </w:rPr>
        <w:t>)</w:t>
      </w:r>
      <w:r>
        <w:rPr>
          <w:rFonts w:cs="Arial"/>
        </w:rPr>
        <w:tab/>
      </w:r>
      <w:r w:rsidRPr="00944B9B">
        <w:rPr>
          <w:rFonts w:cs="Arial"/>
        </w:rPr>
        <w:t xml:space="preserve">this may strain the GRS if no phase-in period is allowed for or no additional resources is provided for. </w:t>
      </w:r>
      <w:r w:rsidRPr="008F1625">
        <w:rPr>
          <w:rFonts w:cs="Arial"/>
        </w:rPr>
        <w:t xml:space="preserve"> The problem is that there is not enough supply of archivists in Hong Kong as discussed in </w:t>
      </w:r>
      <w:r w:rsidRPr="00684CA6">
        <w:rPr>
          <w:rFonts w:cs="Arial"/>
        </w:rPr>
        <w:t>chapter 10.</w:t>
      </w:r>
    </w:p>
    <w:p w:rsidR="00DF3CF7" w:rsidRPr="00F4145C" w:rsidRDefault="00DF3CF7" w:rsidP="00DF3CF7">
      <w:pPr>
        <w:pStyle w:val="ListParagraph"/>
        <w:tabs>
          <w:tab w:val="clear" w:pos="1418"/>
          <w:tab w:val="left" w:pos="1440"/>
        </w:tabs>
        <w:ind w:left="0"/>
        <w:rPr>
          <w:rFonts w:cs="Arial"/>
          <w:highlight w:val="green"/>
          <w:shd w:val="clear" w:color="auto" w:fill="FFFF99"/>
        </w:rPr>
      </w:pPr>
    </w:p>
    <w:p w:rsidR="00DF3CF7" w:rsidRPr="00F4145C" w:rsidRDefault="00DF3CF7" w:rsidP="00DF3CF7">
      <w:pPr>
        <w:tabs>
          <w:tab w:val="clear" w:pos="1418"/>
          <w:tab w:val="left" w:pos="0"/>
          <w:tab w:val="left" w:pos="1440"/>
        </w:tabs>
        <w:rPr>
          <w:rFonts w:cs="Arial"/>
          <w:b/>
          <w:sz w:val="28"/>
          <w:szCs w:val="28"/>
          <w:highlight w:val="green"/>
          <w:shd w:val="clear" w:color="auto" w:fill="FFFF99"/>
        </w:rPr>
      </w:pPr>
    </w:p>
    <w:p w:rsidR="00DF3CF7" w:rsidRPr="00E41BFB" w:rsidRDefault="00DF3CF7" w:rsidP="00DF3CF7">
      <w:pPr>
        <w:pStyle w:val="Heading2"/>
      </w:pPr>
      <w:r w:rsidRPr="00E41BFB">
        <w:t xml:space="preserve">Issues for </w:t>
      </w:r>
      <w:r>
        <w:rPr>
          <w:rFonts w:hint="eastAsia"/>
        </w:rPr>
        <w:t>p</w:t>
      </w:r>
      <w:r w:rsidRPr="00E41BFB">
        <w:t xml:space="preserve">ublic </w:t>
      </w:r>
      <w:r>
        <w:rPr>
          <w:rFonts w:hint="eastAsia"/>
        </w:rPr>
        <w:t>c</w:t>
      </w:r>
      <w:r w:rsidRPr="00E41BFB">
        <w:t>onsultation</w:t>
      </w:r>
    </w:p>
    <w:p w:rsidR="00DF3CF7" w:rsidRPr="00B55FB1" w:rsidRDefault="00DF3CF7" w:rsidP="00DF3CF7">
      <w:pPr>
        <w:pStyle w:val="ListParagraph"/>
        <w:tabs>
          <w:tab w:val="clear" w:pos="1418"/>
          <w:tab w:val="left" w:pos="1440"/>
        </w:tabs>
        <w:ind w:left="0"/>
        <w:rPr>
          <w:rFonts w:cs="Arial"/>
          <w:highlight w:val="yellow"/>
          <w:shd w:val="clear" w:color="auto" w:fill="FFFF99"/>
        </w:rPr>
      </w:pPr>
    </w:p>
    <w:p w:rsidR="00DF3CF7" w:rsidRPr="00B208DA" w:rsidRDefault="00DF3CF7" w:rsidP="00DF3CF7">
      <w:r>
        <w:t>7</w:t>
      </w:r>
      <w:r w:rsidRPr="00B208DA">
        <w:t>.4</w:t>
      </w:r>
      <w:r w:rsidRPr="00B208DA">
        <w:rPr>
          <w:rFonts w:hint="eastAsia"/>
        </w:rPr>
        <w:t>2</w:t>
      </w:r>
      <w:r w:rsidRPr="00B208DA">
        <w:tab/>
      </w:r>
      <w:r w:rsidRPr="00B208DA">
        <w:rPr>
          <w:rFonts w:hint="eastAsia"/>
        </w:rPr>
        <w:tab/>
      </w:r>
      <w:r w:rsidRPr="00B208DA">
        <w:t>All in all, this is about striking a proper balance.</w:t>
      </w:r>
      <w:r w:rsidRPr="00B208DA" w:rsidDel="00DB596E">
        <w:t xml:space="preserve"> </w:t>
      </w:r>
      <w:r w:rsidRPr="00B208DA">
        <w:t xml:space="preserve"> Having set out the observations distilled from the overseas jurisdictions, as well as the advantages and disadvantages of moving forward the deadline for transfer, we wish to seek the views of the public in relation to some relevant questions.</w:t>
      </w:r>
    </w:p>
    <w:p w:rsidR="00DF3CF7" w:rsidRPr="00F811DB" w:rsidRDefault="00DF3CF7" w:rsidP="00DF3CF7">
      <w:pPr>
        <w:pStyle w:val="ListParagraph"/>
        <w:tabs>
          <w:tab w:val="clear" w:pos="1418"/>
          <w:tab w:val="left" w:pos="1440"/>
        </w:tabs>
        <w:ind w:left="0" w:firstLine="1429"/>
        <w:rPr>
          <w:rFonts w:cs="Arial"/>
          <w:highlight w:val="green"/>
          <w:shd w:val="clear" w:color="auto" w:fill="FFFF99"/>
        </w:rPr>
      </w:pPr>
    </w:p>
    <w:p w:rsidR="00DF3CF7" w:rsidRPr="00F4145C" w:rsidRDefault="00DF3CF7" w:rsidP="00DF3CF7">
      <w:pPr>
        <w:pStyle w:val="ListParagraph"/>
        <w:tabs>
          <w:tab w:val="clear" w:pos="1418"/>
          <w:tab w:val="left" w:pos="1440"/>
        </w:tabs>
        <w:ind w:left="0" w:firstLine="1429"/>
        <w:rPr>
          <w:rFonts w:cs="Arial"/>
          <w:highlight w:val="green"/>
          <w:shd w:val="clear" w:color="auto" w:fill="FFFF99"/>
        </w:rPr>
      </w:pPr>
    </w:p>
    <w:p w:rsidR="00DF3CF7" w:rsidRPr="00E41BFB" w:rsidRDefault="00DF3CF7" w:rsidP="00DF3CF7">
      <w:pPr>
        <w:pStyle w:val="ListParagraph"/>
        <w:pBdr>
          <w:top w:val="single" w:sz="4" w:space="8" w:color="auto"/>
          <w:left w:val="single" w:sz="4" w:space="8" w:color="auto"/>
          <w:bottom w:val="single" w:sz="4" w:space="8" w:color="auto"/>
          <w:right w:val="single" w:sz="4" w:space="8" w:color="auto"/>
        </w:pBdr>
        <w:tabs>
          <w:tab w:val="clear" w:pos="1418"/>
          <w:tab w:val="left" w:pos="1440"/>
        </w:tabs>
        <w:ind w:left="1440" w:right="720" w:hanging="720"/>
        <w:rPr>
          <w:rFonts w:cs="Arial"/>
          <w:b/>
          <w:kern w:val="2"/>
          <w:lang w:val="en-US"/>
        </w:rPr>
      </w:pPr>
      <w:r w:rsidRPr="00E41BFB">
        <w:rPr>
          <w:rFonts w:cs="Arial"/>
          <w:b/>
          <w:kern w:val="2"/>
          <w:lang w:val="en-US"/>
        </w:rPr>
        <w:t xml:space="preserve">Consultation Questions </w:t>
      </w:r>
      <w:r>
        <w:rPr>
          <w:rFonts w:cs="Arial"/>
          <w:b/>
          <w:kern w:val="2"/>
          <w:lang w:val="en-US"/>
        </w:rPr>
        <w:t>9</w:t>
      </w:r>
    </w:p>
    <w:p w:rsidR="00DF3CF7" w:rsidRPr="00E41BFB" w:rsidRDefault="00DF3CF7" w:rsidP="00DF3CF7">
      <w:pPr>
        <w:pStyle w:val="ListParagraph"/>
        <w:pBdr>
          <w:top w:val="single" w:sz="4" w:space="8" w:color="auto"/>
          <w:left w:val="single" w:sz="4" w:space="8" w:color="auto"/>
          <w:bottom w:val="single" w:sz="4" w:space="8" w:color="auto"/>
          <w:right w:val="single" w:sz="4" w:space="8" w:color="auto"/>
        </w:pBdr>
        <w:tabs>
          <w:tab w:val="clear" w:pos="1418"/>
          <w:tab w:val="left" w:pos="1440"/>
        </w:tabs>
        <w:ind w:left="1440" w:right="720" w:hanging="720"/>
        <w:rPr>
          <w:rFonts w:cs="Arial"/>
          <w:b/>
          <w:kern w:val="2"/>
          <w:lang w:val="en-US"/>
        </w:rPr>
      </w:pPr>
    </w:p>
    <w:p w:rsidR="00DF3CF7" w:rsidRPr="00E41BFB" w:rsidRDefault="00DF3CF7" w:rsidP="00D86E22">
      <w:pPr>
        <w:pStyle w:val="ListParagraph"/>
        <w:numPr>
          <w:ilvl w:val="0"/>
          <w:numId w:val="48"/>
        </w:numPr>
        <w:pBdr>
          <w:top w:val="single" w:sz="4" w:space="8" w:color="auto"/>
          <w:left w:val="single" w:sz="4" w:space="8" w:color="auto"/>
          <w:bottom w:val="single" w:sz="4" w:space="8" w:color="auto"/>
          <w:right w:val="single" w:sz="4" w:space="8" w:color="auto"/>
        </w:pBdr>
        <w:tabs>
          <w:tab w:val="clear" w:pos="1418"/>
          <w:tab w:val="left" w:pos="1440"/>
        </w:tabs>
        <w:ind w:left="1418" w:right="720" w:hanging="698"/>
        <w:contextualSpacing w:val="0"/>
        <w:rPr>
          <w:rFonts w:cs="Arial"/>
          <w:b/>
          <w:kern w:val="2"/>
          <w:lang w:val="en-US"/>
        </w:rPr>
      </w:pPr>
      <w:r w:rsidRPr="00E41BFB">
        <w:rPr>
          <w:rFonts w:cs="Arial"/>
          <w:b/>
          <w:kern w:val="2"/>
          <w:lang w:val="en-US"/>
        </w:rPr>
        <w:t>Should the current 30-year timeframe on the transfer of records by B/Ds to the GRS be retained?</w:t>
      </w:r>
    </w:p>
    <w:p w:rsidR="00DF3CF7" w:rsidRPr="00E41BFB" w:rsidRDefault="00DF3CF7" w:rsidP="00DF3CF7">
      <w:pPr>
        <w:pBdr>
          <w:top w:val="single" w:sz="4" w:space="8" w:color="auto"/>
          <w:left w:val="single" w:sz="4" w:space="8" w:color="auto"/>
          <w:bottom w:val="single" w:sz="4" w:space="8" w:color="auto"/>
          <w:right w:val="single" w:sz="4" w:space="8" w:color="auto"/>
        </w:pBdr>
        <w:tabs>
          <w:tab w:val="clear" w:pos="1418"/>
          <w:tab w:val="left" w:pos="1440"/>
        </w:tabs>
        <w:ind w:left="720" w:right="720"/>
        <w:rPr>
          <w:rFonts w:cs="Arial"/>
          <w:b/>
          <w:kern w:val="2"/>
          <w:lang w:val="en-US"/>
        </w:rPr>
      </w:pPr>
    </w:p>
    <w:p w:rsidR="00DF3CF7" w:rsidRPr="00AC792D" w:rsidRDefault="00DF3CF7" w:rsidP="00D86E22">
      <w:pPr>
        <w:pStyle w:val="ListParagraph"/>
        <w:numPr>
          <w:ilvl w:val="0"/>
          <w:numId w:val="48"/>
        </w:numPr>
        <w:pBdr>
          <w:top w:val="single" w:sz="4" w:space="8" w:color="auto"/>
          <w:left w:val="single" w:sz="4" w:space="8" w:color="auto"/>
          <w:bottom w:val="single" w:sz="4" w:space="8" w:color="auto"/>
          <w:right w:val="single" w:sz="4" w:space="8" w:color="auto"/>
        </w:pBdr>
        <w:tabs>
          <w:tab w:val="clear" w:pos="1418"/>
          <w:tab w:val="left" w:pos="1440"/>
        </w:tabs>
        <w:ind w:left="1440" w:right="720" w:hanging="720"/>
        <w:contextualSpacing w:val="0"/>
        <w:rPr>
          <w:rFonts w:cs="Arial"/>
          <w:b/>
          <w:kern w:val="2"/>
          <w:shd w:val="clear" w:color="auto" w:fill="FFFF99"/>
        </w:rPr>
      </w:pPr>
      <w:r w:rsidRPr="00AC792D">
        <w:rPr>
          <w:rFonts w:cs="Arial"/>
          <w:b/>
          <w:kern w:val="2"/>
          <w:lang w:val="en-US"/>
        </w:rPr>
        <w:t>If the answer to (i) is in the negative, (a) what are your reasons, and (b) what in your view is the appropriate timeframe and why?</w:t>
      </w:r>
    </w:p>
    <w:p w:rsidR="00DF3CF7" w:rsidRPr="00CE0276" w:rsidRDefault="00DF3CF7" w:rsidP="00DF3CF7">
      <w:pPr>
        <w:tabs>
          <w:tab w:val="clear" w:pos="1418"/>
          <w:tab w:val="left" w:pos="709"/>
          <w:tab w:val="left" w:pos="1440"/>
        </w:tabs>
        <w:ind w:left="1440" w:hanging="720"/>
        <w:rPr>
          <w:rFonts w:cs="Arial"/>
          <w:shd w:val="clear" w:color="auto" w:fill="FFFF99"/>
        </w:rPr>
      </w:pPr>
    </w:p>
    <w:p w:rsidR="00DF3CF7" w:rsidRDefault="00DF3CF7" w:rsidP="00DF3CF7">
      <w:pPr>
        <w:tabs>
          <w:tab w:val="clear" w:pos="1418"/>
          <w:tab w:val="left" w:pos="709"/>
          <w:tab w:val="left" w:pos="1440"/>
        </w:tabs>
        <w:rPr>
          <w:rFonts w:cs="Arial"/>
        </w:rPr>
      </w:pPr>
    </w:p>
    <w:p w:rsidR="00DF3CF7" w:rsidRDefault="00DF3CF7" w:rsidP="007572E9">
      <w:pPr>
        <w:rPr>
          <w:rFonts w:cs="Arial"/>
          <w:b/>
          <w:sz w:val="20"/>
          <w:szCs w:val="20"/>
        </w:rPr>
        <w:sectPr w:rsidR="00DF3CF7" w:rsidSect="00DF3CF7">
          <w:footerReference w:type="default" r:id="rId21"/>
          <w:footnotePr>
            <w:numStart w:val="49"/>
            <w:numRestart w:val="eachSect"/>
          </w:footnotePr>
          <w:pgSz w:w="11906" w:h="16838" w:code="9"/>
          <w:pgMar w:top="1440" w:right="1800" w:bottom="1440" w:left="1800" w:header="720" w:footer="720" w:gutter="0"/>
          <w:cols w:space="425"/>
          <w:docGrid w:type="linesAndChars" w:linePitch="360"/>
        </w:sectPr>
      </w:pPr>
    </w:p>
    <w:p w:rsidR="00DF3CF7" w:rsidRDefault="00DF3CF7">
      <w:pPr>
        <w:pStyle w:val="Heading1"/>
        <w:rPr>
          <w:lang w:val="en-US"/>
        </w:rPr>
      </w:pPr>
      <w:r>
        <w:rPr>
          <w:lang w:val="en-US"/>
        </w:rPr>
        <w:lastRenderedPageBreak/>
        <w:t>Chapter 8</w:t>
      </w:r>
    </w:p>
    <w:p w:rsidR="00DF3CF7" w:rsidRDefault="00DF3CF7">
      <w:pPr>
        <w:rPr>
          <w:rFonts w:cs="Arial"/>
          <w:lang w:val="en-US"/>
        </w:rPr>
      </w:pPr>
    </w:p>
    <w:p w:rsidR="00DF3CF7" w:rsidRDefault="00DF3CF7">
      <w:pPr>
        <w:rPr>
          <w:rFonts w:cs="Arial"/>
          <w:lang w:val="en-US"/>
        </w:rPr>
      </w:pPr>
    </w:p>
    <w:p w:rsidR="00DF3CF7" w:rsidRDefault="00DF3CF7">
      <w:pPr>
        <w:pStyle w:val="Heading1"/>
      </w:pPr>
      <w:r>
        <w:t xml:space="preserve">Compliance framework of public records management regime </w:t>
      </w:r>
    </w:p>
    <w:p w:rsidR="00DF3CF7" w:rsidRDefault="00DF3CF7">
      <w:pPr>
        <w:rPr>
          <w:rFonts w:cs="Arial"/>
          <w:b/>
        </w:rPr>
      </w:pPr>
      <w:r>
        <w:rPr>
          <w:rFonts w:cs="Arial"/>
          <w:b/>
        </w:rPr>
        <w:t>_____________________________________________________</w:t>
      </w:r>
    </w:p>
    <w:p w:rsidR="00DF3CF7" w:rsidRDefault="00DF3CF7">
      <w:pPr>
        <w:rPr>
          <w:rFonts w:cs="Arial"/>
          <w:b/>
        </w:rPr>
      </w:pPr>
    </w:p>
    <w:p w:rsidR="00DF3CF7" w:rsidRDefault="00DF3CF7">
      <w:pPr>
        <w:rPr>
          <w:rFonts w:cs="Arial"/>
          <w:b/>
        </w:rPr>
      </w:pPr>
    </w:p>
    <w:p w:rsidR="00DF3CF7" w:rsidRDefault="00DF3CF7">
      <w:pPr>
        <w:rPr>
          <w:rFonts w:cs="Arial"/>
          <w:b/>
        </w:rPr>
      </w:pPr>
    </w:p>
    <w:p w:rsidR="00DF3CF7" w:rsidRDefault="00DF3CF7">
      <w:pPr>
        <w:pStyle w:val="Heading2"/>
        <w:rPr>
          <w:lang w:val="en-US"/>
        </w:rPr>
      </w:pPr>
      <w:r>
        <w:rPr>
          <w:lang w:val="en-US"/>
        </w:rPr>
        <w:t>Introduction</w:t>
      </w:r>
    </w:p>
    <w:p w:rsidR="00DF3CF7" w:rsidRDefault="00DF3CF7">
      <w:pPr>
        <w:rPr>
          <w:rFonts w:cs="Arial"/>
          <w:b/>
          <w:lang w:val="en-US"/>
        </w:rPr>
      </w:pPr>
    </w:p>
    <w:p w:rsidR="00DF3CF7" w:rsidRDefault="00DF3CF7">
      <w:r>
        <w:t>8.1</w:t>
      </w:r>
      <w:r>
        <w:tab/>
      </w:r>
      <w:r>
        <w:tab/>
        <w:t>Another observation made about the administrative records management regime in Hong Kong is the GRS' lack of effective measures to ensure B/Ds' compliance with the relevant rules and guidelines.  In this chapter, we review the compliance framework of the public records management regime in Hong Kong, focusing on three specific comments, namely (1) inherent weakness of an administrative regime to ensure compliance; (2) the lack of legal authority to inspect records and audit records management practices; and (3) handling of loss and unauthorised destruction of records. In respect of each, we will (i) outline the comments, (ii) track the Government's stance or response and (iii) explore the laws and practices in other jurisdictions.  We will then, towards the end of this chapter, put forward our provisional views before setting out some issues for consulting the public.  Our provisional views are</w:t>
      </w:r>
      <w:r w:rsidRPr="00794CF2">
        <w:rPr>
          <w:lang w:val="en-US"/>
        </w:rPr>
        <w:t xml:space="preserve"> that a good public records </w:t>
      </w:r>
      <w:r>
        <w:rPr>
          <w:lang w:val="en-US"/>
        </w:rPr>
        <w:t xml:space="preserve">management </w:t>
      </w:r>
      <w:r w:rsidRPr="00794CF2">
        <w:rPr>
          <w:lang w:val="en-US"/>
        </w:rPr>
        <w:t xml:space="preserve">regime must include adequate and effective measures to ensure due compliance.  </w:t>
      </w:r>
      <w:r>
        <w:rPr>
          <w:lang w:val="en-US"/>
        </w:rPr>
        <w:t>Whilst t</w:t>
      </w:r>
      <w:r w:rsidRPr="00794CF2">
        <w:rPr>
          <w:lang w:val="en-US"/>
        </w:rPr>
        <w:t xml:space="preserve">hese measures may take the more stringent form of laws or mandatory requirements, equally important are other measures which seek to develop a stronger culture and promote higher awareness of proper records management.  </w:t>
      </w:r>
    </w:p>
    <w:p w:rsidR="00DF3CF7" w:rsidRPr="00E647F3" w:rsidRDefault="00DF3CF7">
      <w:pPr>
        <w:rPr>
          <w:rFonts w:cs="Arial"/>
          <w:sz w:val="22"/>
          <w:szCs w:val="22"/>
          <w:lang w:val="en-US"/>
        </w:rPr>
      </w:pPr>
    </w:p>
    <w:p w:rsidR="00DF3CF7" w:rsidRPr="00E647F3" w:rsidRDefault="00DF3CF7">
      <w:pPr>
        <w:rPr>
          <w:rFonts w:cs="Arial"/>
          <w:sz w:val="22"/>
          <w:szCs w:val="22"/>
          <w:highlight w:val="yellow"/>
          <w:lang w:val="en-US"/>
        </w:rPr>
      </w:pPr>
    </w:p>
    <w:p w:rsidR="00DF3CF7" w:rsidRDefault="00DF3CF7">
      <w:pPr>
        <w:pStyle w:val="Heading2"/>
        <w:ind w:left="720" w:hanging="720"/>
      </w:pPr>
      <w:r>
        <w:t>(I)</w:t>
      </w:r>
      <w:r>
        <w:tab/>
        <w:t>Regulating compliance under an administrative framework</w:t>
      </w:r>
    </w:p>
    <w:p w:rsidR="00DF3CF7" w:rsidRDefault="00DF3CF7">
      <w:pPr>
        <w:rPr>
          <w:rFonts w:cs="Arial"/>
          <w:lang w:val="en-US"/>
        </w:rPr>
      </w:pPr>
    </w:p>
    <w:p w:rsidR="00DF3CF7" w:rsidRDefault="00DF3CF7">
      <w:pPr>
        <w:rPr>
          <w:lang w:val="en-US"/>
        </w:rPr>
      </w:pPr>
      <w:r>
        <w:rPr>
          <w:lang w:val="en-US"/>
        </w:rPr>
        <w:t>8.2</w:t>
      </w:r>
      <w:r>
        <w:rPr>
          <w:lang w:val="en-US"/>
        </w:rPr>
        <w:tab/>
      </w:r>
      <w:r>
        <w:rPr>
          <w:lang w:val="en-US"/>
        </w:rPr>
        <w:tab/>
        <w:t>The 2007 Civic Exchange Report, in view of the lack of legislative framework, commented on the inadequacies of the current records management regime:-</w:t>
      </w:r>
    </w:p>
    <w:p w:rsidR="00DF3CF7" w:rsidRPr="00E647F3" w:rsidRDefault="00DF3CF7">
      <w:pPr>
        <w:rPr>
          <w:rFonts w:cs="Arial"/>
          <w:sz w:val="20"/>
          <w:szCs w:val="20"/>
          <w:lang w:val="en-US"/>
        </w:rPr>
      </w:pPr>
    </w:p>
    <w:p w:rsidR="00DF3CF7" w:rsidRDefault="00DF3CF7">
      <w:pPr>
        <w:ind w:left="720" w:right="720"/>
        <w:rPr>
          <w:rFonts w:cs="Arial"/>
          <w:lang w:val="en-US"/>
        </w:rPr>
      </w:pPr>
      <w:r>
        <w:rPr>
          <w:rFonts w:cs="Arial"/>
          <w:lang w:val="en-US"/>
        </w:rPr>
        <w:t>"</w:t>
      </w:r>
      <w:r>
        <w:rPr>
          <w:rFonts w:cs="Arial"/>
          <w:i/>
          <w:lang w:val="en-US"/>
        </w:rPr>
        <w:t xml:space="preserve">[t]he records authority (the GRS and its subordinate offices), which is supposed to play a key role in ensuring an effective records regime across government, is neither empowered nor has the competency to perform such a role. </w:t>
      </w:r>
      <w:r>
        <w:rPr>
          <w:rFonts w:cs="Arial" w:hint="eastAsia"/>
          <w:i/>
          <w:lang w:val="en-US"/>
        </w:rPr>
        <w:t xml:space="preserve"> </w:t>
      </w:r>
      <w:r>
        <w:rPr>
          <w:rFonts w:cs="Arial"/>
          <w:i/>
          <w:lang w:val="en-US"/>
        </w:rPr>
        <w:t>The GRS cannot monitor the recordkeeping of government agencies or impose penalties in cases of non-compliance with guidelines.  Moreover, the GRS is neither adequately funded nor supported in developing its capacity and professional expertise.</w:t>
      </w:r>
      <w:r>
        <w:rPr>
          <w:rFonts w:cs="Arial"/>
          <w:lang w:val="en-US"/>
        </w:rPr>
        <w:t>"</w:t>
      </w:r>
      <w:r>
        <w:rPr>
          <w:rStyle w:val="FootnoteReference"/>
          <w:rFonts w:cs="Arial"/>
          <w:lang w:val="en-US"/>
        </w:rPr>
        <w:footnoteReference w:id="480"/>
      </w:r>
    </w:p>
    <w:p w:rsidR="00DF3CF7" w:rsidRDefault="00DF3CF7"/>
    <w:p w:rsidR="00DF3CF7" w:rsidRDefault="00DF3CF7">
      <w:pPr>
        <w:pStyle w:val="Heading3"/>
      </w:pPr>
      <w:r>
        <w:t xml:space="preserve">Government's stance or response to comments </w:t>
      </w:r>
    </w:p>
    <w:p w:rsidR="00DF3CF7" w:rsidRPr="00F460E5" w:rsidRDefault="00DF3CF7" w:rsidP="00DF3CF7">
      <w:pPr>
        <w:keepNext/>
        <w:rPr>
          <w:rFonts w:cs="Arial"/>
        </w:rPr>
      </w:pPr>
    </w:p>
    <w:p w:rsidR="00DF3CF7" w:rsidRDefault="00DF3CF7">
      <w:pPr>
        <w:pStyle w:val="Heading4"/>
      </w:pPr>
      <w:r>
        <w:t>Records management through administrative measures</w:t>
      </w:r>
    </w:p>
    <w:p w:rsidR="00DF3CF7" w:rsidRDefault="00DF3CF7" w:rsidP="00DF3CF7">
      <w:pPr>
        <w:keepNext/>
        <w:rPr>
          <w:rFonts w:cs="Arial"/>
        </w:rPr>
      </w:pPr>
    </w:p>
    <w:p w:rsidR="00DF3CF7" w:rsidRDefault="00DF3CF7">
      <w:r>
        <w:t>8.3</w:t>
      </w:r>
      <w:r>
        <w:tab/>
      </w:r>
      <w:r>
        <w:tab/>
        <w:t xml:space="preserve">The Government acknowledges the importance of records as valuable resources to support evidence-based </w:t>
      </w:r>
      <w:r>
        <w:rPr>
          <w:lang w:eastAsia="zh-HK"/>
        </w:rPr>
        <w:t>decision</w:t>
      </w:r>
      <w:r>
        <w:rPr>
          <w:rFonts w:hint="eastAsia"/>
          <w:lang w:eastAsia="zh-HK"/>
        </w:rPr>
        <w:t>-</w:t>
      </w:r>
      <w:r>
        <w:t>making and meet operational and regulatory requirements, and their significance for an open and accountable government.  The Government explained that, although an archives law is not in place, essential principles of good records management have been incorporated into the current administrative rules and guidelines.  These principles include the promulgation of recordkeeping standards, designation of obligations and responsibilities of government agencies relating to</w:t>
      </w:r>
      <w:r>
        <w:rPr>
          <w:lang w:eastAsia="zh-HK"/>
        </w:rPr>
        <w:t xml:space="preserve"> the creating, </w:t>
      </w:r>
      <w:r>
        <w:t>keeping, maintaining and protection of public records, destruction of records to be subject to prior authorisation of archival authority, setting out of responsibility for safe custody and conservation of archival materials, and provisions for public access to public records.</w:t>
      </w:r>
      <w:r>
        <w:rPr>
          <w:vertAlign w:val="superscript"/>
        </w:rPr>
        <w:footnoteReference w:id="481"/>
      </w:r>
      <w:r>
        <w:t xml:space="preserve">  </w:t>
      </w:r>
    </w:p>
    <w:p w:rsidR="00DF3CF7" w:rsidRDefault="00DF3CF7">
      <w:pPr>
        <w:rPr>
          <w:rFonts w:cs="Arial"/>
          <w:lang w:eastAsia="zh-HK"/>
        </w:rPr>
      </w:pPr>
    </w:p>
    <w:p w:rsidR="00DF3CF7" w:rsidRDefault="00DF3CF7">
      <w:pPr>
        <w:pStyle w:val="Heading4"/>
      </w:pPr>
      <w:r>
        <w:t>Promulgation of mandatory records management requirements</w:t>
      </w:r>
    </w:p>
    <w:p w:rsidR="00DF3CF7" w:rsidRDefault="00DF3CF7">
      <w:pPr>
        <w:keepNext/>
        <w:rPr>
          <w:rFonts w:cs="Arial"/>
        </w:rPr>
      </w:pPr>
    </w:p>
    <w:p w:rsidR="00DF3CF7" w:rsidRDefault="00DF3CF7">
      <w:r>
        <w:t>8.4</w:t>
      </w:r>
      <w:r>
        <w:tab/>
      </w:r>
      <w:r>
        <w:tab/>
        <w:t>Since 2009, the GRS and the Administration Wing has been issuing and updating a number of major General Circulars, Circular Memoranda, guidelines and publications,</w:t>
      </w:r>
      <w:r>
        <w:rPr>
          <w:vertAlign w:val="superscript"/>
        </w:rPr>
        <w:footnoteReference w:id="482"/>
      </w:r>
      <w:r>
        <w:t xml:space="preserve">  one of which is GC09 issued in April 2009 setting out mandatory recordkeeping requirements for B/Ds' compliance.</w:t>
      </w:r>
    </w:p>
    <w:p w:rsidR="00DF3CF7" w:rsidRDefault="00DF3CF7">
      <w:pPr>
        <w:rPr>
          <w:rFonts w:cs="Arial"/>
        </w:rPr>
      </w:pPr>
    </w:p>
    <w:p w:rsidR="00DF3CF7" w:rsidRDefault="00DF3CF7">
      <w:r>
        <w:lastRenderedPageBreak/>
        <w:t>8.5</w:t>
      </w:r>
      <w:r>
        <w:rPr>
          <w:rFonts w:hint="eastAsia"/>
        </w:rPr>
        <w:tab/>
      </w:r>
      <w:r>
        <w:tab/>
        <w:t>Some of the mandatory requirements under GC09</w:t>
      </w:r>
      <w:r>
        <w:rPr>
          <w:rStyle w:val="FootnoteReference"/>
          <w:rFonts w:cs="Arial"/>
        </w:rPr>
        <w:footnoteReference w:id="483"/>
      </w:r>
      <w:r>
        <w:t xml:space="preserve"> are:-</w:t>
      </w:r>
    </w:p>
    <w:p w:rsidR="00DF3CF7" w:rsidRDefault="00DF3CF7">
      <w:pPr>
        <w:rPr>
          <w:rFonts w:cs="Arial"/>
        </w:rPr>
      </w:pPr>
    </w:p>
    <w:p w:rsidR="00DF3CF7" w:rsidRDefault="00DF3CF7" w:rsidP="00D86E22">
      <w:pPr>
        <w:widowControl/>
        <w:numPr>
          <w:ilvl w:val="0"/>
          <w:numId w:val="49"/>
        </w:numPr>
        <w:tabs>
          <w:tab w:val="clear" w:pos="1418"/>
        </w:tabs>
        <w:adjustRightInd/>
        <w:ind w:left="1440" w:hanging="720"/>
        <w:rPr>
          <w:rFonts w:cs="Arial"/>
        </w:rPr>
      </w:pPr>
      <w:r>
        <w:rPr>
          <w:rFonts w:cs="Arial"/>
          <w:lang w:val="en-US"/>
        </w:rPr>
        <w:t>To print-and-file e-mail records;</w:t>
      </w:r>
    </w:p>
    <w:p w:rsidR="00DF3CF7" w:rsidRDefault="00DF3CF7">
      <w:pPr>
        <w:ind w:left="1440"/>
        <w:rPr>
          <w:rFonts w:cs="Arial"/>
        </w:rPr>
      </w:pPr>
    </w:p>
    <w:p w:rsidR="00DF3CF7" w:rsidRDefault="00DF3CF7" w:rsidP="00D86E22">
      <w:pPr>
        <w:widowControl/>
        <w:numPr>
          <w:ilvl w:val="0"/>
          <w:numId w:val="49"/>
        </w:numPr>
        <w:tabs>
          <w:tab w:val="clear" w:pos="1418"/>
        </w:tabs>
        <w:adjustRightInd/>
        <w:ind w:left="1440" w:hanging="720"/>
        <w:rPr>
          <w:rFonts w:cs="Arial"/>
          <w:lang w:eastAsia="zh-HK"/>
        </w:rPr>
      </w:pPr>
      <w:r>
        <w:rPr>
          <w:rFonts w:cs="Arial"/>
          <w:lang w:eastAsia="zh-HK"/>
        </w:rPr>
        <w:t>To establish draft disposal schedules for programme records series within a period of two years of creation;</w:t>
      </w:r>
    </w:p>
    <w:p w:rsidR="00DF3CF7" w:rsidRDefault="00DF3CF7">
      <w:pPr>
        <w:ind w:left="1440" w:hanging="720"/>
        <w:rPr>
          <w:rFonts w:cs="Arial"/>
          <w:lang w:val="en-US" w:eastAsia="zh-HK"/>
        </w:rPr>
      </w:pPr>
    </w:p>
    <w:p w:rsidR="00DF3CF7" w:rsidRDefault="00DF3CF7" w:rsidP="00D86E22">
      <w:pPr>
        <w:widowControl/>
        <w:numPr>
          <w:ilvl w:val="0"/>
          <w:numId w:val="49"/>
        </w:numPr>
        <w:tabs>
          <w:tab w:val="clear" w:pos="1418"/>
        </w:tabs>
        <w:adjustRightInd/>
        <w:ind w:left="1440" w:hanging="720"/>
        <w:rPr>
          <w:rFonts w:cs="Arial"/>
        </w:rPr>
      </w:pPr>
      <w:r>
        <w:rPr>
          <w:rFonts w:cs="Arial"/>
        </w:rPr>
        <w:t>To transfer records having archival value to the GRS according to the respective disposal schedule</w:t>
      </w:r>
      <w:r>
        <w:rPr>
          <w:rFonts w:cs="Arial"/>
          <w:lang w:eastAsia="zh-HK"/>
        </w:rPr>
        <w:t>s</w:t>
      </w:r>
      <w:r>
        <w:rPr>
          <w:rFonts w:cs="Arial"/>
        </w:rPr>
        <w:t>;</w:t>
      </w:r>
    </w:p>
    <w:p w:rsidR="00DF3CF7" w:rsidRDefault="00DF3CF7">
      <w:pPr>
        <w:ind w:left="1440" w:hanging="720"/>
        <w:rPr>
          <w:rFonts w:cs="Arial"/>
        </w:rPr>
      </w:pPr>
    </w:p>
    <w:p w:rsidR="00DF3CF7" w:rsidRDefault="00DF3CF7" w:rsidP="00D86E22">
      <w:pPr>
        <w:widowControl/>
        <w:numPr>
          <w:ilvl w:val="0"/>
          <w:numId w:val="49"/>
        </w:numPr>
        <w:tabs>
          <w:tab w:val="clear" w:pos="1418"/>
        </w:tabs>
        <w:adjustRightInd/>
        <w:ind w:left="1440" w:hanging="720"/>
        <w:rPr>
          <w:rFonts w:cs="Arial"/>
        </w:rPr>
      </w:pPr>
      <w:r>
        <w:rPr>
          <w:rFonts w:cs="Arial"/>
        </w:rPr>
        <w:t>To obtain prior agreement from the GRS Director before destruction of records, and ensure that the records disposal process is properly supervised;</w:t>
      </w:r>
    </w:p>
    <w:p w:rsidR="00DF3CF7" w:rsidRDefault="00DF3CF7">
      <w:pPr>
        <w:ind w:left="1440" w:hanging="720"/>
        <w:rPr>
          <w:rFonts w:cs="Arial"/>
        </w:rPr>
      </w:pPr>
    </w:p>
    <w:p w:rsidR="00DF3CF7" w:rsidRDefault="00DF3CF7" w:rsidP="00D86E22">
      <w:pPr>
        <w:widowControl/>
        <w:numPr>
          <w:ilvl w:val="0"/>
          <w:numId w:val="49"/>
        </w:numPr>
        <w:tabs>
          <w:tab w:val="clear" w:pos="1418"/>
        </w:tabs>
        <w:adjustRightInd/>
        <w:ind w:left="1440" w:hanging="720"/>
        <w:rPr>
          <w:rFonts w:cs="Arial"/>
        </w:rPr>
      </w:pPr>
      <w:r>
        <w:rPr>
          <w:rFonts w:cs="Arial"/>
        </w:rPr>
        <w:t xml:space="preserve">To put in place arrangements to ensure proper custody and storage of records, and investigate any loss or </w:t>
      </w:r>
      <w:r>
        <w:rPr>
          <w:rFonts w:cs="Arial"/>
          <w:lang w:eastAsia="zh-HK"/>
        </w:rPr>
        <w:t>un</w:t>
      </w:r>
      <w:r>
        <w:rPr>
          <w:rFonts w:cs="Arial"/>
        </w:rPr>
        <w:t>authorised destruction of records</w:t>
      </w:r>
      <w:r>
        <w:rPr>
          <w:rFonts w:cs="Arial"/>
          <w:lang w:eastAsia="zh-HK"/>
        </w:rPr>
        <w:t>, and consider whether any disciplinary action or other administrative action is necessary</w:t>
      </w:r>
      <w:r>
        <w:rPr>
          <w:rFonts w:cs="Arial"/>
        </w:rPr>
        <w:t>; and</w:t>
      </w:r>
    </w:p>
    <w:p w:rsidR="00DF3CF7" w:rsidRDefault="00DF3CF7">
      <w:pPr>
        <w:ind w:left="1440" w:hanging="720"/>
        <w:rPr>
          <w:rFonts w:cs="Arial"/>
        </w:rPr>
      </w:pPr>
    </w:p>
    <w:p w:rsidR="00DF3CF7" w:rsidRDefault="00DF3CF7" w:rsidP="00D86E22">
      <w:pPr>
        <w:widowControl/>
        <w:numPr>
          <w:ilvl w:val="0"/>
          <w:numId w:val="49"/>
        </w:numPr>
        <w:tabs>
          <w:tab w:val="clear" w:pos="1418"/>
        </w:tabs>
        <w:adjustRightInd/>
        <w:ind w:left="1440" w:hanging="720"/>
        <w:rPr>
          <w:rFonts w:cs="Arial"/>
        </w:rPr>
      </w:pPr>
      <w:r>
        <w:rPr>
          <w:rFonts w:cs="Arial"/>
        </w:rPr>
        <w:t>To review records management practices regularly.</w:t>
      </w:r>
    </w:p>
    <w:p w:rsidR="00DF3CF7" w:rsidRDefault="00DF3CF7">
      <w:pPr>
        <w:rPr>
          <w:rFonts w:cs="Arial"/>
          <w:lang w:eastAsia="zh-HK"/>
        </w:rPr>
      </w:pPr>
    </w:p>
    <w:p w:rsidR="00DF3CF7" w:rsidRDefault="00DF3CF7">
      <w:pPr>
        <w:rPr>
          <w:lang w:eastAsia="zh-HK"/>
        </w:rPr>
      </w:pPr>
      <w:r>
        <w:t>8.6</w:t>
      </w:r>
      <w:r>
        <w:tab/>
      </w:r>
      <w:r>
        <w:tab/>
        <w:t>GC09 carries the same force as Government Regulations which are binding upon government servants.  The memorandum of conditions of service deployed for the appointment of government servants makes it clear that government servants are subject to, amongst others, Government Regulations and Circulars.</w:t>
      </w:r>
      <w:r>
        <w:rPr>
          <w:vertAlign w:val="superscript"/>
        </w:rPr>
        <w:footnoteReference w:id="484"/>
      </w:r>
    </w:p>
    <w:p w:rsidR="00DF3CF7" w:rsidRDefault="00DF3CF7">
      <w:pPr>
        <w:rPr>
          <w:rFonts w:cs="Arial"/>
          <w:lang w:eastAsia="zh-HK"/>
        </w:rPr>
      </w:pPr>
    </w:p>
    <w:p w:rsidR="00DF3CF7" w:rsidRDefault="00DF3CF7">
      <w:r>
        <w:t>8.7</w:t>
      </w:r>
      <w:r>
        <w:tab/>
      </w:r>
      <w:r>
        <w:tab/>
        <w:t xml:space="preserve">General Regulation 11 provides that a Government servant who disobeys or neglects or fails to observe the terms of Government Regulations, Circulars or Circular Memoranda on Conduct and Discipline appertaining to his duties may result in disciplinary proceedings and he may be held pecuniarily responsible for any financial loss to the Government resulting from his disobedience, negligence or failure. </w:t>
      </w:r>
      <w:r>
        <w:rPr>
          <w:lang w:eastAsia="zh-HK"/>
        </w:rPr>
        <w:t xml:space="preserve"> Accordingly, </w:t>
      </w:r>
      <w:r>
        <w:t xml:space="preserve">government servants are liable to disciplinary action if they fail to comply with requirements in GC09 </w:t>
      </w:r>
      <w:r>
        <w:rPr>
          <w:lang w:eastAsia="zh-HK"/>
        </w:rPr>
        <w:t xml:space="preserve">or </w:t>
      </w:r>
      <w:r>
        <w:t>other government regulations and circulars pertaining to records management.</w:t>
      </w:r>
      <w:r>
        <w:rPr>
          <w:rFonts w:hint="eastAsia"/>
        </w:rPr>
        <w:t xml:space="preserve"> </w:t>
      </w:r>
      <w:r>
        <w:t>Possible punishment includes verbal or written warnings, reprimand, severe reprimand, demotion, compulsory retirement and dismissal.</w:t>
      </w:r>
      <w:r>
        <w:rPr>
          <w:vertAlign w:val="superscript"/>
        </w:rPr>
        <w:footnoteReference w:id="485"/>
      </w:r>
    </w:p>
    <w:p w:rsidR="00DF3CF7" w:rsidRDefault="00DF3CF7">
      <w:pPr>
        <w:rPr>
          <w:rFonts w:cs="Arial"/>
        </w:rPr>
      </w:pPr>
    </w:p>
    <w:p w:rsidR="00DF3CF7" w:rsidRDefault="00DF3CF7">
      <w:pPr>
        <w:rPr>
          <w:rFonts w:cs="Arial"/>
        </w:rPr>
      </w:pPr>
    </w:p>
    <w:p w:rsidR="00DF3CF7" w:rsidRDefault="00DF3CF7">
      <w:pPr>
        <w:pStyle w:val="Heading3"/>
        <w:rPr>
          <w:highlight w:val="yellow"/>
          <w:lang w:val="en-US"/>
        </w:rPr>
      </w:pPr>
      <w:r>
        <w:t>Law and practice in other jurisdictions</w:t>
      </w:r>
    </w:p>
    <w:p w:rsidR="00DF3CF7" w:rsidRDefault="00DF3CF7" w:rsidP="00DF3CF7">
      <w:pPr>
        <w:keepNext/>
        <w:rPr>
          <w:rFonts w:cs="Arial"/>
          <w:b/>
          <w:lang w:val="en-US"/>
        </w:rPr>
      </w:pPr>
    </w:p>
    <w:p w:rsidR="00DF3CF7" w:rsidRDefault="00DF3CF7" w:rsidP="00DF3CF7">
      <w:pPr>
        <w:pStyle w:val="Heading4"/>
      </w:pPr>
      <w:r>
        <w:t>Australia</w:t>
      </w:r>
    </w:p>
    <w:p w:rsidR="00DF3CF7" w:rsidRDefault="00DF3CF7" w:rsidP="00DF3CF7">
      <w:pPr>
        <w:keepNext/>
        <w:rPr>
          <w:rFonts w:cs="Arial"/>
          <w:lang w:val="en-US"/>
        </w:rPr>
      </w:pPr>
    </w:p>
    <w:p w:rsidR="00DF3CF7" w:rsidRDefault="00DF3CF7">
      <w:r>
        <w:t>8.8</w:t>
      </w:r>
      <w:r>
        <w:tab/>
      </w:r>
      <w:r>
        <w:tab/>
        <w:t xml:space="preserve">In Australia, some records-related duties imposed upon a Commonwealth institution by the 1983 Act and the Archives Regulations </w:t>
      </w:r>
      <w:r w:rsidRPr="00FB5E1B">
        <w:t>2018</w:t>
      </w:r>
      <w:r>
        <w:t xml:space="preserve"> are:- </w:t>
      </w:r>
    </w:p>
    <w:p w:rsidR="00DF3CF7" w:rsidRDefault="00DF3CF7">
      <w:pPr>
        <w:rPr>
          <w:rFonts w:cs="Arial"/>
        </w:rPr>
      </w:pPr>
    </w:p>
    <w:p w:rsidR="00DF3CF7" w:rsidRPr="00323CE9" w:rsidRDefault="00DF3CF7" w:rsidP="00DF3CF7">
      <w:pPr>
        <w:ind w:left="1440" w:hanging="720"/>
        <w:rPr>
          <w:rFonts w:cs="Arial"/>
        </w:rPr>
      </w:pPr>
      <w:r>
        <w:rPr>
          <w:rFonts w:cs="Arial" w:hint="eastAsia"/>
        </w:rPr>
        <w:t>(i)</w:t>
      </w:r>
      <w:r>
        <w:rPr>
          <w:rFonts w:cs="Arial"/>
        </w:rPr>
        <w:tab/>
      </w:r>
      <w:r w:rsidRPr="00F11F6A">
        <w:rPr>
          <w:rFonts w:cs="Arial"/>
        </w:rPr>
        <w:t>to tr</w:t>
      </w:r>
      <w:r w:rsidRPr="00323CE9">
        <w:rPr>
          <w:rFonts w:cs="Arial"/>
        </w:rPr>
        <w:t>ansfer records which are determined as</w:t>
      </w:r>
      <w:r w:rsidRPr="00323CE9">
        <w:rPr>
          <w:rFonts w:cs="Arial"/>
          <w:lang w:eastAsia="zh-HK"/>
        </w:rPr>
        <w:t xml:space="preserve"> </w:t>
      </w:r>
      <w:r w:rsidRPr="00323CE9">
        <w:rPr>
          <w:rFonts w:cs="Arial"/>
        </w:rPr>
        <w:t>archival resources in its custody to the care of the NAA;</w:t>
      </w:r>
      <w:r>
        <w:rPr>
          <w:rStyle w:val="FootnoteReference"/>
          <w:rFonts w:cs="Arial"/>
        </w:rPr>
        <w:footnoteReference w:id="486"/>
      </w:r>
    </w:p>
    <w:p w:rsidR="00DF3CF7" w:rsidRDefault="00DF3CF7">
      <w:pPr>
        <w:ind w:left="1440" w:hanging="720"/>
        <w:rPr>
          <w:rFonts w:cs="Arial"/>
          <w:lang w:eastAsia="zh-HK"/>
        </w:rPr>
      </w:pPr>
    </w:p>
    <w:p w:rsidR="00DF3CF7" w:rsidRPr="00323CE9" w:rsidRDefault="00DF3CF7">
      <w:pPr>
        <w:ind w:left="1440" w:hanging="720"/>
        <w:rPr>
          <w:rFonts w:cs="Arial"/>
        </w:rPr>
      </w:pPr>
      <w:r w:rsidRPr="00FB5E1B">
        <w:rPr>
          <w:rFonts w:cs="Arial" w:hint="eastAsia"/>
        </w:rPr>
        <w:t>(ii)</w:t>
      </w:r>
      <w:r w:rsidRPr="00FB5E1B">
        <w:rPr>
          <w:rFonts w:cs="Arial"/>
        </w:rPr>
        <w:tab/>
        <w:t>keep, in writing, information relating to the destruction or other disposal of a Commonwealth record in that institution’s custody.</w:t>
      </w:r>
      <w:r w:rsidRPr="00FB5E1B">
        <w:rPr>
          <w:rStyle w:val="FootnoteReference"/>
          <w:rFonts w:cs="Arial"/>
        </w:rPr>
        <w:footnoteReference w:id="487"/>
      </w:r>
      <w:r w:rsidRPr="00323CE9">
        <w:rPr>
          <w:rFonts w:cs="Arial"/>
        </w:rPr>
        <w:t xml:space="preserve">  </w:t>
      </w:r>
    </w:p>
    <w:p w:rsidR="00DF3CF7" w:rsidRDefault="00DF3CF7">
      <w:pPr>
        <w:rPr>
          <w:rFonts w:cs="Arial"/>
          <w:lang w:val="en-US"/>
        </w:rPr>
      </w:pPr>
    </w:p>
    <w:p w:rsidR="00DF3CF7" w:rsidRPr="003A2A71" w:rsidRDefault="00DF3CF7">
      <w:pPr>
        <w:rPr>
          <w:lang w:val="en-US"/>
        </w:rPr>
      </w:pPr>
      <w:r>
        <w:rPr>
          <w:lang w:val="en-US"/>
        </w:rPr>
        <w:t>8.9</w:t>
      </w:r>
      <w:r>
        <w:rPr>
          <w:lang w:val="en-US"/>
        </w:rPr>
        <w:tab/>
      </w:r>
      <w:r>
        <w:rPr>
          <w:lang w:val="en-US"/>
        </w:rPr>
        <w:tab/>
        <w:t xml:space="preserve">Neither the 1983 Act nor the Archives Regulations </w:t>
      </w:r>
      <w:r w:rsidRPr="00FB5E1B">
        <w:rPr>
          <w:lang w:val="en-US"/>
        </w:rPr>
        <w:t>2018 s</w:t>
      </w:r>
      <w:r>
        <w:rPr>
          <w:lang w:val="en-US"/>
        </w:rPr>
        <w:t>pell out the consequence of non-compliance with all the obligations imposed thereunder, and the consequence is thus unclear.  Nonetheless, certain specific dealings with Commonwealth records do attract criminal sanctions under the 1983 Act.  These include destruction or other disposal, transfer, alteration of and damage to a Commonwealth record otherwise than required or permitted by law or the NAA or in accordance with an approved practice or with a normal administrative practice.</w:t>
      </w:r>
      <w:r>
        <w:rPr>
          <w:rStyle w:val="FootnoteReference"/>
          <w:rFonts w:cs="Arial"/>
        </w:rPr>
        <w:footnoteReference w:id="488"/>
      </w:r>
      <w:r>
        <w:rPr>
          <w:lang w:val="en-US"/>
        </w:rPr>
        <w:t xml:space="preserve">  It is also an offence for a person to engage in conduct resulting in an addition to or an alteration of a Commonwealth record which has been in existence for over 15 years, unless it is done as required by law, or with the NAA's permission or in accordance with its approved practice.</w:t>
      </w:r>
      <w:r>
        <w:rPr>
          <w:rStyle w:val="FootnoteReference"/>
          <w:rFonts w:cs="Arial"/>
        </w:rPr>
        <w:footnoteReference w:id="489"/>
      </w:r>
      <w:r>
        <w:rPr>
          <w:lang w:val="en-US"/>
        </w:rPr>
        <w:t xml:space="preserve">  Where accelerated or special access to records is authorised before they fall into open access period on conditions, a breach of those conditions will also be an offence.</w:t>
      </w:r>
      <w:r>
        <w:rPr>
          <w:rStyle w:val="FootnoteReference"/>
          <w:rFonts w:cs="Arial"/>
          <w:lang w:val="en-US"/>
        </w:rPr>
        <w:footnoteReference w:id="490"/>
      </w:r>
    </w:p>
    <w:p w:rsidR="00DF3CF7" w:rsidRDefault="00DF3CF7">
      <w:pPr>
        <w:rPr>
          <w:rFonts w:cs="Arial"/>
        </w:rPr>
      </w:pPr>
    </w:p>
    <w:p w:rsidR="00DF3CF7" w:rsidRDefault="00DF3CF7">
      <w:pPr>
        <w:rPr>
          <w:lang w:val="en-US"/>
        </w:rPr>
      </w:pPr>
      <w:r>
        <w:rPr>
          <w:lang w:val="en-US"/>
        </w:rPr>
        <w:t>8.10</w:t>
      </w:r>
      <w:r>
        <w:rPr>
          <w:lang w:val="en-US"/>
        </w:rPr>
        <w:tab/>
      </w:r>
      <w:r>
        <w:rPr>
          <w:lang w:val="en-US"/>
        </w:rPr>
        <w:tab/>
        <w:t>Under the 1983 Act, the NAA may provide advice and other assistance to Commonwealth institutions to promote proper records management.</w:t>
      </w:r>
      <w:r>
        <w:rPr>
          <w:rStyle w:val="FootnoteReference"/>
          <w:rFonts w:cs="Arial"/>
          <w:lang w:val="en-US"/>
        </w:rPr>
        <w:footnoteReference w:id="491"/>
      </w:r>
      <w:r>
        <w:rPr>
          <w:lang w:val="en-US"/>
        </w:rPr>
        <w:t xml:space="preserve">  Over the years it has published and issued different standards and guidelines.</w:t>
      </w:r>
      <w:r>
        <w:rPr>
          <w:rStyle w:val="FootnoteReference"/>
          <w:rFonts w:cs="Arial"/>
          <w:lang w:val="en-US"/>
        </w:rPr>
        <w:footnoteReference w:id="492"/>
      </w:r>
      <w:r>
        <w:rPr>
          <w:lang w:val="en-US"/>
        </w:rPr>
        <w:t xml:space="preserve">  These publications, however, do not appear to have empowered the NAA to impose sanctions in cases of non-compliance.  </w:t>
      </w:r>
      <w:r>
        <w:lastRenderedPageBreak/>
        <w:t>Nor is the NAA empowered to issue mandatory instructions to Commonwealth institutions the non-compliance of which may result in sanction.</w:t>
      </w:r>
      <w:r>
        <w:rPr>
          <w:rStyle w:val="FootnoteReference"/>
          <w:rFonts w:cs="Arial"/>
        </w:rPr>
        <w:footnoteReference w:id="493"/>
      </w:r>
    </w:p>
    <w:p w:rsidR="00DF3CF7" w:rsidRDefault="00DF3CF7">
      <w:pPr>
        <w:rPr>
          <w:rFonts w:cs="Arial"/>
        </w:rPr>
      </w:pPr>
    </w:p>
    <w:p w:rsidR="00DF3CF7" w:rsidRDefault="00DF3CF7">
      <w:pPr>
        <w:rPr>
          <w:lang w:val="en-US"/>
        </w:rPr>
      </w:pPr>
      <w:r>
        <w:t>8.11</w:t>
      </w:r>
      <w:r>
        <w:rPr>
          <w:lang w:val="en-US"/>
        </w:rPr>
        <w:tab/>
      </w:r>
      <w:r>
        <w:rPr>
          <w:lang w:val="en-US"/>
        </w:rPr>
        <w:tab/>
        <w:t>Finally, Parliamentary oversight is provided for under the 1983 Act, as the NAAAC is required to submit to the responsible Minister an annual report on its operations which will ultimately be laid before the Parliament.</w:t>
      </w:r>
      <w:r>
        <w:rPr>
          <w:rStyle w:val="FootnoteReference"/>
          <w:rFonts w:cs="Arial"/>
          <w:lang w:val="en-US"/>
        </w:rPr>
        <w:footnoteReference w:id="494"/>
      </w:r>
    </w:p>
    <w:p w:rsidR="00DF3CF7" w:rsidRDefault="00DF3CF7">
      <w:pPr>
        <w:rPr>
          <w:rFonts w:cs="Arial"/>
        </w:rPr>
      </w:pPr>
    </w:p>
    <w:p w:rsidR="00DF3CF7" w:rsidRDefault="00DF3CF7">
      <w:pPr>
        <w:pStyle w:val="Heading4"/>
        <w:rPr>
          <w:lang w:val="en-US"/>
        </w:rPr>
      </w:pPr>
      <w:r>
        <w:rPr>
          <w:lang w:val="en-US"/>
        </w:rPr>
        <w:t>England</w:t>
      </w:r>
    </w:p>
    <w:p w:rsidR="00DF3CF7" w:rsidRDefault="00DF3CF7">
      <w:pPr>
        <w:rPr>
          <w:rFonts w:cs="Arial"/>
          <w:lang w:val="en-US"/>
        </w:rPr>
      </w:pPr>
    </w:p>
    <w:p w:rsidR="00DF3CF7" w:rsidRDefault="00DF3CF7">
      <w:r>
        <w:rPr>
          <w:lang w:val="en-US"/>
        </w:rPr>
        <w:t>8.12</w:t>
      </w:r>
      <w:r>
        <w:rPr>
          <w:lang w:val="en-US"/>
        </w:rPr>
        <w:tab/>
      </w:r>
      <w:r>
        <w:rPr>
          <w:lang w:val="en-US"/>
        </w:rPr>
        <w:tab/>
      </w:r>
      <w:r>
        <w:t>The 1958 Act imposes a duty upon every person responsible for public records to, under the guidance of the Keeper (ie Keeper of Public Records):-</w:t>
      </w:r>
      <w:r>
        <w:rPr>
          <w:rStyle w:val="FootnoteReference"/>
          <w:rFonts w:cs="Arial"/>
        </w:rPr>
        <w:footnoteReference w:id="495"/>
      </w:r>
    </w:p>
    <w:p w:rsidR="00DF3CF7" w:rsidRDefault="00DF3CF7">
      <w:pPr>
        <w:rPr>
          <w:rFonts w:cs="Arial"/>
        </w:rPr>
      </w:pPr>
    </w:p>
    <w:p w:rsidR="00DF3CF7" w:rsidRPr="00323CE9" w:rsidRDefault="00DF3CF7" w:rsidP="00DF3CF7">
      <w:pPr>
        <w:ind w:left="1440" w:hanging="720"/>
        <w:rPr>
          <w:rFonts w:cs="Arial"/>
        </w:rPr>
      </w:pPr>
      <w:r>
        <w:rPr>
          <w:rFonts w:cs="Arial" w:hint="eastAsia"/>
        </w:rPr>
        <w:t>(i)</w:t>
      </w:r>
      <w:r>
        <w:rPr>
          <w:rFonts w:cs="Arial"/>
        </w:rPr>
        <w:tab/>
      </w:r>
      <w:r w:rsidRPr="00323CE9">
        <w:rPr>
          <w:rFonts w:cs="Arial"/>
        </w:rPr>
        <w:t>make arrangements for the selection of records which ought to be permanently preserved and for their safe-keeping;</w:t>
      </w:r>
    </w:p>
    <w:p w:rsidR="00DF3CF7" w:rsidRDefault="00DF3CF7">
      <w:pPr>
        <w:ind w:left="1440" w:hanging="720"/>
        <w:rPr>
          <w:rFonts w:cs="Arial"/>
        </w:rPr>
      </w:pPr>
    </w:p>
    <w:p w:rsidR="00DF3CF7" w:rsidRPr="00323CE9" w:rsidRDefault="00DF3CF7" w:rsidP="00DF3CF7">
      <w:pPr>
        <w:ind w:left="1440" w:hanging="720"/>
        <w:rPr>
          <w:rFonts w:cs="Arial"/>
        </w:rPr>
      </w:pPr>
      <w:r>
        <w:rPr>
          <w:rFonts w:cs="Arial" w:hint="eastAsia"/>
        </w:rPr>
        <w:t>(ii)</w:t>
      </w:r>
      <w:r>
        <w:rPr>
          <w:rFonts w:cs="Arial"/>
        </w:rPr>
        <w:tab/>
      </w:r>
      <w:r w:rsidRPr="00323CE9">
        <w:rPr>
          <w:rFonts w:cs="Arial"/>
        </w:rPr>
        <w:t>transfer public records selected for permanent preservation to the PRO or to other appointed place of deposit not later than 20</w:t>
      </w:r>
      <w:r>
        <w:rPr>
          <w:rFonts w:cs="Arial"/>
          <w:lang w:val="en-US"/>
        </w:rPr>
        <w:t> </w:t>
      </w:r>
      <w:r w:rsidRPr="00323CE9">
        <w:rPr>
          <w:rFonts w:cs="Arial"/>
        </w:rPr>
        <w:t xml:space="preserve">years after their creation (subject to exceptions); and </w:t>
      </w:r>
    </w:p>
    <w:p w:rsidR="00DF3CF7" w:rsidRDefault="00DF3CF7">
      <w:pPr>
        <w:ind w:left="1440" w:hanging="720"/>
        <w:rPr>
          <w:rFonts w:cs="Arial"/>
        </w:rPr>
      </w:pPr>
    </w:p>
    <w:p w:rsidR="00DF3CF7" w:rsidRPr="00323CE9" w:rsidRDefault="00DF3CF7" w:rsidP="00DF3CF7">
      <w:pPr>
        <w:ind w:left="1440" w:hanging="720"/>
        <w:rPr>
          <w:rFonts w:cs="Arial"/>
        </w:rPr>
      </w:pPr>
      <w:r>
        <w:rPr>
          <w:rFonts w:cs="Arial" w:hint="eastAsia"/>
        </w:rPr>
        <w:t>(iii)</w:t>
      </w:r>
      <w:r>
        <w:rPr>
          <w:rFonts w:cs="Arial"/>
        </w:rPr>
        <w:tab/>
      </w:r>
      <w:r w:rsidRPr="00323CE9">
        <w:rPr>
          <w:rFonts w:cs="Arial"/>
        </w:rPr>
        <w:t>destroy or otherwise dispose of public records not selected for permanent preservation.</w:t>
      </w:r>
    </w:p>
    <w:p w:rsidR="00DF3CF7" w:rsidRDefault="00DF3CF7">
      <w:pPr>
        <w:rPr>
          <w:rFonts w:cs="Arial"/>
          <w:lang w:val="en-US"/>
        </w:rPr>
      </w:pPr>
    </w:p>
    <w:p w:rsidR="00DF3CF7" w:rsidRDefault="00DF3CF7">
      <w:pPr>
        <w:rPr>
          <w:shd w:val="clear" w:color="auto" w:fill="FFFF00"/>
          <w:lang w:val="en-US"/>
        </w:rPr>
      </w:pPr>
      <w:r>
        <w:rPr>
          <w:lang w:val="en-US"/>
        </w:rPr>
        <w:t>8.13</w:t>
      </w:r>
      <w:r>
        <w:rPr>
          <w:lang w:val="en-US"/>
        </w:rPr>
        <w:tab/>
      </w:r>
      <w:r>
        <w:rPr>
          <w:lang w:val="en-US"/>
        </w:rPr>
        <w:tab/>
        <w:t>Similar to other jurisdictions studied, Parliamentary scrutiny is provided for under the 1958 Act, as the Secretary of State is required to lay before both Houses of Parliament a report on the work of the PRO every year.</w:t>
      </w:r>
      <w:r>
        <w:rPr>
          <w:rStyle w:val="FootnoteReference"/>
          <w:rFonts w:cs="Arial"/>
          <w:lang w:val="en-US"/>
        </w:rPr>
        <w:footnoteReference w:id="496"/>
      </w:r>
      <w:r>
        <w:rPr>
          <w:lang w:val="en-US"/>
        </w:rPr>
        <w:t xml:space="preserve">  Unlike other jurisdictions, however, there is no offence provision in the 1958 Act. The consequence for non-compliance with obligations is by naming and shaming.</w:t>
      </w:r>
    </w:p>
    <w:p w:rsidR="00DF3CF7" w:rsidRDefault="00DF3CF7">
      <w:pPr>
        <w:rPr>
          <w:rFonts w:cs="Arial"/>
          <w:lang w:val="en-US"/>
        </w:rPr>
      </w:pPr>
    </w:p>
    <w:p w:rsidR="00DF3CF7" w:rsidRDefault="00DF3CF7">
      <w:r>
        <w:rPr>
          <w:lang w:eastAsia="zh-HK"/>
        </w:rPr>
        <w:t>8.14</w:t>
      </w:r>
      <w:r>
        <w:tab/>
      </w:r>
      <w:r>
        <w:tab/>
        <w:t>It is noteworthy that section 46 of the FOIA 2000 requires the Secretary of State (formerly the Lord Chancellor)</w:t>
      </w:r>
      <w:r>
        <w:rPr>
          <w:rStyle w:val="FootnoteReference"/>
          <w:rFonts w:cs="Arial"/>
        </w:rPr>
        <w:footnoteReference w:id="497"/>
      </w:r>
      <w:r>
        <w:t xml:space="preserve"> to issue a code of practice ("</w:t>
      </w:r>
      <w:r>
        <w:rPr>
          <w:b/>
        </w:rPr>
        <w:t>Lord Chancellor's Code</w:t>
      </w:r>
      <w:r>
        <w:t>") to provide guidance to all relevant authorities on records management practices that they should follow.</w:t>
      </w:r>
      <w:r>
        <w:rPr>
          <w:rFonts w:hint="eastAsia"/>
        </w:rPr>
        <w:t xml:space="preserve"> </w:t>
      </w:r>
      <w:r>
        <w:t xml:space="preserve"> The Lord </w:t>
      </w:r>
      <w:r>
        <w:lastRenderedPageBreak/>
        <w:t xml:space="preserve">Chancellor's Code sets out practices across the different stages of records management ranging from the keeping, management, transfer, to the disposal of records. </w:t>
      </w:r>
    </w:p>
    <w:p w:rsidR="00DF3CF7" w:rsidRDefault="00DF3CF7">
      <w:pPr>
        <w:rPr>
          <w:rFonts w:cs="Arial"/>
        </w:rPr>
      </w:pPr>
    </w:p>
    <w:p w:rsidR="00DF3CF7" w:rsidRDefault="00DF3CF7">
      <w:r>
        <w:t>8.15</w:t>
      </w:r>
      <w:r>
        <w:tab/>
      </w:r>
      <w:r>
        <w:tab/>
        <w:t xml:space="preserve">However, the Lord Chancellor's Code does not have statutory force.  Neither does the FOIA 2000 impose any direct duty on public authorities to follow or to have regard to it. The Lord Chancellor's Code only states that:- </w:t>
      </w:r>
    </w:p>
    <w:p w:rsidR="00DF3CF7" w:rsidRPr="00E647F3" w:rsidRDefault="00DF3CF7">
      <w:pPr>
        <w:rPr>
          <w:rFonts w:cs="Arial"/>
          <w:sz w:val="20"/>
          <w:szCs w:val="20"/>
        </w:rPr>
      </w:pPr>
    </w:p>
    <w:p w:rsidR="00DF3CF7" w:rsidRDefault="00DF3CF7">
      <w:pPr>
        <w:pStyle w:val="BlockText"/>
      </w:pPr>
      <w:r w:rsidRPr="008F35FB">
        <w:rPr>
          <w:i w:val="0"/>
        </w:rPr>
        <w:t>"</w:t>
      </w:r>
      <w:r>
        <w:t>Authorities should note that if they fail to comply with the Code, they may also fail to comply with legislation relating to the creation, management, disposal, use and re-use of records and information, for example the Public Records Act 1958</w:t>
      </w:r>
      <w:r>
        <w:rPr>
          <w:rFonts w:hint="eastAsia"/>
        </w:rPr>
        <w:t xml:space="preserve"> </w:t>
      </w:r>
      <w:r>
        <w:t>… and they may consequently be in breach of their statutory obligations.</w:t>
      </w:r>
      <w:r w:rsidRPr="008F35FB">
        <w:rPr>
          <w:i w:val="0"/>
        </w:rPr>
        <w:t>"</w:t>
      </w:r>
      <w:r w:rsidRPr="008F35FB">
        <w:rPr>
          <w:rFonts w:hint="eastAsia"/>
          <w:i w:val="0"/>
          <w:spacing w:val="-20"/>
        </w:rPr>
        <w:t xml:space="preserve"> </w:t>
      </w:r>
      <w:r>
        <w:rPr>
          <w:rStyle w:val="FootnoteReference"/>
          <w:rFonts w:cs="Arial"/>
          <w:i w:val="0"/>
        </w:rPr>
        <w:footnoteReference w:id="498"/>
      </w:r>
      <w:r>
        <w:t xml:space="preserve"> </w:t>
      </w:r>
    </w:p>
    <w:p w:rsidR="00DF3CF7" w:rsidRDefault="00DF3CF7">
      <w:pPr>
        <w:rPr>
          <w:rFonts w:cs="Arial"/>
        </w:rPr>
      </w:pPr>
    </w:p>
    <w:p w:rsidR="00DF3CF7" w:rsidRDefault="00DF3CF7">
      <w:r>
        <w:t>8.16</w:t>
      </w:r>
      <w:r>
        <w:tab/>
      </w:r>
      <w:r>
        <w:tab/>
        <w:t>Under the FOIA 2000, the Information Commissioner is responsible for, amongst other things, promoting observance of the provisions of the Lord Chancellor's Code by public authorities.  If it appears to him that an authority's practice does not conform to that proposed in it, he may, after consulting the Keeper where the records concerned are within the meaning of "public records" under the 1958 Act, issue a "</w:t>
      </w:r>
      <w:r>
        <w:rPr>
          <w:i/>
        </w:rPr>
        <w:t>practice recommendation"</w:t>
      </w:r>
      <w:r>
        <w:t xml:space="preserve"> specifying the provisions of the Lord Chancellor's Code that have not been met and the steps that should be taken to promote conformity.</w:t>
      </w:r>
      <w:r>
        <w:rPr>
          <w:rStyle w:val="FootnoteReference"/>
          <w:rFonts w:cs="Arial"/>
        </w:rPr>
        <w:footnoteReference w:id="499"/>
      </w:r>
      <w:r>
        <w:t xml:space="preserve"> </w:t>
      </w:r>
    </w:p>
    <w:p w:rsidR="00DF3CF7" w:rsidRDefault="00DF3CF7">
      <w:pPr>
        <w:rPr>
          <w:rFonts w:cs="Arial"/>
        </w:rPr>
      </w:pPr>
    </w:p>
    <w:p w:rsidR="00DF3CF7" w:rsidRDefault="00DF3CF7">
      <w:r>
        <w:t>8.17</w:t>
      </w:r>
      <w:r>
        <w:tab/>
      </w:r>
      <w:r>
        <w:tab/>
        <w:t>Again, the FOIA 2000 does not specify the consequences of a failure to observe a practice recommendation.  It is only stated in the Lord Chancellor's Code itself that "</w:t>
      </w:r>
      <w:r>
        <w:rPr>
          <w:i/>
        </w:rPr>
        <w:t>a failure to comply with a practice recommendation may lead to a failure to comply with the [FOIA 2000] or could lead to an adverse comment in a report to Parliament by the Information Commissioner.</w:t>
      </w:r>
      <w:r>
        <w:t>"</w:t>
      </w:r>
      <w:r>
        <w:rPr>
          <w:rStyle w:val="FootnoteReference"/>
          <w:rFonts w:cs="Arial"/>
        </w:rPr>
        <w:footnoteReference w:id="500"/>
      </w:r>
      <w:r>
        <w:t xml:space="preserve"> </w:t>
      </w:r>
    </w:p>
    <w:p w:rsidR="00DF3CF7" w:rsidRDefault="00DF3CF7">
      <w:pPr>
        <w:rPr>
          <w:rFonts w:cs="Arial"/>
        </w:rPr>
      </w:pPr>
    </w:p>
    <w:p w:rsidR="00DF3CF7" w:rsidRDefault="00DF3CF7">
      <w:r>
        <w:t>8.18</w:t>
      </w:r>
      <w:r>
        <w:tab/>
      </w:r>
      <w:r>
        <w:tab/>
        <w:t xml:space="preserve">The "report to Parliament by the Information Commissioner"  used to be made under section 49 </w:t>
      </w:r>
      <w:r>
        <w:rPr>
          <w:rFonts w:hint="eastAsia"/>
          <w:lang w:eastAsia="zh-HK"/>
        </w:rPr>
        <w:t xml:space="preserve">of </w:t>
      </w:r>
      <w:r>
        <w:rPr>
          <w:lang w:eastAsia="zh-HK"/>
        </w:rPr>
        <w:t xml:space="preserve">the </w:t>
      </w:r>
      <w:r>
        <w:t>FOIA 2000 which requires him to lay before each House of Parliament an annual general report, and empowers him, from time to time, to lay before each of them such other report as he thinks fit.</w:t>
      </w:r>
      <w:r>
        <w:rPr>
          <w:rStyle w:val="FootnoteReference"/>
        </w:rPr>
        <w:footnoteReference w:id="501"/>
      </w:r>
    </w:p>
    <w:p w:rsidR="00DF3CF7" w:rsidRDefault="00DF3CF7">
      <w:pPr>
        <w:rPr>
          <w:rFonts w:cs="Arial"/>
        </w:rPr>
      </w:pPr>
    </w:p>
    <w:p w:rsidR="00DF3CF7" w:rsidRDefault="00DF3CF7">
      <w:r>
        <w:t>8.19</w:t>
      </w:r>
      <w:r>
        <w:tab/>
      </w:r>
      <w:r>
        <w:tab/>
        <w:t>During the passage of the Freedom of Information Bill through Parliament, Lord Bassam of Brighton, Parliamentary Under-Secretary of State, Home Office commented on this "naming and shaming"  approach as follows:-</w:t>
      </w:r>
    </w:p>
    <w:p w:rsidR="00DF3CF7" w:rsidRDefault="00DF3CF7">
      <w:pPr>
        <w:rPr>
          <w:rFonts w:cs="Arial"/>
        </w:rPr>
      </w:pPr>
    </w:p>
    <w:p w:rsidR="00DF3CF7" w:rsidRDefault="00DF3CF7">
      <w:pPr>
        <w:pStyle w:val="BlockText"/>
        <w:rPr>
          <w:lang w:val="en-US"/>
        </w:rPr>
      </w:pPr>
      <w:r w:rsidRPr="008F35FB">
        <w:rPr>
          <w:i w:val="0"/>
        </w:rPr>
        <w:t>"</w:t>
      </w:r>
      <w:r>
        <w:t xml:space="preserve">[C]ompliance with the published codes of practice would not be enforceable in the courts in the same way that a statutory duty might be. … I believe it would be an exceptional authority which wilfully ignored … a [practice] recommendation, particularly given the commissioner's powers to name and shame in any report that she might make to Parliament.  An additional point is that the code of practice could be referred to in any test case which was the subject of judicial review.  </w:t>
      </w:r>
      <w:r>
        <w:rPr>
          <w:b/>
        </w:rPr>
        <w:t>The powers of naming and shaming should not be underestimated</w:t>
      </w:r>
      <w:r>
        <w:t xml:space="preserve"> in regard to public sector bodies keen to keep the confidence of the public they serve.</w:t>
      </w:r>
      <w:r w:rsidRPr="008F35FB">
        <w:rPr>
          <w:i w:val="0"/>
        </w:rPr>
        <w:t>"</w:t>
      </w:r>
      <w:r>
        <w:rPr>
          <w:rFonts w:hint="eastAsia"/>
          <w:spacing w:val="-20"/>
        </w:rPr>
        <w:t xml:space="preserve"> </w:t>
      </w:r>
      <w:r>
        <w:rPr>
          <w:rStyle w:val="FootnoteReference"/>
          <w:rFonts w:cs="Arial"/>
          <w:i w:val="0"/>
        </w:rPr>
        <w:footnoteReference w:id="502"/>
      </w:r>
      <w:r>
        <w:t xml:space="preserve"> (emphasis added)</w:t>
      </w:r>
    </w:p>
    <w:p w:rsidR="00DF3CF7" w:rsidRDefault="00DF3CF7">
      <w:pPr>
        <w:rPr>
          <w:rFonts w:cs="Arial"/>
          <w:lang w:val="en-US"/>
        </w:rPr>
      </w:pPr>
    </w:p>
    <w:p w:rsidR="00DF3CF7" w:rsidRDefault="00DF3CF7">
      <w:pPr>
        <w:rPr>
          <w:lang w:val="en-US"/>
        </w:rPr>
      </w:pPr>
      <w:r>
        <w:rPr>
          <w:lang w:val="en-US"/>
        </w:rPr>
        <w:t>8.20</w:t>
      </w:r>
      <w:r>
        <w:rPr>
          <w:lang w:val="en-US"/>
        </w:rPr>
        <w:tab/>
      </w:r>
      <w:r>
        <w:rPr>
          <w:lang w:val="en-US"/>
        </w:rPr>
        <w:tab/>
        <w:t>It is further noted that the FOIA 2000 specifically provides that the Act itself does not confer any right of action in civil proceedings in respect of any failure to comply with any duty imposed under the Act.</w:t>
      </w:r>
      <w:r>
        <w:rPr>
          <w:rStyle w:val="FootnoteReference"/>
          <w:rFonts w:cs="Arial"/>
          <w:lang w:val="en-US"/>
        </w:rPr>
        <w:footnoteReference w:id="503"/>
      </w:r>
    </w:p>
    <w:p w:rsidR="00DF3CF7" w:rsidRDefault="00DF3CF7">
      <w:pPr>
        <w:rPr>
          <w:rFonts w:cs="Arial"/>
          <w:lang w:val="en-US"/>
        </w:rPr>
      </w:pPr>
    </w:p>
    <w:p w:rsidR="00DF3CF7" w:rsidRDefault="00DF3CF7">
      <w:pPr>
        <w:pStyle w:val="Heading4"/>
      </w:pPr>
      <w:r>
        <w:t>Ireland</w:t>
      </w:r>
    </w:p>
    <w:p w:rsidR="00DF3CF7" w:rsidRDefault="00DF3CF7">
      <w:pPr>
        <w:keepNext/>
        <w:rPr>
          <w:rFonts w:cs="Arial"/>
          <w:lang w:val="en-US"/>
        </w:rPr>
      </w:pPr>
    </w:p>
    <w:p w:rsidR="00DF3CF7" w:rsidRDefault="00DF3CF7">
      <w:pPr>
        <w:rPr>
          <w:lang w:val="en-US"/>
        </w:rPr>
      </w:pPr>
      <w:r>
        <w:rPr>
          <w:lang w:val="en-US"/>
        </w:rPr>
        <w:t>8.21</w:t>
      </w:r>
      <w:r>
        <w:rPr>
          <w:lang w:val="en-US"/>
        </w:rPr>
        <w:tab/>
      </w:r>
      <w:r>
        <w:rPr>
          <w:lang w:val="en-US"/>
        </w:rPr>
        <w:tab/>
        <w:t xml:space="preserve">The 1986 Act imposes various requirements, for example:- </w:t>
      </w:r>
    </w:p>
    <w:p w:rsidR="00DF3CF7" w:rsidRDefault="00DF3CF7">
      <w:pPr>
        <w:rPr>
          <w:rFonts w:cs="Arial"/>
          <w:lang w:val="en-US"/>
        </w:rPr>
      </w:pPr>
    </w:p>
    <w:p w:rsidR="00DF3CF7" w:rsidRPr="00323CE9" w:rsidRDefault="00DF3CF7" w:rsidP="00DF3CF7">
      <w:pPr>
        <w:ind w:left="1440" w:hanging="720"/>
        <w:rPr>
          <w:rFonts w:cs="Arial"/>
          <w:lang w:val="en-US"/>
        </w:rPr>
      </w:pPr>
      <w:r>
        <w:rPr>
          <w:rFonts w:cs="Arial" w:hint="eastAsia"/>
          <w:lang w:val="en-US"/>
        </w:rPr>
        <w:t>(i)</w:t>
      </w:r>
      <w:r>
        <w:rPr>
          <w:rFonts w:cs="Arial" w:hint="eastAsia"/>
          <w:lang w:val="en-US"/>
        </w:rPr>
        <w:tab/>
      </w:r>
      <w:r w:rsidRPr="00323CE9">
        <w:rPr>
          <w:rFonts w:cs="Arial"/>
          <w:lang w:val="en-US"/>
        </w:rPr>
        <w:t>departmental records of more than 30 years old are generally required to be transferred by the Department of State in which they were made to the NAI for inspection by the public;</w:t>
      </w:r>
      <w:r>
        <w:rPr>
          <w:rStyle w:val="FootnoteReference"/>
          <w:rFonts w:cs="Arial"/>
          <w:lang w:val="en-US"/>
        </w:rPr>
        <w:footnoteReference w:id="504"/>
      </w:r>
    </w:p>
    <w:p w:rsidR="00DF3CF7" w:rsidRDefault="00DF3CF7" w:rsidP="00DF3CF7">
      <w:pPr>
        <w:pStyle w:val="ListParagraph"/>
        <w:ind w:left="1440" w:hanging="720"/>
        <w:rPr>
          <w:rFonts w:cs="Arial"/>
          <w:lang w:val="en-US"/>
        </w:rPr>
      </w:pPr>
    </w:p>
    <w:p w:rsidR="00DF3CF7" w:rsidRPr="00323CE9" w:rsidRDefault="00DF3CF7" w:rsidP="00DF3CF7">
      <w:pPr>
        <w:ind w:left="1440" w:hanging="720"/>
        <w:rPr>
          <w:rFonts w:cs="Arial"/>
          <w:lang w:val="en-US"/>
        </w:rPr>
      </w:pPr>
      <w:r>
        <w:rPr>
          <w:rFonts w:cs="Arial" w:hint="eastAsia"/>
          <w:lang w:val="en-US"/>
        </w:rPr>
        <w:t>(ii)</w:t>
      </w:r>
      <w:r>
        <w:rPr>
          <w:rFonts w:cs="Arial"/>
          <w:lang w:val="en-US"/>
        </w:rPr>
        <w:tab/>
      </w:r>
      <w:r w:rsidRPr="00323CE9">
        <w:rPr>
          <w:rFonts w:cs="Arial"/>
          <w:lang w:val="en-US"/>
        </w:rPr>
        <w:t>departmental records, unless transferred to the NAI or otherwise disposed of in accordance with the 1986 Act, shall be retained and preserved in the Department of State in which they were made or held</w:t>
      </w:r>
      <w:r>
        <w:rPr>
          <w:rFonts w:cs="Arial"/>
          <w:lang w:val="en-US"/>
        </w:rPr>
        <w:t>.</w:t>
      </w:r>
      <w:r>
        <w:rPr>
          <w:rStyle w:val="FootnoteReference"/>
          <w:rFonts w:cs="Arial"/>
          <w:lang w:val="en-US"/>
        </w:rPr>
        <w:footnoteReference w:id="505"/>
      </w:r>
    </w:p>
    <w:p w:rsidR="00DF3CF7" w:rsidRDefault="00DF3CF7">
      <w:pPr>
        <w:rPr>
          <w:rFonts w:cs="Arial"/>
          <w:lang w:val="en-US"/>
        </w:rPr>
      </w:pPr>
    </w:p>
    <w:p w:rsidR="00DF3CF7" w:rsidRDefault="00DF3CF7">
      <w:pPr>
        <w:rPr>
          <w:lang w:val="en-US"/>
        </w:rPr>
      </w:pPr>
      <w:r>
        <w:rPr>
          <w:lang w:val="en-US"/>
        </w:rPr>
        <w:t>8.22</w:t>
      </w:r>
      <w:r>
        <w:rPr>
          <w:lang w:val="en-US"/>
        </w:rPr>
        <w:tab/>
      </w:r>
      <w:r>
        <w:rPr>
          <w:lang w:val="en-US"/>
        </w:rPr>
        <w:tab/>
        <w:t>No sanction is imposed under the 1986 Act for non-compliance with the above duties.  Nor does the 1986 Act spell out the consequences for non-compliance with regulations that the Taoiseach is empowered to make after consultation with the Director of the NAI in relation to, for example, the transfer and disposal of Departmental records.</w:t>
      </w:r>
      <w:r>
        <w:rPr>
          <w:rStyle w:val="FootnoteReference"/>
          <w:rFonts w:cs="Arial"/>
          <w:lang w:val="en-US"/>
        </w:rPr>
        <w:footnoteReference w:id="506"/>
      </w:r>
      <w:r>
        <w:rPr>
          <w:lang w:val="en-US"/>
        </w:rPr>
        <w:t xml:space="preserve">  The Director of NAI himself does not enjoy express power under the 1986 Act to issue mandatory guidelines or requirements. </w:t>
      </w:r>
    </w:p>
    <w:p w:rsidR="00DF3CF7" w:rsidRDefault="00DF3CF7">
      <w:pPr>
        <w:rPr>
          <w:rFonts w:cs="Arial"/>
          <w:lang w:val="en-US"/>
        </w:rPr>
      </w:pPr>
    </w:p>
    <w:p w:rsidR="00DF3CF7" w:rsidRDefault="00DF3CF7">
      <w:pPr>
        <w:rPr>
          <w:lang w:val="en-US"/>
        </w:rPr>
      </w:pPr>
      <w:r>
        <w:rPr>
          <w:lang w:val="en-US"/>
        </w:rPr>
        <w:t>8.23</w:t>
      </w:r>
      <w:r>
        <w:rPr>
          <w:lang w:val="en-US"/>
        </w:rPr>
        <w:tab/>
      </w:r>
      <w:r>
        <w:rPr>
          <w:lang w:val="en-US"/>
        </w:rPr>
        <w:tab/>
        <w:t xml:space="preserve">The 1986 Act, however, provides that it is an offence for any person to remove archives from the NAI otherwise than provided by law, or </w:t>
      </w:r>
      <w:r>
        <w:rPr>
          <w:lang w:val="en-US"/>
        </w:rPr>
        <w:lastRenderedPageBreak/>
        <w:t>conceal or damage archives, or without the consent of the Director of the NAI remove or destroy archives.</w:t>
      </w:r>
      <w:r>
        <w:rPr>
          <w:rStyle w:val="FootnoteReference"/>
          <w:rFonts w:cs="Arial"/>
          <w:lang w:val="en-US"/>
        </w:rPr>
        <w:footnoteReference w:id="507"/>
      </w:r>
      <w:r>
        <w:rPr>
          <w:lang w:val="en-US"/>
        </w:rPr>
        <w:t xml:space="preserve">  </w:t>
      </w:r>
    </w:p>
    <w:p w:rsidR="00DF3CF7" w:rsidRDefault="00DF3CF7">
      <w:pPr>
        <w:rPr>
          <w:rFonts w:cs="Arial"/>
          <w:lang w:val="en-US"/>
        </w:rPr>
      </w:pPr>
    </w:p>
    <w:p w:rsidR="00DF3CF7" w:rsidRDefault="00DF3CF7">
      <w:pPr>
        <w:rPr>
          <w:lang w:val="en-US"/>
        </w:rPr>
      </w:pPr>
      <w:r>
        <w:rPr>
          <w:lang w:val="en-US"/>
        </w:rPr>
        <w:t>8.24</w:t>
      </w:r>
      <w:r>
        <w:rPr>
          <w:lang w:val="en-US"/>
        </w:rPr>
        <w:tab/>
      </w:r>
      <w:r>
        <w:rPr>
          <w:lang w:val="en-US"/>
        </w:rPr>
        <w:tab/>
        <w:t>The Director of the NAI is also required to submit annual reports to the Taoiseach on the work of the NAI, and copies of the reports will be laid by the Taoiseach before each House of the Oireachtas.</w:t>
      </w:r>
      <w:r>
        <w:rPr>
          <w:rStyle w:val="FootnoteReference"/>
          <w:rFonts w:cs="Arial"/>
          <w:lang w:val="en-US"/>
        </w:rPr>
        <w:footnoteReference w:id="508"/>
      </w:r>
    </w:p>
    <w:p w:rsidR="00DF3CF7" w:rsidRDefault="00DF3CF7">
      <w:pPr>
        <w:rPr>
          <w:rFonts w:cs="Arial"/>
          <w:lang w:val="en-US"/>
        </w:rPr>
      </w:pPr>
    </w:p>
    <w:p w:rsidR="00DF3CF7" w:rsidRDefault="00DF3CF7">
      <w:pPr>
        <w:pStyle w:val="Heading4"/>
      </w:pPr>
      <w:r>
        <w:t>New Zealand</w:t>
      </w:r>
    </w:p>
    <w:p w:rsidR="00DF3CF7" w:rsidRDefault="00DF3CF7">
      <w:pPr>
        <w:keepNext/>
        <w:rPr>
          <w:rFonts w:cs="Arial"/>
          <w:lang w:val="en-US"/>
        </w:rPr>
      </w:pPr>
    </w:p>
    <w:p w:rsidR="00DF3CF7" w:rsidRDefault="00DF3CF7">
      <w:r>
        <w:t>8.25</w:t>
      </w:r>
      <w:r>
        <w:tab/>
      </w:r>
      <w:r>
        <w:tab/>
        <w:t xml:space="preserve"> The 2005 Act imposes various different duties and requirements, including the following important ones:-</w:t>
      </w:r>
    </w:p>
    <w:p w:rsidR="00DF3CF7" w:rsidRPr="00A4731E" w:rsidRDefault="00DF3CF7">
      <w:pPr>
        <w:rPr>
          <w:rFonts w:cs="Arial"/>
        </w:rPr>
      </w:pPr>
    </w:p>
    <w:p w:rsidR="00DF3CF7" w:rsidRPr="00323CE9" w:rsidRDefault="00DF3CF7" w:rsidP="00DF3CF7">
      <w:pPr>
        <w:ind w:left="1440" w:hanging="720"/>
        <w:rPr>
          <w:rFonts w:cs="Arial"/>
        </w:rPr>
      </w:pPr>
      <w:r>
        <w:rPr>
          <w:rFonts w:cs="Arial" w:hint="eastAsia"/>
        </w:rPr>
        <w:t>(i)</w:t>
      </w:r>
      <w:r>
        <w:rPr>
          <w:rFonts w:cs="Arial"/>
        </w:rPr>
        <w:tab/>
      </w:r>
      <w:r w:rsidRPr="00323CE9">
        <w:rPr>
          <w:rFonts w:cs="Arial"/>
        </w:rPr>
        <w:t>every public office and local authority must create and maintain full and accurate records of its affairs in accordance with normal, prudent business practice;</w:t>
      </w:r>
      <w:r>
        <w:rPr>
          <w:rStyle w:val="FootnoteReference"/>
          <w:rFonts w:cs="Arial"/>
        </w:rPr>
        <w:footnoteReference w:id="509"/>
      </w:r>
    </w:p>
    <w:p w:rsidR="00DF3CF7" w:rsidRDefault="00DF3CF7">
      <w:pPr>
        <w:ind w:left="1440" w:hanging="720"/>
        <w:rPr>
          <w:rFonts w:cs="Arial"/>
        </w:rPr>
      </w:pPr>
    </w:p>
    <w:p w:rsidR="00DF3CF7" w:rsidRPr="00323CE9" w:rsidRDefault="00DF3CF7" w:rsidP="00DF3CF7">
      <w:pPr>
        <w:ind w:left="1440" w:hanging="720"/>
        <w:rPr>
          <w:rFonts w:cs="Arial"/>
        </w:rPr>
      </w:pPr>
      <w:r>
        <w:rPr>
          <w:rFonts w:cs="Arial" w:hint="eastAsia"/>
        </w:rPr>
        <w:t>(ii)</w:t>
      </w:r>
      <w:r>
        <w:rPr>
          <w:rFonts w:cs="Arial"/>
        </w:rPr>
        <w:tab/>
      </w:r>
      <w:r w:rsidRPr="00323CE9">
        <w:rPr>
          <w:rFonts w:cs="Arial"/>
        </w:rPr>
        <w:t>no person may dispose of, or authorise the disposal of, public records except with the authority of the Chief Archivist given in accordance with the 2005 Act ;</w:t>
      </w:r>
      <w:r>
        <w:rPr>
          <w:rStyle w:val="FootnoteReference"/>
          <w:rFonts w:cs="Arial"/>
        </w:rPr>
        <w:footnoteReference w:id="510"/>
      </w:r>
      <w:r w:rsidRPr="00323CE9">
        <w:rPr>
          <w:rFonts w:cs="Arial"/>
        </w:rPr>
        <w:t xml:space="preserve"> and  </w:t>
      </w:r>
    </w:p>
    <w:p w:rsidR="00DF3CF7" w:rsidRDefault="00DF3CF7">
      <w:pPr>
        <w:ind w:left="1440" w:hanging="720"/>
        <w:rPr>
          <w:rFonts w:cs="Arial"/>
        </w:rPr>
      </w:pPr>
    </w:p>
    <w:p w:rsidR="00DF3CF7" w:rsidRPr="00323CE9" w:rsidRDefault="00DF3CF7" w:rsidP="00DF3CF7">
      <w:pPr>
        <w:ind w:left="1440" w:hanging="720"/>
        <w:rPr>
          <w:rFonts w:cs="Arial"/>
        </w:rPr>
      </w:pPr>
      <w:r>
        <w:rPr>
          <w:rFonts w:cs="Arial" w:hint="eastAsia"/>
        </w:rPr>
        <w:t>(iii)</w:t>
      </w:r>
      <w:r>
        <w:rPr>
          <w:rFonts w:cs="Arial"/>
        </w:rPr>
        <w:tab/>
      </w:r>
      <w:r w:rsidRPr="00323CE9">
        <w:rPr>
          <w:rFonts w:cs="Arial"/>
        </w:rPr>
        <w:t>every public office must transfer public records that have been in existence for 25 years to the control of the Chief Archivist and the possession of the ANZ or other approved repository.</w:t>
      </w:r>
      <w:r>
        <w:rPr>
          <w:rStyle w:val="FootnoteReference"/>
          <w:rFonts w:cs="Arial"/>
        </w:rPr>
        <w:footnoteReference w:id="511"/>
      </w:r>
    </w:p>
    <w:p w:rsidR="00DF3CF7" w:rsidRDefault="00DF3CF7">
      <w:pPr>
        <w:rPr>
          <w:rFonts w:cs="Arial"/>
        </w:rPr>
      </w:pPr>
    </w:p>
    <w:p w:rsidR="00DF3CF7" w:rsidRDefault="00DF3CF7">
      <w:r>
        <w:rPr>
          <w:lang w:eastAsia="zh-HK"/>
        </w:rPr>
        <w:t>8.26</w:t>
      </w:r>
      <w:r>
        <w:tab/>
      </w:r>
      <w:r>
        <w:tab/>
        <w:t>The 2005 Act provides that it is an offence for anyone, whether wilfully or negligently, to damage, dispose of or destroy a public record otherwise than in accordance with the Act.  But unlike all other jurisdictions studied, the 2005 Act also makes it an offence for anyone who wilfully or negligently contravenes or fails to comply with any provision of the Act or any regulations made thereunder, hence, including the duties and requirements outlined above.</w:t>
      </w:r>
      <w:r>
        <w:rPr>
          <w:rStyle w:val="FootnoteReference"/>
          <w:rFonts w:cs="Arial"/>
        </w:rPr>
        <w:footnoteReference w:id="512"/>
      </w:r>
      <w:r>
        <w:t xml:space="preserve"> </w:t>
      </w:r>
    </w:p>
    <w:p w:rsidR="00DF3CF7" w:rsidRDefault="00DF3CF7">
      <w:pPr>
        <w:rPr>
          <w:rFonts w:cs="Arial"/>
        </w:rPr>
      </w:pPr>
    </w:p>
    <w:p w:rsidR="00DF3CF7" w:rsidRDefault="00DF3CF7">
      <w:r>
        <w:t>8.27</w:t>
      </w:r>
      <w:r>
        <w:tab/>
      </w:r>
      <w:r>
        <w:tab/>
        <w:t>Separately, the 2005 Act confers power upon the Chief Archivist to issue standards, including mandatory standards, in relation to the creation, maintenance, management, appraisal of and access to public records or local authority records for the compliance by public offices and local authorities.</w:t>
      </w:r>
      <w:r>
        <w:rPr>
          <w:rStyle w:val="FootnoteReference"/>
          <w:rFonts w:cs="Arial"/>
        </w:rPr>
        <w:footnoteReference w:id="513"/>
      </w:r>
      <w:r>
        <w:t xml:space="preserve"> </w:t>
      </w:r>
      <w:r>
        <w:rPr>
          <w:rFonts w:hint="eastAsia"/>
        </w:rPr>
        <w:t xml:space="preserve"> </w:t>
      </w:r>
      <w:r>
        <w:lastRenderedPageBreak/>
        <w:t>Before issuing a mandatory standard, the Chief Archivist is obliged to consult every public office to which he considers the proposed standard will apply.</w:t>
      </w:r>
      <w:r>
        <w:rPr>
          <w:rStyle w:val="FootnoteReference"/>
          <w:rFonts w:cs="Arial"/>
        </w:rPr>
        <w:footnoteReference w:id="514"/>
      </w:r>
      <w:r>
        <w:t xml:space="preserve"> </w:t>
      </w:r>
      <w:r>
        <w:rPr>
          <w:rFonts w:hint="eastAsia"/>
        </w:rPr>
        <w:t xml:space="preserve"> </w:t>
      </w:r>
      <w:r>
        <w:t xml:space="preserve">The legal consequence, if any, for non-compliance with the standards, including mandatory ones, is however unclear. </w:t>
      </w:r>
      <w:r>
        <w:rPr>
          <w:rFonts w:hint="eastAsia"/>
        </w:rPr>
        <w:t xml:space="preserve"> </w:t>
      </w:r>
      <w:r>
        <w:t xml:space="preserve">It is doubtful if such non-compliance amounts to non-compliance of the 2005 Act itself or regulations made under it, thereby attracting criminal sanctions outlined above. </w:t>
      </w:r>
    </w:p>
    <w:p w:rsidR="00DF3CF7" w:rsidRDefault="00DF3CF7">
      <w:pPr>
        <w:rPr>
          <w:rFonts w:cs="Arial"/>
        </w:rPr>
      </w:pPr>
    </w:p>
    <w:p w:rsidR="00DF3CF7" w:rsidRDefault="00DF3CF7">
      <w:r>
        <w:t>8.28</w:t>
      </w:r>
      <w:r>
        <w:tab/>
      </w:r>
      <w:r>
        <w:tab/>
        <w:t>Annual reports on the state of recordkeeping within public offices are required to be submitted by the Chief Archivist to the responsible Minister, who in turn is required to submit them to the House of Representatives.</w:t>
      </w:r>
      <w:r>
        <w:rPr>
          <w:rStyle w:val="FootnoteReference"/>
          <w:rFonts w:cs="Arial"/>
        </w:rPr>
        <w:footnoteReference w:id="515"/>
      </w:r>
    </w:p>
    <w:p w:rsidR="00DF3CF7" w:rsidRDefault="00DF3CF7">
      <w:pPr>
        <w:rPr>
          <w:rFonts w:cs="Arial"/>
        </w:rPr>
      </w:pPr>
    </w:p>
    <w:p w:rsidR="00DF3CF7" w:rsidRDefault="00DF3CF7">
      <w:pPr>
        <w:pStyle w:val="Heading4"/>
        <w:rPr>
          <w:lang w:val="en-US"/>
        </w:rPr>
      </w:pPr>
      <w:r>
        <w:rPr>
          <w:lang w:val="en-US"/>
        </w:rPr>
        <w:t>Singapore</w:t>
      </w:r>
    </w:p>
    <w:p w:rsidR="00DF3CF7" w:rsidRDefault="00DF3CF7">
      <w:pPr>
        <w:pStyle w:val="Heading2"/>
        <w:rPr>
          <w:rFonts w:cs="Arial"/>
          <w:b w:val="0"/>
          <w:sz w:val="24"/>
          <w:lang w:val="en-US"/>
        </w:rPr>
      </w:pPr>
    </w:p>
    <w:p w:rsidR="00DF3CF7" w:rsidRDefault="00DF3CF7">
      <w:pPr>
        <w:rPr>
          <w:lang w:val="en-US"/>
        </w:rPr>
      </w:pPr>
      <w:r>
        <w:rPr>
          <w:lang w:val="en-US"/>
        </w:rPr>
        <w:t>8.29</w:t>
      </w:r>
      <w:r>
        <w:rPr>
          <w:lang w:val="en-US"/>
        </w:rPr>
        <w:tab/>
      </w:r>
      <w:r>
        <w:rPr>
          <w:b/>
          <w:lang w:val="en-US"/>
        </w:rPr>
        <w:tab/>
      </w:r>
      <w:r>
        <w:rPr>
          <w:lang w:val="en-US"/>
        </w:rPr>
        <w:t>Some important duties and requirements under the NLBA are:-</w:t>
      </w:r>
    </w:p>
    <w:p w:rsidR="00DF3CF7" w:rsidRDefault="00DF3CF7">
      <w:pPr>
        <w:rPr>
          <w:rFonts w:cs="Arial"/>
          <w:lang w:val="en-US"/>
        </w:rPr>
      </w:pPr>
    </w:p>
    <w:p w:rsidR="00DF3CF7" w:rsidRPr="00323CE9" w:rsidRDefault="00DF3CF7" w:rsidP="00DF3CF7">
      <w:pPr>
        <w:ind w:left="1440" w:hanging="720"/>
        <w:rPr>
          <w:rFonts w:cs="Arial"/>
          <w:lang w:val="en-US"/>
        </w:rPr>
      </w:pPr>
      <w:r>
        <w:rPr>
          <w:rFonts w:cs="Arial" w:hint="eastAsia"/>
          <w:lang w:val="en-US"/>
        </w:rPr>
        <w:t>(i)</w:t>
      </w:r>
      <w:r>
        <w:rPr>
          <w:rFonts w:cs="Arial"/>
          <w:lang w:val="en-US"/>
        </w:rPr>
        <w:tab/>
      </w:r>
      <w:r w:rsidRPr="00323CE9">
        <w:rPr>
          <w:rFonts w:cs="Arial"/>
          <w:lang w:val="en-US"/>
        </w:rPr>
        <w:t>any public records which in NLB</w:t>
      </w:r>
      <w:r>
        <w:rPr>
          <w:rFonts w:cs="Arial"/>
          <w:lang w:val="en-US"/>
        </w:rPr>
        <w:t>'</w:t>
      </w:r>
      <w:r w:rsidRPr="00323CE9">
        <w:rPr>
          <w:rFonts w:cs="Arial"/>
          <w:lang w:val="en-US"/>
        </w:rPr>
        <w:t>s opinion are of national or historical significance are required to be transferred to the care and control of the NAS in accordance with the schedules or other agreements agreed on between the NLB and the public office responsible for the records;</w:t>
      </w:r>
      <w:r>
        <w:rPr>
          <w:rStyle w:val="FootnoteReference"/>
          <w:rFonts w:cs="Arial"/>
          <w:lang w:val="en-US"/>
        </w:rPr>
        <w:footnoteReference w:id="516"/>
      </w:r>
      <w:r w:rsidRPr="00323CE9">
        <w:rPr>
          <w:rFonts w:cs="Arial"/>
          <w:lang w:val="en-US"/>
        </w:rPr>
        <w:t xml:space="preserve"> and</w:t>
      </w:r>
    </w:p>
    <w:p w:rsidR="00DF3CF7" w:rsidRDefault="00DF3CF7">
      <w:pPr>
        <w:pStyle w:val="ListParagraph"/>
        <w:ind w:left="1440" w:hanging="720"/>
        <w:rPr>
          <w:rFonts w:cs="Arial"/>
          <w:lang w:val="en-US"/>
        </w:rPr>
      </w:pPr>
    </w:p>
    <w:p w:rsidR="00DF3CF7" w:rsidRPr="00323CE9" w:rsidRDefault="00DF3CF7" w:rsidP="00DF3CF7">
      <w:pPr>
        <w:ind w:left="1440" w:hanging="720"/>
        <w:rPr>
          <w:rFonts w:cs="Arial"/>
          <w:lang w:val="en-US"/>
        </w:rPr>
      </w:pPr>
      <w:r>
        <w:rPr>
          <w:rFonts w:cs="Arial" w:hint="eastAsia"/>
          <w:lang w:val="en-US"/>
        </w:rPr>
        <w:t>(ii)</w:t>
      </w:r>
      <w:r>
        <w:rPr>
          <w:rFonts w:cs="Arial"/>
          <w:lang w:val="en-US"/>
        </w:rPr>
        <w:tab/>
      </w:r>
      <w:r w:rsidRPr="00323CE9">
        <w:rPr>
          <w:rFonts w:cs="Arial"/>
          <w:lang w:val="en-US"/>
        </w:rPr>
        <w:t>no person shall, without NLB</w:t>
      </w:r>
      <w:r>
        <w:rPr>
          <w:rFonts w:cs="Arial"/>
          <w:lang w:val="en-US"/>
        </w:rPr>
        <w:t>'</w:t>
      </w:r>
      <w:r w:rsidRPr="00323CE9">
        <w:rPr>
          <w:rFonts w:cs="Arial"/>
          <w:lang w:val="en-US"/>
        </w:rPr>
        <w:t>s authorization destroy or otherwise dispose of, or authorize the destruction or disposal of, any public records in his possession or under his control</w:t>
      </w:r>
      <w:r>
        <w:rPr>
          <w:rFonts w:cs="Arial" w:hint="eastAsia"/>
          <w:lang w:val="en-US"/>
        </w:rPr>
        <w:t>.</w:t>
      </w:r>
      <w:r>
        <w:rPr>
          <w:rStyle w:val="FootnoteReference"/>
          <w:rFonts w:cs="Arial"/>
          <w:lang w:val="en-US"/>
        </w:rPr>
        <w:footnoteReference w:id="517"/>
      </w:r>
      <w:r w:rsidRPr="00323CE9">
        <w:rPr>
          <w:rFonts w:cs="Arial"/>
          <w:lang w:val="en-US"/>
        </w:rPr>
        <w:t xml:space="preserve"> </w:t>
      </w:r>
    </w:p>
    <w:p w:rsidR="00DF3CF7" w:rsidRDefault="00DF3CF7">
      <w:pPr>
        <w:rPr>
          <w:rFonts w:cs="Arial"/>
          <w:lang w:val="en-US"/>
        </w:rPr>
      </w:pPr>
    </w:p>
    <w:p w:rsidR="00DF3CF7" w:rsidRDefault="00DF3CF7">
      <w:pPr>
        <w:rPr>
          <w:lang w:val="en-US"/>
        </w:rPr>
      </w:pPr>
      <w:r>
        <w:rPr>
          <w:lang w:val="en-US"/>
        </w:rPr>
        <w:t>8.30</w:t>
      </w:r>
      <w:r>
        <w:rPr>
          <w:lang w:val="en-US"/>
        </w:rPr>
        <w:tab/>
      </w:r>
      <w:r>
        <w:rPr>
          <w:lang w:val="en-US"/>
        </w:rPr>
        <w:tab/>
        <w:t>The NLBA is silent on the consequences for non-compliance with the statutory duties outlined above.  It does, however, make it clear that it is an offence for any person to (i) take or send out of Singapore any public records without the written permission of the NLB; (ii) write on, mark, inscribe or otherwise deface any public records; or (iii) mutilate, excise or otherwise damage them.</w:t>
      </w:r>
      <w:r>
        <w:rPr>
          <w:rStyle w:val="FootnoteReference"/>
          <w:rFonts w:cs="Arial"/>
          <w:lang w:val="en-US"/>
        </w:rPr>
        <w:footnoteReference w:id="518"/>
      </w:r>
    </w:p>
    <w:p w:rsidR="00DF3CF7" w:rsidRDefault="00DF3CF7">
      <w:pPr>
        <w:rPr>
          <w:rFonts w:cs="Arial"/>
          <w:lang w:val="en-US"/>
        </w:rPr>
      </w:pPr>
    </w:p>
    <w:p w:rsidR="00DF3CF7" w:rsidRDefault="00DF3CF7">
      <w:pPr>
        <w:rPr>
          <w:lang w:val="en-US"/>
        </w:rPr>
      </w:pPr>
      <w:r>
        <w:rPr>
          <w:lang w:val="en-US"/>
        </w:rPr>
        <w:t>8.31</w:t>
      </w:r>
      <w:r>
        <w:rPr>
          <w:lang w:val="en-US"/>
        </w:rPr>
        <w:tab/>
      </w:r>
      <w:r>
        <w:rPr>
          <w:lang w:val="en-US"/>
        </w:rPr>
        <w:tab/>
        <w:t>On the other hand, in exercising its power to make regulations, the NLB may prescribe in the regulation that any act or omission in contravention of the provisions thereof is an offence and impose penalties in the form of fines not exceeding SG$5,000.</w:t>
      </w:r>
      <w:r>
        <w:rPr>
          <w:rStyle w:val="FootnoteReference"/>
          <w:rFonts w:cs="Arial"/>
          <w:lang w:val="en-US"/>
        </w:rPr>
        <w:footnoteReference w:id="519"/>
      </w:r>
    </w:p>
    <w:p w:rsidR="00DF3CF7" w:rsidRDefault="00DF3CF7">
      <w:pPr>
        <w:rPr>
          <w:rFonts w:cs="Arial"/>
          <w:lang w:val="en-US"/>
        </w:rPr>
      </w:pPr>
    </w:p>
    <w:p w:rsidR="00DF3CF7" w:rsidRDefault="00DF3CF7" w:rsidP="0080334E">
      <w:pPr>
        <w:widowControl/>
      </w:pPr>
      <w:r>
        <w:rPr>
          <w:lang w:val="en-US" w:eastAsia="zh-HK"/>
        </w:rPr>
        <w:lastRenderedPageBreak/>
        <w:t>8.32</w:t>
      </w:r>
      <w:r>
        <w:tab/>
      </w:r>
      <w:r>
        <w:tab/>
        <w:t>Finally, the NLB is also required to transmit annual reports of its activities to the Minister, who shall cause a copy to be presented to the Parliament as soon as practicable.</w:t>
      </w:r>
      <w:r>
        <w:rPr>
          <w:rStyle w:val="FootnoteReference"/>
          <w:rFonts w:cs="Arial"/>
        </w:rPr>
        <w:footnoteReference w:id="520"/>
      </w:r>
    </w:p>
    <w:p w:rsidR="00DF3CF7" w:rsidRDefault="00DF3CF7" w:rsidP="00DF3CF7">
      <w:pPr>
        <w:rPr>
          <w:lang w:val="en-US"/>
        </w:rPr>
      </w:pPr>
    </w:p>
    <w:p w:rsidR="00DF3CF7" w:rsidRDefault="00DF3CF7" w:rsidP="00DF3CF7">
      <w:pPr>
        <w:rPr>
          <w:i/>
          <w:lang w:val="en-US"/>
        </w:rPr>
      </w:pPr>
      <w:r>
        <w:rPr>
          <w:i/>
          <w:lang w:val="en-US"/>
        </w:rPr>
        <w:t>Summary</w:t>
      </w:r>
    </w:p>
    <w:p w:rsidR="00DF3CF7" w:rsidRDefault="00DF3CF7" w:rsidP="00DF3CF7">
      <w:pPr>
        <w:rPr>
          <w:i/>
          <w:lang w:val="en-US"/>
        </w:rPr>
      </w:pPr>
    </w:p>
    <w:p w:rsidR="00DF3CF7" w:rsidRDefault="00DF3CF7" w:rsidP="00DF3CF7">
      <w:pPr>
        <w:rPr>
          <w:lang w:val="en-US"/>
        </w:rPr>
      </w:pPr>
      <w:r>
        <w:rPr>
          <w:lang w:val="en-US"/>
        </w:rPr>
        <w:t>8.33</w:t>
      </w:r>
      <w:r>
        <w:rPr>
          <w:lang w:val="en-US"/>
        </w:rPr>
        <w:tab/>
      </w:r>
      <w:r>
        <w:rPr>
          <w:lang w:val="en-US"/>
        </w:rPr>
        <w:tab/>
        <w:t>As discussed above, the archives law in Australia, Ireland and Singapore is silent on the consequences of non-compliance with the duties and requirements therein, although certain serious conducts (</w:t>
      </w:r>
      <w:r w:rsidRPr="00CF591E">
        <w:rPr>
          <w:lang w:val="en-US"/>
        </w:rPr>
        <w:t>analogous to</w:t>
      </w:r>
      <w:r>
        <w:rPr>
          <w:lang w:val="en-US"/>
        </w:rPr>
        <w:t xml:space="preserve">, </w:t>
      </w:r>
      <w:r w:rsidRPr="00445491">
        <w:rPr>
          <w:i/>
          <w:lang w:val="en-US"/>
        </w:rPr>
        <w:t>inter alia</w:t>
      </w:r>
      <w:r>
        <w:rPr>
          <w:lang w:val="en-US"/>
        </w:rPr>
        <w:t xml:space="preserve">, theft, criminal damage, etc) are criminalised.  On the other hand, no offence provision is found in the 1958 Act in England, which largely adopts a "naming and shaming approach".  In contrast, the 2005 Act </w:t>
      </w:r>
      <w:r w:rsidRPr="00546C5E">
        <w:rPr>
          <w:lang w:val="en-US"/>
        </w:rPr>
        <w:t xml:space="preserve">in New Zealand </w:t>
      </w:r>
      <w:r>
        <w:rPr>
          <w:lang w:val="en-US"/>
        </w:rPr>
        <w:t xml:space="preserve">expressly provides that wilful or negligent contravention or non-compliance with any provision therein is a criminal offence.  It appears that the approach adopted by New Zealand stipulating that non-compliance with any provisions of the 2005 Act will be a criminal offence is not a common feature found in other jurisdictions studied by the Sub-committee.  In addition, parliamentary scrutiny is seen in all five jurisdictions through annual reporting. </w:t>
      </w:r>
    </w:p>
    <w:p w:rsidR="00DF3CF7" w:rsidRPr="00445491" w:rsidRDefault="00DF3CF7" w:rsidP="00DF3CF7">
      <w:pPr>
        <w:rPr>
          <w:b/>
          <w:lang w:val="en-US"/>
        </w:rPr>
      </w:pPr>
    </w:p>
    <w:p w:rsidR="00DF3CF7" w:rsidRDefault="00DF3CF7">
      <w:pPr>
        <w:rPr>
          <w:rFonts w:cs="Arial"/>
          <w:lang w:val="en-US"/>
        </w:rPr>
      </w:pPr>
    </w:p>
    <w:p w:rsidR="00DF3CF7" w:rsidRDefault="00DF3CF7">
      <w:pPr>
        <w:pStyle w:val="Heading2"/>
        <w:ind w:left="720" w:hanging="720"/>
        <w:rPr>
          <w:u w:val="single"/>
          <w:lang w:eastAsia="zh-HK"/>
        </w:rPr>
      </w:pPr>
      <w:r>
        <w:t xml:space="preserve">(II) </w:t>
      </w:r>
      <w:r>
        <w:tab/>
        <w:t>Power to inspect records and audit records management practices</w:t>
      </w:r>
    </w:p>
    <w:p w:rsidR="00DF3CF7" w:rsidRDefault="00DF3CF7">
      <w:pPr>
        <w:keepNext/>
        <w:rPr>
          <w:rFonts w:cs="Arial"/>
          <w:b/>
          <w:u w:val="single"/>
          <w:lang w:eastAsia="zh-HK"/>
        </w:rPr>
      </w:pPr>
    </w:p>
    <w:p w:rsidR="00DF3CF7" w:rsidRDefault="00DF3CF7">
      <w:r>
        <w:t>8.34</w:t>
      </w:r>
      <w:r>
        <w:tab/>
      </w:r>
      <w:r>
        <w:tab/>
        <w:t xml:space="preserve">Another comment in relation to ensuring compliance is the GRS' lack of legal authority to inspect government records held by B/Ds and audit their records management practices. </w:t>
      </w:r>
      <w:r>
        <w:rPr>
          <w:rFonts w:hint="eastAsia"/>
        </w:rPr>
        <w:t xml:space="preserve"> </w:t>
      </w:r>
      <w:r>
        <w:t>The Ombudsman's Report observed that the GRS monitors B/D's compliance with its records management requirements mainly through (1) B/D's self-assessment surveys, and (2) GRS' records management studies.</w:t>
      </w:r>
      <w:r>
        <w:rPr>
          <w:rStyle w:val="FootnoteReference"/>
          <w:rFonts w:cs="Arial"/>
        </w:rPr>
        <w:footnoteReference w:id="521"/>
      </w:r>
    </w:p>
    <w:p w:rsidR="00DF3CF7" w:rsidRDefault="00DF3CF7">
      <w:pPr>
        <w:rPr>
          <w:rFonts w:cs="Arial"/>
          <w:lang w:val="en-US"/>
        </w:rPr>
      </w:pPr>
    </w:p>
    <w:p w:rsidR="00DF3CF7" w:rsidRDefault="00DF3CF7">
      <w:pPr>
        <w:rPr>
          <w:lang w:val="en-US"/>
        </w:rPr>
      </w:pPr>
      <w:r>
        <w:rPr>
          <w:lang w:val="en-US"/>
        </w:rPr>
        <w:t>8.35</w:t>
      </w:r>
      <w:r>
        <w:rPr>
          <w:lang w:val="en-US"/>
        </w:rPr>
        <w:tab/>
      </w:r>
      <w:r>
        <w:rPr>
          <w:lang w:val="en-US"/>
        </w:rPr>
        <w:tab/>
        <w:t>Both, however, were considered unsatisfactory for gauging B/D's compliance.  In relation to the former, "the questions and replies in such surveys are broad-brushed and may not accurately reveal the real practices of B/Ds and their staff."</w:t>
      </w:r>
      <w:r>
        <w:rPr>
          <w:rStyle w:val="FootnoteReference"/>
          <w:rFonts w:cs="Arial"/>
          <w:lang w:val="en-US"/>
        </w:rPr>
        <w:footnoteReference w:id="522"/>
      </w:r>
      <w:r>
        <w:rPr>
          <w:lang w:val="en-US"/>
        </w:rPr>
        <w:t xml:space="preserve">  Whilst the records management studies may be better, "the studies with comprehensive scope have so far been carried out on only some B/Ds."</w:t>
      </w:r>
      <w:r>
        <w:rPr>
          <w:rStyle w:val="FootnoteReference"/>
          <w:rFonts w:cs="Arial"/>
          <w:lang w:val="en-US"/>
        </w:rPr>
        <w:footnoteReference w:id="523"/>
      </w:r>
      <w:r>
        <w:rPr>
          <w:lang w:val="en-US"/>
        </w:rPr>
        <w:t xml:space="preserve"> </w:t>
      </w:r>
      <w:r>
        <w:rPr>
          <w:rFonts w:hint="eastAsia"/>
          <w:lang w:val="en-US"/>
        </w:rPr>
        <w:t xml:space="preserve"> </w:t>
      </w:r>
      <w:r>
        <w:rPr>
          <w:lang w:val="en-US"/>
        </w:rPr>
        <w:t>The Ombudsman expressed the frustration that "there is a complete lack of independent auditing of B/Ds' records management practices like that in other jurisdictions."</w:t>
      </w:r>
      <w:r>
        <w:rPr>
          <w:rStyle w:val="FootnoteReference"/>
          <w:rFonts w:cs="Arial"/>
          <w:lang w:val="en-US"/>
        </w:rPr>
        <w:footnoteReference w:id="524"/>
      </w:r>
    </w:p>
    <w:p w:rsidR="00DF3CF7" w:rsidRDefault="00DF3CF7">
      <w:pPr>
        <w:rPr>
          <w:rFonts w:cs="Arial"/>
        </w:rPr>
      </w:pPr>
    </w:p>
    <w:p w:rsidR="00DF3CF7" w:rsidRDefault="00DF3CF7">
      <w:pPr>
        <w:rPr>
          <w:rFonts w:cs="Arial"/>
          <w:lang w:val="en-US"/>
        </w:rPr>
      </w:pPr>
      <w:r>
        <w:rPr>
          <w:rFonts w:cs="Arial"/>
          <w:lang w:val="en-US"/>
        </w:rPr>
        <w:t>8.36</w:t>
      </w:r>
      <w:r>
        <w:rPr>
          <w:rFonts w:cs="Arial"/>
          <w:lang w:val="en-US"/>
        </w:rPr>
        <w:tab/>
      </w:r>
      <w:r>
        <w:rPr>
          <w:rFonts w:cs="Arial"/>
          <w:lang w:val="en-US"/>
        </w:rPr>
        <w:tab/>
        <w:t>The 2011 Civic Exchange Report similarly observed that "</w:t>
      </w:r>
      <w:r>
        <w:rPr>
          <w:rFonts w:cs="Arial"/>
          <w:i/>
          <w:lang w:val="en-US"/>
        </w:rPr>
        <w:t xml:space="preserve">[g]overnments with modern archives law typically give archivists the power to inspect or audit records management practices throughout the bureaucracy </w:t>
      </w:r>
      <w:r>
        <w:rPr>
          <w:rFonts w:cs="Arial"/>
          <w:i/>
          <w:lang w:val="en-US"/>
        </w:rPr>
        <w:lastRenderedPageBreak/>
        <w:t>(subject to legally specified exceptions).</w:t>
      </w:r>
      <w:r>
        <w:rPr>
          <w:rFonts w:cs="Arial"/>
          <w:lang w:val="en-US"/>
        </w:rPr>
        <w:t>"</w:t>
      </w:r>
      <w:r>
        <w:rPr>
          <w:rStyle w:val="FootnoteReference"/>
          <w:rFonts w:cs="Arial"/>
          <w:lang w:val="en-US"/>
        </w:rPr>
        <w:footnoteReference w:id="525"/>
      </w:r>
      <w:r>
        <w:rPr>
          <w:rFonts w:cs="Arial"/>
          <w:lang w:val="en-US"/>
        </w:rPr>
        <w:t xml:space="preserve"> </w:t>
      </w:r>
      <w:r>
        <w:rPr>
          <w:rFonts w:cs="Arial" w:hint="eastAsia"/>
          <w:lang w:val="en-US"/>
        </w:rPr>
        <w:t xml:space="preserve"> </w:t>
      </w:r>
      <w:r>
        <w:rPr>
          <w:rFonts w:cs="Arial"/>
          <w:lang w:val="en-US"/>
        </w:rPr>
        <w:t xml:space="preserve">In conclusion, they, amongst other things, recommended:- </w:t>
      </w:r>
    </w:p>
    <w:p w:rsidR="00DF3CF7" w:rsidRDefault="00DF3CF7">
      <w:pPr>
        <w:rPr>
          <w:rFonts w:cs="Arial"/>
          <w:lang w:val="en-US"/>
        </w:rPr>
      </w:pPr>
    </w:p>
    <w:p w:rsidR="00DF3CF7" w:rsidRDefault="00DF3CF7">
      <w:pPr>
        <w:pStyle w:val="BlockText"/>
        <w:rPr>
          <w:lang w:val="en-US"/>
        </w:rPr>
      </w:pPr>
      <w:r w:rsidRPr="00891280">
        <w:rPr>
          <w:i w:val="0"/>
          <w:lang w:val="en-US"/>
        </w:rPr>
        <w:t>"</w:t>
      </w:r>
      <w:r>
        <w:rPr>
          <w:lang w:val="en-US"/>
        </w:rPr>
        <w:t>The archival authority must be given a clear legislative mandate and statutory status to pursue its mission and role efficiently and effectively.  In particular, it requires stronger monitoring and regulatory powers with an appropriate level of resources and professional expertise to</w:t>
      </w:r>
      <w:r>
        <w:rPr>
          <w:rFonts w:hint="eastAsia"/>
          <w:lang w:val="en-US"/>
        </w:rPr>
        <w:t xml:space="preserve"> </w:t>
      </w:r>
      <w:r>
        <w:rPr>
          <w:lang w:val="en-US"/>
        </w:rPr>
        <w:t>…</w:t>
      </w:r>
      <w:r>
        <w:rPr>
          <w:rFonts w:hint="eastAsia"/>
          <w:lang w:val="en-US"/>
        </w:rPr>
        <w:t xml:space="preserve"> </w:t>
      </w:r>
      <w:r>
        <w:rPr>
          <w:lang w:val="en-US"/>
        </w:rPr>
        <w:t>ensure compliance.</w:t>
      </w:r>
      <w:r w:rsidRPr="00891280">
        <w:rPr>
          <w:i w:val="0"/>
          <w:lang w:val="en-US"/>
        </w:rPr>
        <w:t>"</w:t>
      </w:r>
      <w:r>
        <w:rPr>
          <w:rStyle w:val="FootnoteReference"/>
          <w:rFonts w:cs="Arial"/>
          <w:lang w:val="en-US"/>
        </w:rPr>
        <w:footnoteReference w:id="526"/>
      </w:r>
    </w:p>
    <w:p w:rsidR="00DF3CF7" w:rsidRDefault="00DF3CF7">
      <w:pPr>
        <w:rPr>
          <w:rFonts w:cs="Arial"/>
          <w:lang w:val="en-US"/>
        </w:rPr>
      </w:pPr>
    </w:p>
    <w:p w:rsidR="00DF3CF7" w:rsidRDefault="00DF3CF7">
      <w:pPr>
        <w:rPr>
          <w:rFonts w:cs="Arial"/>
        </w:rPr>
      </w:pPr>
    </w:p>
    <w:p w:rsidR="00DF3CF7" w:rsidRDefault="00DF3CF7">
      <w:pPr>
        <w:pStyle w:val="Heading3"/>
      </w:pPr>
      <w:r>
        <w:t>Government's stance or response to comments</w:t>
      </w:r>
    </w:p>
    <w:p w:rsidR="00DF3CF7" w:rsidRDefault="00DF3CF7">
      <w:pPr>
        <w:keepNext/>
        <w:rPr>
          <w:rFonts w:cs="Arial"/>
        </w:rPr>
      </w:pPr>
    </w:p>
    <w:p w:rsidR="00DF3CF7" w:rsidRDefault="00DF3CF7">
      <w:pPr>
        <w:pStyle w:val="Heading4"/>
        <w:rPr>
          <w:lang w:val="en-US"/>
        </w:rPr>
      </w:pPr>
      <w:r>
        <w:rPr>
          <w:lang w:val="en-US"/>
        </w:rPr>
        <w:t>GRS' monitoring measures</w:t>
      </w:r>
    </w:p>
    <w:p w:rsidR="00DF3CF7" w:rsidRDefault="00DF3CF7">
      <w:pPr>
        <w:rPr>
          <w:rFonts w:cs="Arial"/>
        </w:rPr>
      </w:pPr>
    </w:p>
    <w:p w:rsidR="00DF3CF7" w:rsidRDefault="00DF3CF7">
      <w:r>
        <w:t>8.37</w:t>
      </w:r>
      <w:r>
        <w:tab/>
      </w:r>
      <w:r>
        <w:tab/>
        <w:t>At present, the GRS oversees the management of government records on a government-wide basis, whereas the DRM (ie Departmental Records Manager) designated by each B/D oversees the records management programme within the B/D.</w:t>
      </w:r>
      <w:r>
        <w:rPr>
          <w:vertAlign w:val="superscript"/>
        </w:rPr>
        <w:footnoteReference w:id="527"/>
      </w:r>
      <w:r>
        <w:t xml:space="preserve">  In relation to the two ways of monitoring mentioned above:-</w:t>
      </w:r>
    </w:p>
    <w:p w:rsidR="00DF3CF7" w:rsidRDefault="00DF3CF7">
      <w:pPr>
        <w:pStyle w:val="ListParagraph"/>
        <w:rPr>
          <w:rFonts w:cs="Arial"/>
          <w:lang w:val="en-US"/>
        </w:rPr>
      </w:pPr>
    </w:p>
    <w:p w:rsidR="00DF3CF7" w:rsidRPr="00323CE9" w:rsidRDefault="00DF3CF7" w:rsidP="00DF3CF7">
      <w:pPr>
        <w:ind w:left="720"/>
        <w:jc w:val="left"/>
        <w:rPr>
          <w:rFonts w:cs="Arial"/>
          <w:b/>
          <w:i/>
        </w:rPr>
      </w:pPr>
      <w:r w:rsidRPr="00323CE9">
        <w:rPr>
          <w:rFonts w:cs="Arial"/>
          <w:lang w:eastAsia="zh-HK"/>
        </w:rPr>
        <w:t>(i)</w:t>
      </w:r>
      <w:r>
        <w:rPr>
          <w:rFonts w:cs="Arial"/>
          <w:b/>
          <w:i/>
          <w:lang w:eastAsia="zh-HK"/>
        </w:rPr>
        <w:tab/>
      </w:r>
      <w:r w:rsidRPr="00323CE9">
        <w:rPr>
          <w:rFonts w:cs="Arial"/>
          <w:b/>
          <w:i/>
          <w:lang w:eastAsia="zh-HK"/>
        </w:rPr>
        <w:t>Departmental r</w:t>
      </w:r>
      <w:r w:rsidRPr="00323CE9">
        <w:rPr>
          <w:rFonts w:cs="Arial"/>
          <w:b/>
          <w:i/>
        </w:rPr>
        <w:t>ecords management reviews</w:t>
      </w:r>
    </w:p>
    <w:p w:rsidR="00DF3CF7" w:rsidRDefault="00DF3CF7">
      <w:pPr>
        <w:pStyle w:val="ListParagraph"/>
        <w:rPr>
          <w:rFonts w:cs="Arial"/>
        </w:rPr>
      </w:pPr>
    </w:p>
    <w:p w:rsidR="00DF3CF7" w:rsidRDefault="00DF3CF7">
      <w:pPr>
        <w:pStyle w:val="ListParagraph"/>
        <w:ind w:left="1440"/>
        <w:rPr>
          <w:rFonts w:cs="Arial"/>
        </w:rPr>
      </w:pPr>
      <w:r>
        <w:rPr>
          <w:rFonts w:cs="Arial"/>
        </w:rPr>
        <w:t>These serve to review B/Ds' performance of their function to ensure compliance with records management policies and procedures.  Relevant aspects covered in such a review include records management policies and guidelines, roles/responsibilities and training of staff, recordkeeping systems, and creation/collection, registration/classification, storage, access, protection and disposal of records.</w:t>
      </w:r>
    </w:p>
    <w:p w:rsidR="00DF3CF7" w:rsidRDefault="00DF3CF7">
      <w:pPr>
        <w:pStyle w:val="ListParagraph"/>
        <w:rPr>
          <w:rFonts w:cs="Arial"/>
        </w:rPr>
      </w:pPr>
    </w:p>
    <w:p w:rsidR="00DF3CF7" w:rsidRDefault="00DF3CF7">
      <w:pPr>
        <w:pStyle w:val="ListParagraph"/>
        <w:ind w:left="1440"/>
        <w:rPr>
          <w:rFonts w:cs="Arial"/>
        </w:rPr>
      </w:pPr>
      <w:r>
        <w:rPr>
          <w:rFonts w:cs="Arial"/>
        </w:rPr>
        <w:t>For the purpose of a review, the GRS will collect facts and data on departmental records management programme through various means, including review of documentation, examination of recordkeeping systems, surveys and visits, interviews and focus group discussion.</w:t>
      </w:r>
      <w:r>
        <w:rPr>
          <w:rFonts w:cs="Arial"/>
          <w:vertAlign w:val="superscript"/>
        </w:rPr>
        <w:footnoteReference w:id="528"/>
      </w:r>
    </w:p>
    <w:p w:rsidR="00DF3CF7" w:rsidRDefault="00DF3CF7">
      <w:pPr>
        <w:pStyle w:val="ListParagraph"/>
        <w:ind w:left="1440"/>
        <w:rPr>
          <w:rFonts w:cs="Arial"/>
        </w:rPr>
      </w:pPr>
    </w:p>
    <w:p w:rsidR="00DF3CF7" w:rsidRDefault="00DF3CF7">
      <w:pPr>
        <w:pStyle w:val="ListParagraph"/>
        <w:ind w:left="1440"/>
        <w:rPr>
          <w:rFonts w:cs="Arial"/>
        </w:rPr>
      </w:pPr>
      <w:r>
        <w:rPr>
          <w:rFonts w:cs="Arial"/>
        </w:rPr>
        <w:t xml:space="preserve">In practice, the GRS team would attend at B/Ds to see how their records were managed, and to spot-check files against their inventories.  Although the GRS has no statutory authority to demand documents from B/Ds when conducting such reviews, according to the GRS, B/Ds were generally cooperative and there has not been any case in which the GRS' request for </w:t>
      </w:r>
      <w:r>
        <w:rPr>
          <w:rFonts w:cs="Arial"/>
        </w:rPr>
        <w:lastRenderedPageBreak/>
        <w:t>information was refused.</w:t>
      </w:r>
      <w:r>
        <w:rPr>
          <w:rFonts w:cs="Arial"/>
          <w:vertAlign w:val="superscript"/>
        </w:rPr>
        <w:footnoteReference w:id="529"/>
      </w:r>
      <w:r>
        <w:rPr>
          <w:rFonts w:cs="Arial"/>
        </w:rPr>
        <w:t xml:space="preserve">  Given the depth and breadth of the reviews, the process will normally take a few months to complete for each B/D.</w:t>
      </w:r>
      <w:r>
        <w:rPr>
          <w:rFonts w:cs="Arial"/>
          <w:vertAlign w:val="superscript"/>
        </w:rPr>
        <w:footnoteReference w:id="530"/>
      </w:r>
    </w:p>
    <w:p w:rsidR="00DF3CF7" w:rsidRDefault="00DF3CF7">
      <w:pPr>
        <w:rPr>
          <w:rFonts w:cs="Arial"/>
        </w:rPr>
      </w:pPr>
    </w:p>
    <w:p w:rsidR="00DF3CF7" w:rsidRPr="00461F09" w:rsidRDefault="00DF3CF7" w:rsidP="00DF3CF7">
      <w:pPr>
        <w:ind w:left="1440"/>
        <w:rPr>
          <w:rFonts w:cs="Arial"/>
          <w:lang w:val="en-US"/>
        </w:rPr>
      </w:pPr>
      <w:r>
        <w:rPr>
          <w:rFonts w:cs="Arial"/>
        </w:rPr>
        <w:t>The GRS' findings and recommendations, if any, from the review will be presented to the B/D concerned, which is required to draw up a plan for implementation of the recommendations.  The GRS will assist in and monitor the implementation progress.  B/Ds being reviewed are required to submit half-yearly progress reports to inform the GRS of their progress in implementing the recommendations.</w:t>
      </w:r>
      <w:r>
        <w:rPr>
          <w:rFonts w:cs="Arial"/>
          <w:vertAlign w:val="superscript"/>
        </w:rPr>
        <w:footnoteReference w:id="531"/>
      </w:r>
      <w:r>
        <w:rPr>
          <w:rFonts w:cs="Arial"/>
        </w:rPr>
        <w:t xml:space="preserve">  The GRS' review findings and recommendations as well as the B/Ds' implementation plan will be submitted to the Chief Secretary for Administration for steer, as needed.</w:t>
      </w:r>
      <w:r>
        <w:rPr>
          <w:rFonts w:cs="Arial"/>
          <w:vertAlign w:val="superscript"/>
        </w:rPr>
        <w:footnoteReference w:id="532"/>
      </w:r>
      <w:r>
        <w:rPr>
          <w:rFonts w:cs="Arial"/>
        </w:rPr>
        <w:t xml:space="preserve"> </w:t>
      </w:r>
    </w:p>
    <w:p w:rsidR="00DF3CF7" w:rsidRDefault="00DF3CF7">
      <w:pPr>
        <w:pStyle w:val="ListParagraph"/>
        <w:ind w:left="1440"/>
        <w:rPr>
          <w:rFonts w:cs="Arial"/>
        </w:rPr>
      </w:pPr>
    </w:p>
    <w:p w:rsidR="00DF3CF7" w:rsidRDefault="00DF3CF7">
      <w:pPr>
        <w:pStyle w:val="ListParagraph"/>
        <w:ind w:left="1440"/>
        <w:rPr>
          <w:rFonts w:cs="Arial"/>
          <w:lang w:eastAsia="zh-HK"/>
        </w:rPr>
      </w:pPr>
      <w:r>
        <w:rPr>
          <w:rFonts w:cs="Arial"/>
        </w:rPr>
        <w:t>Under GC12,</w:t>
      </w:r>
      <w:r>
        <w:rPr>
          <w:rStyle w:val="FootnoteReference"/>
          <w:rFonts w:cs="Arial"/>
        </w:rPr>
        <w:footnoteReference w:id="533"/>
      </w:r>
      <w:r>
        <w:rPr>
          <w:rFonts w:cs="Arial"/>
        </w:rPr>
        <w:t xml:space="preserve"> the GRS </w:t>
      </w:r>
      <w:r>
        <w:rPr>
          <w:rFonts w:cs="Arial" w:hint="eastAsia"/>
          <w:lang w:eastAsia="zh-HK"/>
        </w:rPr>
        <w:t>will</w:t>
      </w:r>
      <w:r>
        <w:rPr>
          <w:rFonts w:cs="Arial"/>
        </w:rPr>
        <w:t xml:space="preserve"> draw up a review schedule, and contact selected B/Ds separately to work out a detailed review programme with their DRM.  B/Ds selected are required to cooperate with the GRS </w:t>
      </w:r>
      <w:r>
        <w:rPr>
          <w:rFonts w:cs="Arial" w:hint="eastAsia"/>
          <w:lang w:eastAsia="zh-HK"/>
        </w:rPr>
        <w:t>for</w:t>
      </w:r>
      <w:r>
        <w:rPr>
          <w:rFonts w:cs="Arial"/>
        </w:rPr>
        <w:t xml:space="preserve"> these reviews.</w:t>
      </w:r>
      <w:r>
        <w:rPr>
          <w:rFonts w:cs="Arial"/>
          <w:vertAlign w:val="superscript"/>
        </w:rPr>
        <w:footnoteReference w:id="534"/>
      </w:r>
      <w:r>
        <w:rPr>
          <w:rFonts w:cs="Arial"/>
        </w:rPr>
        <w:t xml:space="preserve">  Since the </w:t>
      </w:r>
      <w:r>
        <w:rPr>
          <w:rFonts w:cs="Arial" w:hint="eastAsia"/>
          <w:lang w:eastAsia="zh-HK"/>
        </w:rPr>
        <w:t>issue of GC12 in October</w:t>
      </w:r>
      <w:r>
        <w:rPr>
          <w:rFonts w:cs="Arial"/>
        </w:rPr>
        <w:t xml:space="preserve"> 2012, the GRS has </w:t>
      </w:r>
      <w:r>
        <w:rPr>
          <w:rFonts w:cs="Arial" w:hint="eastAsia"/>
          <w:lang w:eastAsia="zh-HK"/>
        </w:rPr>
        <w:t xml:space="preserve">reviewed </w:t>
      </w:r>
      <w:r>
        <w:rPr>
          <w:rFonts w:cs="Arial"/>
        </w:rPr>
        <w:t xml:space="preserve">ten B/Ds, making various recommendations to improve </w:t>
      </w:r>
      <w:r>
        <w:rPr>
          <w:rFonts w:cs="Arial" w:hint="eastAsia"/>
          <w:lang w:eastAsia="zh-HK"/>
        </w:rPr>
        <w:t xml:space="preserve">the various </w:t>
      </w:r>
      <w:r>
        <w:rPr>
          <w:rFonts w:cs="Arial"/>
        </w:rPr>
        <w:t>aspects of their records management work.</w:t>
      </w:r>
      <w:r>
        <w:rPr>
          <w:rStyle w:val="FootnoteReference"/>
          <w:rFonts w:cs="Arial"/>
        </w:rPr>
        <w:footnoteReference w:id="535"/>
      </w:r>
      <w:r>
        <w:rPr>
          <w:rFonts w:cs="Arial"/>
        </w:rPr>
        <w:t xml:space="preserve">  As at </w:t>
      </w:r>
      <w:r>
        <w:rPr>
          <w:rFonts w:cs="Arial"/>
          <w:lang w:eastAsia="zh-HK"/>
        </w:rPr>
        <w:t>February 2018</w:t>
      </w:r>
      <w:r>
        <w:rPr>
          <w:rFonts w:cs="Arial"/>
        </w:rPr>
        <w:t xml:space="preserve">, two </w:t>
      </w:r>
      <w:r>
        <w:rPr>
          <w:rFonts w:cs="Arial" w:hint="eastAsia"/>
          <w:lang w:eastAsia="zh-HK"/>
        </w:rPr>
        <w:t xml:space="preserve">such </w:t>
      </w:r>
      <w:r>
        <w:rPr>
          <w:rFonts w:cs="Arial"/>
        </w:rPr>
        <w:t>reviews were underway</w:t>
      </w:r>
      <w:r>
        <w:rPr>
          <w:rFonts w:cs="Arial" w:hint="eastAsia"/>
          <w:lang w:eastAsia="zh-HK"/>
        </w:rPr>
        <w:t xml:space="preserve"> and </w:t>
      </w:r>
      <w:r>
        <w:rPr>
          <w:rFonts w:cs="Arial"/>
          <w:lang w:eastAsia="zh-HK"/>
        </w:rPr>
        <w:t>another</w:t>
      </w:r>
      <w:r>
        <w:rPr>
          <w:rFonts w:cs="Arial" w:hint="eastAsia"/>
          <w:lang w:eastAsia="zh-HK"/>
        </w:rPr>
        <w:t xml:space="preserve"> </w:t>
      </w:r>
      <w:r>
        <w:rPr>
          <w:rFonts w:cs="Arial"/>
          <w:lang w:eastAsia="zh-HK"/>
        </w:rPr>
        <w:t xml:space="preserve">one </w:t>
      </w:r>
      <w:r>
        <w:rPr>
          <w:rFonts w:cs="Arial" w:hint="eastAsia"/>
          <w:lang w:eastAsia="zh-HK"/>
        </w:rPr>
        <w:t xml:space="preserve">will be conducted </w:t>
      </w:r>
      <w:r>
        <w:rPr>
          <w:rFonts w:cs="Arial"/>
          <w:lang w:eastAsia="zh-HK"/>
        </w:rPr>
        <w:t xml:space="preserve">later </w:t>
      </w:r>
      <w:r>
        <w:rPr>
          <w:rFonts w:cs="Arial" w:hint="eastAsia"/>
          <w:lang w:eastAsia="zh-HK"/>
        </w:rPr>
        <w:t>in 2018</w:t>
      </w:r>
      <w:r>
        <w:rPr>
          <w:rFonts w:cs="Arial"/>
        </w:rPr>
        <w:t>.</w:t>
      </w:r>
      <w:r>
        <w:rPr>
          <w:rStyle w:val="FootnoteReference"/>
          <w:rFonts w:cs="Arial"/>
        </w:rPr>
        <w:footnoteReference w:id="536"/>
      </w:r>
      <w:r>
        <w:rPr>
          <w:rFonts w:cs="Arial" w:hint="eastAsia"/>
          <w:lang w:eastAsia="zh-HK"/>
        </w:rPr>
        <w:t xml:space="preserve">  </w:t>
      </w:r>
      <w:r>
        <w:rPr>
          <w:rFonts w:cs="Arial"/>
          <w:lang w:eastAsia="zh-HK"/>
        </w:rPr>
        <w:t>The effectiveness of these reviews will be further enhanced when more resources are allocated to cover more B/Ds under this scheme.</w:t>
      </w:r>
    </w:p>
    <w:p w:rsidR="00DF3CF7" w:rsidRDefault="00DF3CF7">
      <w:pPr>
        <w:pStyle w:val="ListParagraph"/>
        <w:ind w:leftChars="-23" w:left="-2" w:hangingChars="22" w:hanging="53"/>
        <w:rPr>
          <w:rFonts w:cs="Arial"/>
        </w:rPr>
      </w:pPr>
    </w:p>
    <w:p w:rsidR="00DF3CF7" w:rsidRDefault="00DF3CF7" w:rsidP="00DF3CF7">
      <w:pPr>
        <w:ind w:left="720"/>
        <w:jc w:val="left"/>
        <w:rPr>
          <w:rFonts w:cs="Arial"/>
        </w:rPr>
      </w:pPr>
      <w:r w:rsidRPr="00323CE9">
        <w:rPr>
          <w:rFonts w:cs="Arial"/>
        </w:rPr>
        <w:t>(ii)</w:t>
      </w:r>
      <w:r>
        <w:rPr>
          <w:rFonts w:cs="Arial"/>
          <w:b/>
          <w:i/>
        </w:rPr>
        <w:tab/>
        <w:t>Self-assessment by B/Ds</w:t>
      </w:r>
    </w:p>
    <w:p w:rsidR="00DF3CF7" w:rsidRDefault="00DF3CF7">
      <w:pPr>
        <w:ind w:firstLineChars="58" w:firstLine="139"/>
        <w:rPr>
          <w:rFonts w:cs="Arial"/>
          <w:i/>
        </w:rPr>
      </w:pPr>
    </w:p>
    <w:p w:rsidR="00DF3CF7" w:rsidRDefault="00DF3CF7">
      <w:pPr>
        <w:pStyle w:val="ListParagraph"/>
        <w:ind w:left="1440"/>
        <w:rPr>
          <w:rFonts w:cs="Arial"/>
        </w:rPr>
      </w:pPr>
      <w:r>
        <w:rPr>
          <w:rFonts w:cs="Arial"/>
        </w:rPr>
        <w:t xml:space="preserve">Internal assessment and evaluation of records management function of B/D should be conducted by its DRM periodically, </w:t>
      </w:r>
      <w:r>
        <w:rPr>
          <w:rFonts w:cs="Arial"/>
        </w:rPr>
        <w:lastRenderedPageBreak/>
        <w:t>making reference to the provisions in the RMM.</w:t>
      </w:r>
      <w:r>
        <w:rPr>
          <w:rFonts w:cs="Arial"/>
          <w:vertAlign w:val="superscript"/>
        </w:rPr>
        <w:footnoteReference w:id="537"/>
      </w:r>
      <w:r>
        <w:rPr>
          <w:rFonts w:cs="Arial"/>
        </w:rPr>
        <w:t xml:space="preserve">  Such assessment should include:-</w:t>
      </w:r>
    </w:p>
    <w:p w:rsidR="00DF3CF7" w:rsidRDefault="00DF3CF7">
      <w:pPr>
        <w:rPr>
          <w:rFonts w:cs="Arial"/>
        </w:rPr>
      </w:pPr>
    </w:p>
    <w:p w:rsidR="00DF3CF7" w:rsidRDefault="00DF3CF7">
      <w:pPr>
        <w:ind w:left="2160" w:hanging="720"/>
        <w:rPr>
          <w:rFonts w:cs="Arial"/>
        </w:rPr>
      </w:pPr>
      <w:r>
        <w:rPr>
          <w:rFonts w:cs="Arial"/>
        </w:rPr>
        <w:t xml:space="preserve">(a) </w:t>
      </w:r>
      <w:r>
        <w:rPr>
          <w:rFonts w:cs="Arial"/>
        </w:rPr>
        <w:tab/>
        <w:t xml:space="preserve">assessment of compliance with the mandatory requirements set out in GC09; and </w:t>
      </w:r>
    </w:p>
    <w:p w:rsidR="00DF3CF7" w:rsidRDefault="00DF3CF7">
      <w:pPr>
        <w:ind w:left="2160" w:hanging="720"/>
        <w:rPr>
          <w:rFonts w:cs="Arial"/>
        </w:rPr>
      </w:pPr>
    </w:p>
    <w:p w:rsidR="00DF3CF7" w:rsidRDefault="00DF3CF7">
      <w:pPr>
        <w:ind w:left="2160" w:hanging="720"/>
        <w:rPr>
          <w:rFonts w:cs="Arial"/>
        </w:rPr>
      </w:pPr>
      <w:r>
        <w:rPr>
          <w:rFonts w:cs="Arial"/>
        </w:rPr>
        <w:t xml:space="preserve">(b) </w:t>
      </w:r>
      <w:r>
        <w:rPr>
          <w:rFonts w:cs="Arial"/>
        </w:rPr>
        <w:tab/>
        <w:t>identification of areas requiring improvement with regard to desirable best practices, and formulation of plan to implement improvement measures.</w:t>
      </w:r>
      <w:r>
        <w:rPr>
          <w:rFonts w:cs="Arial"/>
          <w:vertAlign w:val="superscript"/>
        </w:rPr>
        <w:footnoteReference w:id="538"/>
      </w:r>
    </w:p>
    <w:p w:rsidR="00DF3CF7" w:rsidRDefault="00DF3CF7">
      <w:pPr>
        <w:ind w:rightChars="330" w:right="792"/>
        <w:rPr>
          <w:rFonts w:cs="Arial"/>
          <w:lang w:val="en-US"/>
        </w:rPr>
      </w:pPr>
    </w:p>
    <w:p w:rsidR="00DF3CF7" w:rsidRDefault="00DF3CF7">
      <w:pPr>
        <w:pStyle w:val="ListParagraph"/>
        <w:ind w:left="1440"/>
        <w:rPr>
          <w:rFonts w:cs="Arial"/>
        </w:rPr>
      </w:pPr>
      <w:r>
        <w:rPr>
          <w:rFonts w:cs="Arial"/>
        </w:rPr>
        <w:t xml:space="preserve">To assist B/Ds in carrying out self-assessment, the GRS in 2010 developed a comprehensive compliance review form and coordinated B/Ds' first self-assessment of their records management practices.  The findings of the assessment and the GRS' recommendations on improvement measures were conveyed to B/Ds in November 2011.  The GRS has also reviewed the scope of self-assessment and identified in GC12 the various aspects required to be covered.  </w:t>
      </w:r>
      <w:r>
        <w:rPr>
          <w:rFonts w:cs="Arial" w:hint="eastAsia"/>
          <w:lang w:eastAsia="zh-HK"/>
        </w:rPr>
        <w:t>Two similar self-assessments were subsequently carried out in 2012 and 2015</w:t>
      </w:r>
      <w:r>
        <w:rPr>
          <w:rFonts w:cs="Arial"/>
          <w:lang w:eastAsia="zh-HK"/>
        </w:rPr>
        <w:t xml:space="preserve"> and their scope </w:t>
      </w:r>
      <w:r>
        <w:rPr>
          <w:rFonts w:cs="Arial" w:hint="eastAsia"/>
          <w:lang w:eastAsia="zh-HK"/>
        </w:rPr>
        <w:t>covered the entire spectrum of records management issues ranging from records creation to disposal of records</w:t>
      </w:r>
      <w:r>
        <w:rPr>
          <w:rFonts w:cs="Arial" w:hint="eastAsia"/>
        </w:rPr>
        <w:t xml:space="preserve"> </w:t>
      </w:r>
      <w:r>
        <w:rPr>
          <w:rFonts w:cs="Arial"/>
        </w:rPr>
        <w:t xml:space="preserve">(with the </w:t>
      </w:r>
      <w:r w:rsidRPr="00EE661E">
        <w:rPr>
          <w:rFonts w:cs="Arial"/>
          <w:lang w:eastAsia="zh-HK"/>
        </w:rPr>
        <w:t>next review in late 2018</w:t>
      </w:r>
      <w:r>
        <w:rPr>
          <w:rFonts w:cs="Arial" w:hint="eastAsia"/>
        </w:rPr>
        <w:t>)</w:t>
      </w:r>
      <w:r>
        <w:rPr>
          <w:rFonts w:cs="Arial" w:hint="eastAsia"/>
          <w:lang w:eastAsia="zh-HK"/>
        </w:rPr>
        <w:t>.</w:t>
      </w:r>
      <w:r>
        <w:rPr>
          <w:rFonts w:cs="Arial"/>
          <w:lang w:eastAsia="zh-HK"/>
        </w:rPr>
        <w:t xml:space="preserve">  </w:t>
      </w:r>
    </w:p>
    <w:p w:rsidR="00DF3CF7" w:rsidRDefault="00DF3CF7">
      <w:pPr>
        <w:pStyle w:val="Heading4"/>
        <w:keepNext w:val="0"/>
        <w:rPr>
          <w:rFonts w:cs="Arial"/>
          <w:i w:val="0"/>
          <w:lang w:val="en-US"/>
        </w:rPr>
      </w:pPr>
    </w:p>
    <w:p w:rsidR="00DF3CF7" w:rsidRDefault="00DF3CF7" w:rsidP="00DF3CF7">
      <w:pPr>
        <w:pStyle w:val="Heading4"/>
        <w:keepNext w:val="0"/>
        <w:ind w:left="1440" w:hanging="720"/>
        <w:rPr>
          <w:rFonts w:cs="Arial"/>
        </w:rPr>
      </w:pPr>
      <w:r>
        <w:rPr>
          <w:rFonts w:cs="Arial" w:hint="eastAsia"/>
          <w:i w:val="0"/>
        </w:rPr>
        <w:t>(iii)</w:t>
      </w:r>
      <w:r>
        <w:rPr>
          <w:rFonts w:cs="Arial"/>
          <w:i w:val="0"/>
        </w:rPr>
        <w:tab/>
      </w:r>
      <w:r>
        <w:rPr>
          <w:rFonts w:cs="Arial"/>
          <w:b/>
        </w:rPr>
        <w:t>GRS can inspect records upon appraisal</w:t>
      </w:r>
      <w:r>
        <w:rPr>
          <w:rFonts w:cs="Arial"/>
        </w:rPr>
        <w:t xml:space="preserve"> </w:t>
      </w:r>
    </w:p>
    <w:p w:rsidR="00DF3CF7" w:rsidRDefault="00DF3CF7">
      <w:pPr>
        <w:rPr>
          <w:rFonts w:cs="Arial"/>
          <w:lang w:eastAsia="zh-HK"/>
        </w:rPr>
      </w:pPr>
    </w:p>
    <w:p w:rsidR="00DF3CF7" w:rsidRDefault="00DF3CF7">
      <w:pPr>
        <w:pStyle w:val="ListParagraph"/>
        <w:ind w:left="1440"/>
        <w:rPr>
          <w:rFonts w:cs="Arial"/>
          <w:lang w:eastAsia="zh-HK"/>
        </w:rPr>
      </w:pPr>
      <w:r>
        <w:rPr>
          <w:rFonts w:cs="Arial"/>
        </w:rPr>
        <w:t>The GRS may also request to inspect the physical records for appraisal of their archival value when:</w:t>
      </w:r>
    </w:p>
    <w:p w:rsidR="00DF3CF7" w:rsidRDefault="00DF3CF7">
      <w:pPr>
        <w:rPr>
          <w:rFonts w:cs="Arial"/>
          <w:lang w:eastAsia="zh-HK"/>
        </w:rPr>
      </w:pPr>
    </w:p>
    <w:p w:rsidR="00DF3CF7" w:rsidRDefault="00DF3CF7">
      <w:pPr>
        <w:ind w:left="2160" w:hanging="720"/>
        <w:rPr>
          <w:rFonts w:cs="Arial"/>
          <w:lang w:eastAsia="zh-HK"/>
        </w:rPr>
      </w:pPr>
      <w:r>
        <w:rPr>
          <w:rFonts w:cs="Arial"/>
        </w:rPr>
        <w:t xml:space="preserve">(a) </w:t>
      </w:r>
      <w:r>
        <w:rPr>
          <w:rFonts w:cs="Arial"/>
        </w:rPr>
        <w:tab/>
        <w:t>B/Ds submit</w:t>
      </w:r>
      <w:r>
        <w:rPr>
          <w:rFonts w:cs="Arial"/>
          <w:lang w:eastAsia="zh-HK"/>
        </w:rPr>
        <w:t xml:space="preserve"> the draft </w:t>
      </w:r>
      <w:r>
        <w:rPr>
          <w:rFonts w:cs="Arial"/>
        </w:rPr>
        <w:t>disposal schedules;</w:t>
      </w:r>
      <w:r>
        <w:rPr>
          <w:rStyle w:val="FootnoteReference"/>
          <w:rFonts w:cs="Arial"/>
        </w:rPr>
        <w:footnoteReference w:id="539"/>
      </w:r>
      <w:r>
        <w:rPr>
          <w:rFonts w:cs="Arial"/>
          <w:lang w:eastAsia="zh-HK"/>
        </w:rPr>
        <w:t xml:space="preserve"> </w:t>
      </w:r>
    </w:p>
    <w:p w:rsidR="00DF3CF7" w:rsidRDefault="00DF3CF7">
      <w:pPr>
        <w:ind w:left="1440" w:hanging="720"/>
        <w:rPr>
          <w:rFonts w:cs="Arial"/>
        </w:rPr>
      </w:pPr>
    </w:p>
    <w:p w:rsidR="00DF3CF7" w:rsidRDefault="00DF3CF7">
      <w:pPr>
        <w:ind w:left="2160" w:hanging="720"/>
        <w:rPr>
          <w:rFonts w:cs="Arial"/>
          <w:lang w:eastAsia="zh-HK"/>
        </w:rPr>
      </w:pPr>
      <w:r>
        <w:rPr>
          <w:rFonts w:cs="Arial"/>
        </w:rPr>
        <w:t xml:space="preserve">(b) </w:t>
      </w:r>
      <w:r>
        <w:rPr>
          <w:rFonts w:cs="Arial"/>
        </w:rPr>
        <w:tab/>
        <w:t>B/Ds submit</w:t>
      </w:r>
      <w:r>
        <w:rPr>
          <w:rFonts w:cs="Arial"/>
          <w:lang w:eastAsia="zh-HK"/>
        </w:rPr>
        <w:t xml:space="preserve"> the disposal requests for time-expired records according to GARDS or approved disposal schedules;</w:t>
      </w:r>
      <w:r>
        <w:rPr>
          <w:rStyle w:val="FootnoteReference"/>
          <w:rFonts w:cs="Arial"/>
          <w:lang w:eastAsia="zh-HK"/>
        </w:rPr>
        <w:footnoteReference w:id="540"/>
      </w:r>
      <w:r>
        <w:rPr>
          <w:rFonts w:cs="Arial"/>
          <w:lang w:eastAsia="zh-HK"/>
        </w:rPr>
        <w:t xml:space="preserve"> or </w:t>
      </w:r>
    </w:p>
    <w:p w:rsidR="00DF3CF7" w:rsidRDefault="00DF3CF7">
      <w:pPr>
        <w:ind w:left="1440" w:hanging="720"/>
        <w:rPr>
          <w:rFonts w:cs="Arial"/>
          <w:lang w:eastAsia="zh-HK"/>
        </w:rPr>
      </w:pPr>
    </w:p>
    <w:p w:rsidR="00DF3CF7" w:rsidRDefault="00DF3CF7">
      <w:pPr>
        <w:ind w:left="2160" w:hanging="720"/>
        <w:rPr>
          <w:rFonts w:cs="Arial"/>
          <w:lang w:eastAsia="zh-HK"/>
        </w:rPr>
      </w:pPr>
      <w:r>
        <w:rPr>
          <w:rFonts w:cs="Arial"/>
          <w:lang w:eastAsia="zh-HK"/>
        </w:rPr>
        <w:t>(c)</w:t>
      </w:r>
      <w:r>
        <w:rPr>
          <w:rFonts w:cs="Arial"/>
          <w:lang w:eastAsia="zh-HK"/>
        </w:rPr>
        <w:tab/>
        <w:t>GRS appraises B/Ds' records which have reached 30</w:t>
      </w:r>
      <w:r>
        <w:rPr>
          <w:rFonts w:cs="Arial"/>
          <w:lang w:val="en-US" w:eastAsia="zh-HK"/>
        </w:rPr>
        <w:t> </w:t>
      </w:r>
      <w:r>
        <w:rPr>
          <w:rFonts w:cs="Arial"/>
          <w:lang w:eastAsia="zh-HK"/>
        </w:rPr>
        <w:t>years old.</w:t>
      </w:r>
      <w:r>
        <w:rPr>
          <w:rStyle w:val="FootnoteReference"/>
          <w:rFonts w:cs="Arial"/>
        </w:rPr>
        <w:footnoteReference w:id="541"/>
      </w:r>
    </w:p>
    <w:p w:rsidR="00DF3CF7" w:rsidRDefault="00DF3CF7">
      <w:pPr>
        <w:rPr>
          <w:rFonts w:cs="Arial"/>
          <w:lang w:eastAsia="zh-HK"/>
        </w:rPr>
      </w:pPr>
    </w:p>
    <w:p w:rsidR="00DF3CF7" w:rsidRDefault="00DF3CF7">
      <w:pPr>
        <w:ind w:left="1440"/>
        <w:rPr>
          <w:rFonts w:cs="Arial"/>
          <w:lang w:val="en-US"/>
        </w:rPr>
      </w:pPr>
      <w:r>
        <w:rPr>
          <w:rFonts w:cs="Arial"/>
          <w:lang w:eastAsia="zh-HK"/>
        </w:rPr>
        <w:t>B/Ds are requested to submit the records for appraisal timely upon request by the GRS.</w:t>
      </w:r>
      <w:r>
        <w:rPr>
          <w:rStyle w:val="FootnoteReference"/>
          <w:rFonts w:cs="Arial"/>
          <w:lang w:eastAsia="zh-HK"/>
        </w:rPr>
        <w:footnoteReference w:id="542"/>
      </w:r>
      <w:r>
        <w:rPr>
          <w:rFonts w:cs="Arial"/>
          <w:lang w:eastAsia="zh-HK"/>
        </w:rPr>
        <w:t xml:space="preserve"> </w:t>
      </w:r>
    </w:p>
    <w:p w:rsidR="00DF3CF7" w:rsidRDefault="00DF3CF7">
      <w:pPr>
        <w:ind w:rightChars="330" w:right="792"/>
        <w:rPr>
          <w:rFonts w:cs="Arial"/>
          <w:lang w:val="en-US"/>
        </w:rPr>
      </w:pPr>
    </w:p>
    <w:p w:rsidR="00DF3CF7" w:rsidRDefault="00DF3CF7">
      <w:pPr>
        <w:pStyle w:val="Heading3"/>
      </w:pPr>
      <w:r>
        <w:lastRenderedPageBreak/>
        <w:t>Law and practice in other jurisdictions</w:t>
      </w:r>
    </w:p>
    <w:p w:rsidR="00DF3CF7" w:rsidRDefault="00DF3CF7">
      <w:pPr>
        <w:rPr>
          <w:rFonts w:cs="Arial"/>
          <w:b/>
          <w:lang w:val="en-US"/>
        </w:rPr>
      </w:pPr>
    </w:p>
    <w:p w:rsidR="00DF3CF7" w:rsidRDefault="00DF3CF7">
      <w:pPr>
        <w:pStyle w:val="Heading4"/>
      </w:pPr>
      <w:r>
        <w:t>Australia</w:t>
      </w:r>
    </w:p>
    <w:p w:rsidR="00DF3CF7" w:rsidRDefault="00DF3CF7">
      <w:pPr>
        <w:rPr>
          <w:rFonts w:cs="Arial"/>
        </w:rPr>
      </w:pPr>
    </w:p>
    <w:p w:rsidR="00DF3CF7" w:rsidRDefault="00DF3CF7">
      <w:pPr>
        <w:rPr>
          <w:lang w:eastAsia="zh-HK"/>
        </w:rPr>
      </w:pPr>
      <w:r>
        <w:t>8.38</w:t>
      </w:r>
      <w:r>
        <w:tab/>
      </w:r>
      <w:r>
        <w:tab/>
        <w:t>In terms of inspection power, the NAA is, subject to relevant provisions, expressly given full and free access to all Commonwealth records in the custody of a Commonwealth institution under the 1983 Act.  However, subject to certain exceptions, a Commonwealth institution with the concurrence of the Director-General or the Minister may determine that the NAA is to be denied access to certain record, or to be given access only on conditions.</w:t>
      </w:r>
      <w:r>
        <w:rPr>
          <w:vertAlign w:val="superscript"/>
        </w:rPr>
        <w:footnoteReference w:id="543"/>
      </w:r>
    </w:p>
    <w:p w:rsidR="00DF3CF7" w:rsidRDefault="00DF3CF7">
      <w:pPr>
        <w:rPr>
          <w:rFonts w:cs="Arial"/>
        </w:rPr>
      </w:pPr>
    </w:p>
    <w:p w:rsidR="00DF3CF7" w:rsidRDefault="00DF3CF7">
      <w:pPr>
        <w:rPr>
          <w:lang w:val="en-US" w:eastAsia="zh-HK"/>
        </w:rPr>
      </w:pPr>
      <w:r>
        <w:t>8.39</w:t>
      </w:r>
      <w:r>
        <w:tab/>
      </w:r>
      <w:r>
        <w:tab/>
        <w:t>The 1983 Act does not confer statutory power upon the NAA to audit recordkeeping practices in individual Commonwealth institutions.</w:t>
      </w:r>
      <w:r>
        <w:rPr>
          <w:rStyle w:val="FootnoteReference"/>
          <w:rFonts w:cs="Arial"/>
        </w:rPr>
        <w:footnoteReference w:id="544"/>
      </w:r>
      <w:r>
        <w:t xml:space="preserve"> </w:t>
      </w:r>
      <w:r>
        <w:rPr>
          <w:lang w:val="en-US" w:eastAsia="zh-HK"/>
        </w:rPr>
        <w:t xml:space="preserve"> However, it does empower the NAA to conduct survey of Commonwealth records.</w:t>
      </w:r>
      <w:r>
        <w:rPr>
          <w:rStyle w:val="FootnoteReference"/>
          <w:rFonts w:cs="Arial"/>
          <w:lang w:val="en-US" w:eastAsia="zh-HK"/>
        </w:rPr>
        <w:footnoteReference w:id="545"/>
      </w:r>
      <w:r>
        <w:rPr>
          <w:lang w:val="en-US" w:eastAsia="zh-HK"/>
        </w:rPr>
        <w:t xml:space="preserve"> </w:t>
      </w:r>
      <w:r>
        <w:rPr>
          <w:rFonts w:hint="eastAsia"/>
          <w:lang w:val="en-US" w:eastAsia="zh-HK"/>
        </w:rPr>
        <w:t xml:space="preserve"> </w:t>
      </w:r>
      <w:r>
        <w:rPr>
          <w:lang w:val="en-US" w:eastAsia="zh-HK"/>
        </w:rPr>
        <w:t>The NAA has been exercising this power regularly to gather information about the record management practices in government agencies.  The main surveys conducted were</w:t>
      </w:r>
      <w:r>
        <w:rPr>
          <w:rStyle w:val="FootnoteReference"/>
          <w:lang w:val="en-US" w:eastAsia="zh-HK"/>
        </w:rPr>
        <w:footnoteReference w:id="546"/>
      </w:r>
      <w:r>
        <w:rPr>
          <w:lang w:val="en-US" w:eastAsia="zh-HK"/>
        </w:rPr>
        <w:t>:-</w:t>
      </w:r>
    </w:p>
    <w:p w:rsidR="00DF3CF7" w:rsidRPr="0080334E" w:rsidRDefault="00DF3CF7">
      <w:pPr>
        <w:ind w:rightChars="212" w:right="509"/>
        <w:rPr>
          <w:rFonts w:cs="Arial"/>
          <w:sz w:val="20"/>
          <w:szCs w:val="20"/>
          <w:lang w:val="en-US" w:eastAsia="zh-HK"/>
        </w:rPr>
      </w:pPr>
    </w:p>
    <w:p w:rsidR="00DF3CF7" w:rsidRDefault="00DF3CF7">
      <w:pPr>
        <w:ind w:left="1440" w:hanging="720"/>
        <w:rPr>
          <w:rFonts w:cs="Arial"/>
          <w:lang w:val="en-US" w:eastAsia="zh-HK"/>
        </w:rPr>
      </w:pPr>
      <w:r>
        <w:rPr>
          <w:rFonts w:cs="Arial" w:hint="eastAsia"/>
          <w:lang w:val="en-US" w:eastAsia="zh-HK"/>
        </w:rPr>
        <w:t>(i)</w:t>
      </w:r>
      <w:r>
        <w:rPr>
          <w:rFonts w:cs="Arial"/>
          <w:lang w:val="en-US" w:eastAsia="zh-HK"/>
        </w:rPr>
        <w:tab/>
        <w:t>Whole-of-government online survey - "Survey of Information and Records Management Practices in Australian Government Agencies" has been conducted once every three years since 2008.  Participation is voluntary.</w:t>
      </w:r>
      <w:r>
        <w:rPr>
          <w:rStyle w:val="FootnoteReference"/>
          <w:rFonts w:cs="Arial"/>
          <w:lang w:val="en-US" w:eastAsia="zh-HK"/>
        </w:rPr>
        <w:footnoteReference w:id="547"/>
      </w:r>
      <w:r>
        <w:rPr>
          <w:rFonts w:cs="Arial"/>
          <w:lang w:val="en-US" w:eastAsia="zh-HK"/>
        </w:rPr>
        <w:t xml:space="preserve"> </w:t>
      </w:r>
    </w:p>
    <w:p w:rsidR="00DF3CF7" w:rsidRPr="0080334E" w:rsidRDefault="00DF3CF7">
      <w:pPr>
        <w:rPr>
          <w:rFonts w:cs="Arial"/>
          <w:sz w:val="20"/>
          <w:szCs w:val="20"/>
          <w:lang w:val="en-US" w:eastAsia="zh-HK"/>
        </w:rPr>
      </w:pPr>
    </w:p>
    <w:p w:rsidR="00DF3CF7" w:rsidRDefault="00DF3CF7">
      <w:pPr>
        <w:ind w:left="1440" w:hanging="720"/>
        <w:rPr>
          <w:rFonts w:cs="Arial"/>
          <w:lang w:val="en-US" w:eastAsia="zh-HK"/>
        </w:rPr>
      </w:pPr>
      <w:r>
        <w:rPr>
          <w:rFonts w:cs="Arial" w:hint="eastAsia"/>
          <w:lang w:val="en-US" w:eastAsia="zh-HK"/>
        </w:rPr>
        <w:t>(ii)</w:t>
      </w:r>
      <w:r>
        <w:rPr>
          <w:rFonts w:cs="Arial"/>
          <w:lang w:val="en-US" w:eastAsia="zh-HK"/>
        </w:rPr>
        <w:tab/>
        <w:t xml:space="preserve">Check-up Digital – This is an annual self-assessment survey to help government agencies gauge their digital information management maturity and set direction for improved practice. </w:t>
      </w:r>
    </w:p>
    <w:p w:rsidR="00DF3CF7" w:rsidRDefault="00DF3CF7">
      <w:pPr>
        <w:rPr>
          <w:rFonts w:cs="Arial"/>
          <w:lang w:val="en-US"/>
        </w:rPr>
      </w:pPr>
    </w:p>
    <w:p w:rsidR="00DF3CF7" w:rsidRDefault="00DF3CF7">
      <w:pPr>
        <w:pStyle w:val="Heading4"/>
      </w:pPr>
      <w:r>
        <w:t>England</w:t>
      </w:r>
    </w:p>
    <w:p w:rsidR="00DF3CF7" w:rsidRDefault="00DF3CF7">
      <w:pPr>
        <w:rPr>
          <w:rFonts w:cs="Arial"/>
          <w:lang w:val="en-US"/>
        </w:rPr>
      </w:pPr>
    </w:p>
    <w:p w:rsidR="00DF3CF7" w:rsidRDefault="00DF3CF7">
      <w:pPr>
        <w:rPr>
          <w:lang w:val="en-US"/>
        </w:rPr>
      </w:pPr>
      <w:r>
        <w:rPr>
          <w:lang w:val="en-US"/>
        </w:rPr>
        <w:t>8.40</w:t>
      </w:r>
      <w:r>
        <w:rPr>
          <w:lang w:val="en-US"/>
        </w:rPr>
        <w:tab/>
      </w:r>
      <w:r>
        <w:rPr>
          <w:lang w:val="en-US"/>
        </w:rPr>
        <w:tab/>
        <w:t xml:space="preserve">The duty to promote the following of good practice by public authorities is found in the FOIA 2000, and falls on the shoulders of the </w:t>
      </w:r>
      <w:r>
        <w:rPr>
          <w:lang w:val="en-US"/>
        </w:rPr>
        <w:lastRenderedPageBreak/>
        <w:t>Information Commissioner</w:t>
      </w:r>
      <w:r>
        <w:rPr>
          <w:rStyle w:val="FootnoteReference"/>
          <w:rFonts w:cs="Arial"/>
          <w:lang w:val="en-US"/>
        </w:rPr>
        <w:footnoteReference w:id="548"/>
      </w:r>
      <w:r>
        <w:rPr>
          <w:lang w:val="en-US"/>
        </w:rPr>
        <w:t xml:space="preserve"> who in particular has to promote the compliance by public authorities with, amongst other things, the FOIA 2000 itself and also the Lord Chancellor's Code</w:t>
      </w:r>
      <w:r>
        <w:t>.</w:t>
      </w:r>
      <w:r>
        <w:rPr>
          <w:rStyle w:val="FootnoteReference"/>
          <w:rFonts w:cs="Arial"/>
          <w:lang w:val="en-US"/>
        </w:rPr>
        <w:footnoteReference w:id="549"/>
      </w:r>
    </w:p>
    <w:p w:rsidR="00DF3CF7" w:rsidRDefault="00DF3CF7">
      <w:pPr>
        <w:rPr>
          <w:rFonts w:cs="Arial"/>
          <w:lang w:val="en-US"/>
        </w:rPr>
      </w:pPr>
    </w:p>
    <w:p w:rsidR="00DF3CF7" w:rsidRDefault="00DF3CF7">
      <w:pPr>
        <w:rPr>
          <w:lang w:val="en-US"/>
        </w:rPr>
      </w:pPr>
      <w:r>
        <w:rPr>
          <w:lang w:val="en-US"/>
        </w:rPr>
        <w:t>8.41</w:t>
      </w:r>
      <w:r>
        <w:rPr>
          <w:lang w:val="en-US"/>
        </w:rPr>
        <w:tab/>
      </w:r>
      <w:r>
        <w:rPr>
          <w:rFonts w:hint="eastAsia"/>
          <w:lang w:val="en-US"/>
        </w:rPr>
        <w:tab/>
      </w:r>
      <w:r>
        <w:rPr>
          <w:lang w:val="en-US"/>
        </w:rPr>
        <w:t>The Information Commissioner does not enjoy a general inspection power.  However, where he reasonably requires any information for the purpose of determining whether the practice of a public authority is in conformity with the Lord Chancellor's Code, he has power to issue an "information notice" to require information from the public authority.</w:t>
      </w:r>
      <w:r>
        <w:rPr>
          <w:rStyle w:val="FootnoteReference"/>
          <w:rFonts w:cs="Arial"/>
          <w:lang w:val="en-US"/>
        </w:rPr>
        <w:footnoteReference w:id="550"/>
      </w:r>
      <w:r>
        <w:rPr>
          <w:lang w:val="en-US"/>
        </w:rPr>
        <w:t xml:space="preserve">  Non-compliance with an information notice may result in the Court dealing with the public authority as if it had committed a contempt of court.</w:t>
      </w:r>
      <w:r>
        <w:rPr>
          <w:rStyle w:val="FootnoteReference"/>
          <w:rFonts w:cs="Arial"/>
          <w:lang w:val="en-US"/>
        </w:rPr>
        <w:footnoteReference w:id="551"/>
      </w:r>
    </w:p>
    <w:p w:rsidR="00DF3CF7" w:rsidRDefault="00DF3CF7">
      <w:pPr>
        <w:rPr>
          <w:rFonts w:cs="Arial"/>
          <w:lang w:val="en-US"/>
        </w:rPr>
      </w:pPr>
    </w:p>
    <w:p w:rsidR="00DF3CF7" w:rsidRDefault="00DF3CF7">
      <w:pPr>
        <w:rPr>
          <w:lang w:val="en-US"/>
        </w:rPr>
      </w:pPr>
      <w:r>
        <w:rPr>
          <w:lang w:val="en-US"/>
        </w:rPr>
        <w:t>8.42</w:t>
      </w:r>
      <w:r>
        <w:rPr>
          <w:lang w:val="en-US"/>
        </w:rPr>
        <w:tab/>
      </w:r>
      <w:r>
        <w:rPr>
          <w:lang w:val="en-US"/>
        </w:rPr>
        <w:tab/>
        <w:t>The Information Commissioner's power to audit public authorities' records management practices is relatively indirect.  With the consent of the public authority, the Information Commissioner may assess whether it is following good practice.</w:t>
      </w:r>
      <w:r>
        <w:rPr>
          <w:rStyle w:val="FootnoteReference"/>
          <w:rFonts w:cs="Arial"/>
          <w:lang w:val="en-US"/>
        </w:rPr>
        <w:footnoteReference w:id="552"/>
      </w:r>
      <w:r>
        <w:rPr>
          <w:lang w:val="en-US"/>
        </w:rPr>
        <w:t xml:space="preserve">  He may issue a "practice recommendation" to a public authority where he considers its records management practices do not conform to the Lord Chancellor's Code as discussed above. </w:t>
      </w:r>
    </w:p>
    <w:p w:rsidR="00DF3CF7" w:rsidRDefault="00DF3CF7">
      <w:pPr>
        <w:rPr>
          <w:rFonts w:cs="Arial"/>
          <w:lang w:val="en-US"/>
        </w:rPr>
      </w:pPr>
    </w:p>
    <w:p w:rsidR="00DF3CF7" w:rsidRDefault="00DF3CF7">
      <w:pPr>
        <w:rPr>
          <w:lang w:val="en-US"/>
        </w:rPr>
      </w:pPr>
      <w:r>
        <w:rPr>
          <w:lang w:val="en-US"/>
        </w:rPr>
        <w:t>8.43</w:t>
      </w:r>
      <w:r>
        <w:rPr>
          <w:lang w:val="en-US"/>
        </w:rPr>
        <w:tab/>
      </w:r>
      <w:r>
        <w:rPr>
          <w:lang w:val="en-US"/>
        </w:rPr>
        <w:tab/>
      </w:r>
      <w:r>
        <w:t xml:space="preserve">TNA has, since 2008, developed the Information Management Assessment programme.  Under this voluntary programme, authorities can self-assess </w:t>
      </w:r>
      <w:r>
        <w:rPr>
          <w:lang w:eastAsia="zh-HK"/>
        </w:rPr>
        <w:t>the effectiveness of their approach to information and records management based on a tool devised by TNA.  Results of self-assessment will be given with an overall rating on each area and feedback on improvement actions to be taken.</w:t>
      </w:r>
      <w:r>
        <w:rPr>
          <w:lang w:val="en-US"/>
        </w:rPr>
        <w:t xml:space="preserve"> Other aspects of the programme include the publication of </w:t>
      </w:r>
      <w:r>
        <w:rPr>
          <w:i/>
          <w:lang w:val="en-US"/>
        </w:rPr>
        <w:t>Good practice report</w:t>
      </w:r>
      <w:r>
        <w:rPr>
          <w:lang w:val="en-US"/>
        </w:rPr>
        <w:t xml:space="preserve"> and </w:t>
      </w:r>
      <w:r>
        <w:rPr>
          <w:i/>
          <w:lang w:val="en-US"/>
        </w:rPr>
        <w:t>Lessons learned report</w:t>
      </w:r>
      <w:r>
        <w:rPr>
          <w:lang w:val="en-US"/>
        </w:rPr>
        <w:t>.</w:t>
      </w:r>
      <w:r>
        <w:rPr>
          <w:rStyle w:val="FootnoteReference"/>
          <w:rFonts w:eastAsia="Arial Unicode MS" w:cs="Arial"/>
        </w:rPr>
        <w:footnoteReference w:id="553"/>
      </w:r>
      <w:r>
        <w:rPr>
          <w:lang w:val="en-US"/>
        </w:rPr>
        <w:t xml:space="preserve"> </w:t>
      </w:r>
    </w:p>
    <w:p w:rsidR="00DF3CF7" w:rsidRDefault="00DF3CF7">
      <w:pPr>
        <w:rPr>
          <w:rFonts w:cs="Arial"/>
          <w:lang w:val="en-US"/>
        </w:rPr>
      </w:pPr>
    </w:p>
    <w:p w:rsidR="00DF3CF7" w:rsidRDefault="00DF3CF7">
      <w:pPr>
        <w:pStyle w:val="Heading4"/>
      </w:pPr>
      <w:r>
        <w:t>Ireland</w:t>
      </w:r>
    </w:p>
    <w:p w:rsidR="00DF3CF7" w:rsidRDefault="00DF3CF7">
      <w:pPr>
        <w:keepNext/>
        <w:rPr>
          <w:rFonts w:cs="Arial"/>
          <w:lang w:val="en-US"/>
        </w:rPr>
      </w:pPr>
    </w:p>
    <w:p w:rsidR="00DF3CF7" w:rsidRDefault="00DF3CF7">
      <w:pPr>
        <w:rPr>
          <w:lang w:val="en-US"/>
        </w:rPr>
      </w:pPr>
      <w:r>
        <w:rPr>
          <w:lang w:val="en-US"/>
        </w:rPr>
        <w:t>8.44</w:t>
      </w:r>
      <w:r>
        <w:rPr>
          <w:lang w:val="en-US"/>
        </w:rPr>
        <w:tab/>
      </w:r>
      <w:r>
        <w:rPr>
          <w:lang w:val="en-US"/>
        </w:rPr>
        <w:tab/>
        <w:t xml:space="preserve">Under the 1986 Act, the Director of the NAI has the express power to inspect and examine the arrangements for the preservation of </w:t>
      </w:r>
      <w:r>
        <w:rPr>
          <w:lang w:val="en-US"/>
        </w:rPr>
        <w:lastRenderedPageBreak/>
        <w:t>Departmental records.  With the consent or at the request of the appropriate member of the Government, the Director may also examine the Departmental records concerned.</w:t>
      </w:r>
      <w:r>
        <w:rPr>
          <w:rStyle w:val="FootnoteReference"/>
          <w:rFonts w:cs="Arial"/>
          <w:lang w:val="en-US"/>
        </w:rPr>
        <w:footnoteReference w:id="554"/>
      </w:r>
      <w:r>
        <w:rPr>
          <w:lang w:val="en-US"/>
        </w:rPr>
        <w:t xml:space="preserve"> </w:t>
      </w:r>
      <w:r>
        <w:rPr>
          <w:rFonts w:hint="eastAsia"/>
          <w:lang w:val="en-US"/>
        </w:rPr>
        <w:t xml:space="preserve"> </w:t>
      </w:r>
      <w:r>
        <w:rPr>
          <w:lang w:val="en-US"/>
        </w:rPr>
        <w:t>Moreover, when the authorisation for disposal of Departmental records is being considered by the Director or a designated officer, he may also inspect and examine those records.</w:t>
      </w:r>
      <w:r>
        <w:rPr>
          <w:rStyle w:val="FootnoteReference"/>
          <w:rFonts w:cs="Arial"/>
          <w:lang w:val="en-US"/>
        </w:rPr>
        <w:footnoteReference w:id="555"/>
      </w:r>
    </w:p>
    <w:p w:rsidR="00DF3CF7" w:rsidRDefault="00DF3CF7">
      <w:pPr>
        <w:rPr>
          <w:rFonts w:cs="Arial"/>
          <w:lang w:val="en-US"/>
        </w:rPr>
      </w:pPr>
    </w:p>
    <w:p w:rsidR="00DF3CF7" w:rsidRDefault="00DF3CF7">
      <w:pPr>
        <w:pStyle w:val="Heading4"/>
      </w:pPr>
      <w:r>
        <w:t>New Zealand</w:t>
      </w:r>
    </w:p>
    <w:p w:rsidR="00DF3CF7" w:rsidRDefault="00DF3CF7">
      <w:pPr>
        <w:rPr>
          <w:rFonts w:cs="Arial"/>
          <w:lang w:val="en-US"/>
        </w:rPr>
      </w:pPr>
    </w:p>
    <w:p w:rsidR="00DF3CF7" w:rsidRDefault="00DF3CF7">
      <w:pPr>
        <w:rPr>
          <w:lang w:val="en-US"/>
        </w:rPr>
      </w:pPr>
      <w:r>
        <w:rPr>
          <w:lang w:val="en-US"/>
        </w:rPr>
        <w:t>8.45</w:t>
      </w:r>
      <w:r>
        <w:rPr>
          <w:lang w:val="en-US"/>
        </w:rPr>
        <w:tab/>
      </w:r>
      <w:r>
        <w:rPr>
          <w:rFonts w:hint="eastAsia"/>
          <w:lang w:val="en-US"/>
        </w:rPr>
        <w:tab/>
      </w:r>
      <w:r>
        <w:rPr>
          <w:lang w:val="en-US"/>
        </w:rPr>
        <w:t xml:space="preserve">Under the 2005 Act, the </w:t>
      </w:r>
      <w:r>
        <w:t>Chief Archivist has a wide power to direct public offices to report to him on any specified aspect of their recordkeeping practice, or the public records that they control or have possession.</w:t>
      </w:r>
      <w:r>
        <w:rPr>
          <w:rStyle w:val="FootnoteReference"/>
          <w:rFonts w:cs="Arial"/>
        </w:rPr>
        <w:footnoteReference w:id="556"/>
      </w:r>
      <w:r>
        <w:t xml:space="preserve">  </w:t>
      </w:r>
    </w:p>
    <w:p w:rsidR="00DF3CF7" w:rsidRDefault="00DF3CF7">
      <w:pPr>
        <w:rPr>
          <w:rFonts w:cs="Arial"/>
          <w:lang w:val="en-US"/>
        </w:rPr>
      </w:pPr>
    </w:p>
    <w:p w:rsidR="00DF3CF7" w:rsidRDefault="00DF3CF7">
      <w:pPr>
        <w:rPr>
          <w:lang w:val="en-US"/>
        </w:rPr>
      </w:pPr>
      <w:r>
        <w:rPr>
          <w:lang w:val="en-US"/>
        </w:rPr>
        <w:t>8.46</w:t>
      </w:r>
      <w:r>
        <w:rPr>
          <w:lang w:val="en-US"/>
        </w:rPr>
        <w:tab/>
      </w:r>
      <w:r>
        <w:rPr>
          <w:lang w:val="en-US"/>
        </w:rPr>
        <w:tab/>
        <w:t xml:space="preserve">The Chief Archivist must also commission independent audits of recordkeeping </w:t>
      </w:r>
      <w:r>
        <w:rPr>
          <w:lang w:val="en-US" w:eastAsia="zh-HK"/>
        </w:rPr>
        <w:t xml:space="preserve">practices </w:t>
      </w:r>
      <w:r>
        <w:rPr>
          <w:lang w:val="en-US"/>
        </w:rPr>
        <w:t>in each public office every five to ten years.  A report on the audit results shall be present</w:t>
      </w:r>
      <w:r>
        <w:rPr>
          <w:lang w:val="en-US" w:eastAsia="zh-HK"/>
        </w:rPr>
        <w:t>ed</w:t>
      </w:r>
      <w:r>
        <w:rPr>
          <w:lang w:val="en-US"/>
        </w:rPr>
        <w:t xml:space="preserve"> to the House of Representatives.</w:t>
      </w:r>
      <w:r>
        <w:rPr>
          <w:rStyle w:val="FootnoteReference"/>
          <w:rFonts w:cs="Arial"/>
          <w:lang w:val="en-US"/>
        </w:rPr>
        <w:footnoteReference w:id="557"/>
      </w:r>
      <w:r>
        <w:rPr>
          <w:lang w:val="en-US"/>
        </w:rPr>
        <w:t xml:space="preserve"> </w:t>
      </w:r>
    </w:p>
    <w:p w:rsidR="00DF3CF7" w:rsidRDefault="00DF3CF7">
      <w:pPr>
        <w:rPr>
          <w:rFonts w:cs="Arial"/>
          <w:lang w:val="en-US"/>
        </w:rPr>
      </w:pPr>
    </w:p>
    <w:p w:rsidR="00DF3CF7" w:rsidRDefault="00DF3CF7">
      <w:pPr>
        <w:rPr>
          <w:lang w:val="en-US"/>
        </w:rPr>
      </w:pPr>
      <w:r>
        <w:rPr>
          <w:lang w:val="en-US"/>
        </w:rPr>
        <w:t>8.47</w:t>
      </w:r>
      <w:r>
        <w:rPr>
          <w:lang w:val="en-US"/>
        </w:rPr>
        <w:tab/>
      </w:r>
      <w:r>
        <w:rPr>
          <w:lang w:val="en-US"/>
        </w:rPr>
        <w:tab/>
        <w:t>In terms of inspection powers, the Chief Archivist can, after giving reasonable notice to a public office or local authority, inspect the records or archives held in their possession or under their control, except those that carry security classifications or are subject to access restrictions under other legislation (unless with the consent of the administrative head of the relevant public office or local authority).</w:t>
      </w:r>
      <w:r>
        <w:rPr>
          <w:rStyle w:val="FootnoteReference"/>
          <w:rFonts w:cs="Arial"/>
          <w:lang w:val="en-US"/>
        </w:rPr>
        <w:footnoteReference w:id="558"/>
      </w:r>
    </w:p>
    <w:p w:rsidR="00DF3CF7" w:rsidRDefault="00DF3CF7">
      <w:pPr>
        <w:rPr>
          <w:rFonts w:cs="Arial"/>
          <w:lang w:val="en-US"/>
        </w:rPr>
      </w:pPr>
    </w:p>
    <w:p w:rsidR="00DF3CF7" w:rsidRDefault="00DF3CF7">
      <w:pPr>
        <w:pStyle w:val="Heading4"/>
      </w:pPr>
      <w:r>
        <w:t>Singapore</w:t>
      </w:r>
    </w:p>
    <w:p w:rsidR="00DF3CF7" w:rsidRDefault="00DF3CF7">
      <w:pPr>
        <w:rPr>
          <w:rFonts w:cs="Arial"/>
          <w:lang w:val="en-US"/>
        </w:rPr>
      </w:pPr>
    </w:p>
    <w:p w:rsidR="00DF3CF7" w:rsidRDefault="00DF3CF7">
      <w:r>
        <w:rPr>
          <w:lang w:eastAsia="zh-HK"/>
        </w:rPr>
        <w:t>8.48</w:t>
      </w:r>
      <w:r>
        <w:tab/>
      </w:r>
      <w:r>
        <w:tab/>
        <w:t>The NLBA imposes a general duty upon the NLB to examine the public records in any public office and give advice on their care and custody.</w:t>
      </w:r>
      <w:r>
        <w:rPr>
          <w:rStyle w:val="FootnoteReference"/>
          <w:rFonts w:cs="Arial"/>
        </w:rPr>
        <w:footnoteReference w:id="559"/>
      </w:r>
      <w:r>
        <w:t xml:space="preserve"> The Director of NAS (who is an officer appointed from the NLB) or its representative must, however, satisfy applicable security requirements, and take the requisite oath of secrecy before being given access to public records.</w:t>
      </w:r>
      <w:r>
        <w:rPr>
          <w:rStyle w:val="FootnoteReference"/>
          <w:rFonts w:cs="Arial"/>
        </w:rPr>
        <w:footnoteReference w:id="560"/>
      </w:r>
      <w:r>
        <w:t xml:space="preserve">   </w:t>
      </w:r>
    </w:p>
    <w:p w:rsidR="00DF3CF7" w:rsidRDefault="00DF3CF7">
      <w:pPr>
        <w:rPr>
          <w:rFonts w:cs="Arial"/>
        </w:rPr>
      </w:pPr>
    </w:p>
    <w:p w:rsidR="00DF3CF7" w:rsidRDefault="00DF3CF7">
      <w:r>
        <w:t>8.49</w:t>
      </w:r>
      <w:r>
        <w:tab/>
      </w:r>
      <w:r>
        <w:tab/>
        <w:t>The NLB also enjoys a more specific power of inspection which appertains to its power to authorise records destruction/disposal.  Under the NLBA, any person intending to destroy or dispose of, or to authorise the destruction or disposal of, any public records must first notify the NLB of that intention and specify the nature of the public records in question.</w:t>
      </w:r>
      <w:r>
        <w:rPr>
          <w:rStyle w:val="FootnoteReference"/>
          <w:rFonts w:cs="Arial"/>
        </w:rPr>
        <w:footnoteReference w:id="561"/>
      </w:r>
      <w:r>
        <w:t xml:space="preserve"> </w:t>
      </w:r>
      <w:r>
        <w:rPr>
          <w:rFonts w:hint="eastAsia"/>
        </w:rPr>
        <w:t xml:space="preserve"> </w:t>
      </w:r>
      <w:r>
        <w:t xml:space="preserve">The NLB </w:t>
      </w:r>
      <w:r>
        <w:lastRenderedPageBreak/>
        <w:t>may then inspect the records specified and require them to be made available to it.</w:t>
      </w:r>
      <w:r>
        <w:rPr>
          <w:rStyle w:val="FootnoteReference"/>
          <w:rFonts w:cs="Arial"/>
        </w:rPr>
        <w:footnoteReference w:id="562"/>
      </w:r>
      <w:r>
        <w:t xml:space="preserve">  </w:t>
      </w:r>
    </w:p>
    <w:p w:rsidR="00DF3CF7" w:rsidRDefault="00DF3CF7">
      <w:pPr>
        <w:rPr>
          <w:rFonts w:cs="Arial"/>
          <w:lang w:val="en-US"/>
        </w:rPr>
      </w:pPr>
    </w:p>
    <w:p w:rsidR="00DF3CF7" w:rsidRPr="003740E8" w:rsidRDefault="00DF3CF7" w:rsidP="00DF3CF7">
      <w:pPr>
        <w:keepNext/>
        <w:rPr>
          <w:rFonts w:cs="Arial"/>
          <w:i/>
          <w:lang w:val="en-US"/>
        </w:rPr>
      </w:pPr>
      <w:r w:rsidRPr="003740E8">
        <w:rPr>
          <w:rFonts w:cs="Arial"/>
          <w:i/>
          <w:lang w:val="en-US"/>
        </w:rPr>
        <w:t>Summary</w:t>
      </w:r>
    </w:p>
    <w:p w:rsidR="00DF3CF7" w:rsidRDefault="00DF3CF7" w:rsidP="00DF3CF7">
      <w:pPr>
        <w:keepNext/>
        <w:rPr>
          <w:rFonts w:cs="Arial"/>
          <w:i/>
          <w:lang w:val="en-US"/>
        </w:rPr>
      </w:pPr>
    </w:p>
    <w:p w:rsidR="00DF3CF7" w:rsidRDefault="00DF3CF7">
      <w:pPr>
        <w:rPr>
          <w:rFonts w:cs="Arial"/>
          <w:lang w:val="en-US"/>
        </w:rPr>
      </w:pPr>
      <w:r>
        <w:rPr>
          <w:rFonts w:cs="Arial"/>
          <w:lang w:val="en-US"/>
        </w:rPr>
        <w:t>8.50</w:t>
      </w:r>
      <w:r>
        <w:rPr>
          <w:rFonts w:cs="Arial"/>
          <w:lang w:val="en-US"/>
        </w:rPr>
        <w:tab/>
      </w:r>
      <w:r>
        <w:rPr>
          <w:rFonts w:cs="Arial"/>
          <w:lang w:val="en-US"/>
        </w:rPr>
        <w:tab/>
        <w:t>Whilst a power of inspection is similarly provided for in the archives law in Australia, Ireland, New Zealand and Singapore, how such power may be exercised differs.  For example, the power to inspect records is exercisable on giving reasonable notice to the relevant public office (New Zealand), or with the consent (or at the request) of the appropriate member of the Government (Ireland), or on a "full and free" basis subject to certain exemptions (Australia).  In England, whilst the Information Commissioner is not endowed with a general power of inspection, he may issue an "information notice" to the relevant public authority to request further information.</w:t>
      </w:r>
    </w:p>
    <w:p w:rsidR="00DF3CF7" w:rsidRPr="00F5574D" w:rsidRDefault="00DF3CF7">
      <w:pPr>
        <w:rPr>
          <w:rFonts w:cs="Arial"/>
          <w:lang w:val="en-US"/>
        </w:rPr>
      </w:pPr>
    </w:p>
    <w:p w:rsidR="00DF3CF7" w:rsidRPr="00445491" w:rsidRDefault="00DF3CF7">
      <w:pPr>
        <w:rPr>
          <w:rFonts w:cs="Arial"/>
          <w:lang w:val="en-US"/>
        </w:rPr>
      </w:pPr>
      <w:r>
        <w:rPr>
          <w:rFonts w:cs="Arial"/>
          <w:lang w:val="en-US"/>
        </w:rPr>
        <w:t>8.51</w:t>
      </w:r>
      <w:r>
        <w:rPr>
          <w:rFonts w:cs="Arial"/>
          <w:lang w:val="en-US"/>
        </w:rPr>
        <w:tab/>
      </w:r>
      <w:r>
        <w:rPr>
          <w:rFonts w:cs="Arial"/>
          <w:lang w:val="en-US"/>
        </w:rPr>
        <w:tab/>
        <w:t>The power to audit records management practices also differs in these jurisdictions, with such power found expressly in New Zealand's 2005 Act.  In Ireland, one of the functions of the Director of the NAI is the "inspection and examination of arrangements" for the preservation of Departmental records, whilst it appears</w:t>
      </w:r>
      <w:r w:rsidRPr="00445491">
        <w:rPr>
          <w:rFonts w:cs="Arial"/>
          <w:lang w:val="en-US"/>
        </w:rPr>
        <w:t xml:space="preserve"> that there is no power of auditing in Singapore.</w:t>
      </w:r>
      <w:r>
        <w:rPr>
          <w:rFonts w:cs="Arial"/>
          <w:lang w:val="en-US"/>
        </w:rPr>
        <w:t xml:space="preserve">  In Australia and England, one way to evaluate the records management practices of government bodies is through survey and/or their self-assessment. </w:t>
      </w:r>
    </w:p>
    <w:p w:rsidR="00DF3CF7" w:rsidRDefault="00DF3CF7">
      <w:pPr>
        <w:rPr>
          <w:rFonts w:cs="Arial"/>
          <w:lang w:val="en-US"/>
        </w:rPr>
      </w:pPr>
    </w:p>
    <w:p w:rsidR="00DF3CF7" w:rsidRDefault="00DF3CF7">
      <w:pPr>
        <w:rPr>
          <w:rFonts w:cs="Arial"/>
          <w:lang w:val="en-US"/>
        </w:rPr>
      </w:pPr>
    </w:p>
    <w:p w:rsidR="00DF3CF7" w:rsidRDefault="00DF3CF7">
      <w:pPr>
        <w:pStyle w:val="Heading2"/>
        <w:ind w:left="720" w:hanging="720"/>
      </w:pPr>
      <w:r>
        <w:t>(III)</w:t>
      </w:r>
      <w:r>
        <w:tab/>
        <w:t xml:space="preserve">Handling of </w:t>
      </w:r>
      <w:r>
        <w:rPr>
          <w:rFonts w:hint="eastAsia"/>
        </w:rPr>
        <w:t>l</w:t>
      </w:r>
      <w:r>
        <w:t xml:space="preserve">oss or </w:t>
      </w:r>
      <w:r>
        <w:rPr>
          <w:rFonts w:hint="eastAsia"/>
        </w:rPr>
        <w:t>u</w:t>
      </w:r>
      <w:r>
        <w:t xml:space="preserve">nauthorised </w:t>
      </w:r>
      <w:r>
        <w:rPr>
          <w:rFonts w:hint="eastAsia"/>
        </w:rPr>
        <w:t>d</w:t>
      </w:r>
      <w:r>
        <w:t xml:space="preserve">estruction of </w:t>
      </w:r>
      <w:r>
        <w:rPr>
          <w:rFonts w:hint="eastAsia"/>
        </w:rPr>
        <w:t>r</w:t>
      </w:r>
      <w:r>
        <w:t>ecords</w:t>
      </w:r>
    </w:p>
    <w:p w:rsidR="00DF3CF7" w:rsidRDefault="00DF3CF7">
      <w:pPr>
        <w:rPr>
          <w:rFonts w:cs="Arial"/>
        </w:rPr>
      </w:pPr>
    </w:p>
    <w:p w:rsidR="00DF3CF7" w:rsidRDefault="00DF3CF7">
      <w:pPr>
        <w:rPr>
          <w:lang w:val="en-US"/>
        </w:rPr>
      </w:pPr>
      <w:r>
        <w:t>8.52</w:t>
      </w:r>
      <w:r>
        <w:tab/>
      </w:r>
      <w:r>
        <w:tab/>
      </w:r>
      <w:r>
        <w:rPr>
          <w:lang w:val="en-US"/>
        </w:rPr>
        <w:t>The Ombudsman's Report noted:-</w:t>
      </w:r>
    </w:p>
    <w:p w:rsidR="00DF3CF7" w:rsidRDefault="00DF3CF7">
      <w:pPr>
        <w:rPr>
          <w:rFonts w:cs="Arial"/>
          <w:lang w:val="en-US"/>
        </w:rPr>
      </w:pPr>
    </w:p>
    <w:p w:rsidR="00DF3CF7" w:rsidRDefault="00DF3CF7">
      <w:pPr>
        <w:pStyle w:val="BlockText"/>
        <w:rPr>
          <w:lang w:val="en-US"/>
        </w:rPr>
      </w:pPr>
      <w:r w:rsidRPr="00891280">
        <w:rPr>
          <w:i w:val="0"/>
          <w:lang w:val="en-US"/>
        </w:rPr>
        <w:t>"</w:t>
      </w:r>
      <w:r>
        <w:rPr>
          <w:lang w:val="en-US"/>
        </w:rPr>
        <w:t>Between August 2011 and end February 2013, GRS received reports from 20 B/Ds of a total of 38 cases of loss or unauthorised destruction of records.  Those cases involved 500 files, 53 documents and 18.2 lm of records.</w:t>
      </w:r>
      <w:r w:rsidRPr="00891280">
        <w:rPr>
          <w:i w:val="0"/>
          <w:lang w:val="en-US"/>
        </w:rPr>
        <w:t>"</w:t>
      </w:r>
      <w:r>
        <w:rPr>
          <w:rFonts w:hint="eastAsia"/>
          <w:spacing w:val="-20"/>
          <w:lang w:val="en-US"/>
        </w:rPr>
        <w:t xml:space="preserve"> </w:t>
      </w:r>
      <w:r>
        <w:rPr>
          <w:rStyle w:val="FootnoteReference"/>
          <w:rFonts w:cs="Arial"/>
          <w:lang w:val="en-US"/>
        </w:rPr>
        <w:footnoteReference w:id="563"/>
      </w:r>
    </w:p>
    <w:p w:rsidR="00DF3CF7" w:rsidRDefault="00DF3CF7">
      <w:pPr>
        <w:rPr>
          <w:rFonts w:cs="Arial"/>
        </w:rPr>
      </w:pPr>
    </w:p>
    <w:p w:rsidR="00DF3CF7" w:rsidRDefault="00DF3CF7">
      <w:r>
        <w:rPr>
          <w:lang w:val="en-US"/>
        </w:rPr>
        <w:t>8.53</w:t>
      </w:r>
      <w:r>
        <w:tab/>
      </w:r>
      <w:r>
        <w:tab/>
        <w:t>Although B/Ds are required to report to the GRS Director immediately any loss or unauthorised destruction of records,</w:t>
      </w:r>
      <w:r>
        <w:rPr>
          <w:rStyle w:val="FootnoteReference"/>
          <w:rFonts w:cs="Arial"/>
        </w:rPr>
        <w:footnoteReference w:id="564"/>
      </w:r>
      <w:r>
        <w:t xml:space="preserve"> </w:t>
      </w:r>
      <w:r>
        <w:rPr>
          <w:rFonts w:hint="eastAsia"/>
        </w:rPr>
        <w:t xml:space="preserve"> </w:t>
      </w:r>
      <w:r>
        <w:t>The Ombudsman found that numerous cases were not reported instantly because the B/Ds concerned refused to admit that the records had been lost; and some cases were not even reported at all.</w:t>
      </w:r>
      <w:r>
        <w:rPr>
          <w:rStyle w:val="FootnoteReference"/>
          <w:rFonts w:cs="Arial"/>
        </w:rPr>
        <w:footnoteReference w:id="565"/>
      </w:r>
      <w:r>
        <w:t xml:space="preserve">  In two of the cases reported and investigated, despite GRS' view that disciplinary action or administrative</w:t>
      </w:r>
      <w:r>
        <w:rPr>
          <w:lang w:val="en-US"/>
        </w:rPr>
        <w:t xml:space="preserve"> </w:t>
      </w:r>
      <w:r>
        <w:t>action should be taken against the staff concerned, the B/Ds did not agree and GRS did not</w:t>
      </w:r>
      <w:r>
        <w:rPr>
          <w:lang w:val="en-US"/>
        </w:rPr>
        <w:t xml:space="preserve"> </w:t>
      </w:r>
      <w:r>
        <w:t>pursue the matters any further.</w:t>
      </w:r>
      <w:r>
        <w:rPr>
          <w:rStyle w:val="FootnoteReference"/>
          <w:rFonts w:cs="Arial"/>
        </w:rPr>
        <w:footnoteReference w:id="566"/>
      </w:r>
    </w:p>
    <w:p w:rsidR="00DF3CF7" w:rsidRDefault="00DF3CF7">
      <w:pPr>
        <w:rPr>
          <w:rFonts w:cs="Arial"/>
        </w:rPr>
      </w:pPr>
    </w:p>
    <w:p w:rsidR="00DF3CF7" w:rsidRDefault="00DF3CF7">
      <w:r>
        <w:t>8.54</w:t>
      </w:r>
      <w:r>
        <w:tab/>
      </w:r>
      <w:r>
        <w:tab/>
        <w:t xml:space="preserve">The Government was thus recommended to empower the GRS by way of legislation to effectively enforce the records management requirements with a view to avoiding loss or unauthorised destruction of records, and to impose sanctions against those who do not abide by the stipulations.  Pending such legislation, the </w:t>
      </w:r>
      <w:r w:rsidRPr="001D1B90">
        <w:t>Government was recommended to</w:t>
      </w:r>
      <w:r w:rsidRPr="008B410E">
        <w:t xml:space="preserve"> reinforce</w:t>
      </w:r>
      <w:r>
        <w:t xml:space="preserve"> “its training and education for staff so that everyone who may create, keep, or use records handles the records carefully.”</w:t>
      </w:r>
      <w:r>
        <w:rPr>
          <w:vertAlign w:val="superscript"/>
        </w:rPr>
        <w:footnoteReference w:id="567"/>
      </w:r>
      <w:r>
        <w:t xml:space="preserve">   </w:t>
      </w:r>
    </w:p>
    <w:p w:rsidR="00DF3CF7" w:rsidRDefault="00DF3CF7">
      <w:pPr>
        <w:rPr>
          <w:rFonts w:cs="Arial"/>
          <w:lang w:val="en-US"/>
        </w:rPr>
      </w:pPr>
    </w:p>
    <w:p w:rsidR="00DF3CF7" w:rsidRDefault="00DF3CF7">
      <w:pPr>
        <w:rPr>
          <w:rFonts w:cs="Arial"/>
          <w:b/>
          <w:sz w:val="28"/>
          <w:szCs w:val="28"/>
        </w:rPr>
      </w:pPr>
    </w:p>
    <w:p w:rsidR="00DF3CF7" w:rsidRDefault="00DF3CF7">
      <w:pPr>
        <w:pStyle w:val="Heading3"/>
      </w:pPr>
      <w:r>
        <w:t>Government's stance or response to comments</w:t>
      </w:r>
    </w:p>
    <w:p w:rsidR="00DF3CF7" w:rsidRDefault="00DF3CF7">
      <w:pPr>
        <w:keepNext/>
        <w:rPr>
          <w:rFonts w:cs="Arial"/>
          <w:b/>
        </w:rPr>
      </w:pPr>
    </w:p>
    <w:p w:rsidR="00DF3CF7" w:rsidRDefault="00DF3CF7">
      <w:pPr>
        <w:pStyle w:val="Heading4"/>
      </w:pPr>
      <w:r>
        <w:t>Mandatory requirements against loss or unauthorised destruction</w:t>
      </w:r>
    </w:p>
    <w:p w:rsidR="00DF3CF7" w:rsidRDefault="00DF3CF7">
      <w:pPr>
        <w:keepNext/>
        <w:rPr>
          <w:rFonts w:cs="Arial"/>
        </w:rPr>
      </w:pPr>
    </w:p>
    <w:p w:rsidR="00DF3CF7" w:rsidRDefault="00DF3CF7">
      <w:r>
        <w:t>8.55</w:t>
      </w:r>
      <w:r>
        <w:tab/>
      </w:r>
      <w:r>
        <w:tab/>
        <w:t>GC09 has imposed various requirements to guard against loss or unauthorised destruction of records, for example:-</w:t>
      </w:r>
    </w:p>
    <w:p w:rsidR="00DF3CF7" w:rsidRDefault="00DF3CF7">
      <w:pPr>
        <w:rPr>
          <w:rFonts w:cs="Arial"/>
        </w:rPr>
      </w:pPr>
    </w:p>
    <w:p w:rsidR="00DF3CF7" w:rsidRPr="00323CE9" w:rsidRDefault="00DF3CF7" w:rsidP="00DF3CF7">
      <w:pPr>
        <w:ind w:left="1440" w:hanging="720"/>
        <w:rPr>
          <w:rFonts w:cs="Arial"/>
        </w:rPr>
      </w:pPr>
      <w:r>
        <w:rPr>
          <w:rFonts w:cs="Arial" w:hint="eastAsia"/>
        </w:rPr>
        <w:t>(i)</w:t>
      </w:r>
      <w:r>
        <w:rPr>
          <w:rFonts w:cs="Arial"/>
        </w:rPr>
        <w:tab/>
      </w:r>
      <w:r w:rsidRPr="00323CE9">
        <w:rPr>
          <w:rFonts w:cs="Arial"/>
        </w:rPr>
        <w:t>B/Ds must obtain the GRS</w:t>
      </w:r>
      <w:r w:rsidRPr="00323CE9">
        <w:rPr>
          <w:rFonts w:cs="Arial"/>
          <w:lang w:eastAsia="zh-HK"/>
        </w:rPr>
        <w:t xml:space="preserve"> Director</w:t>
      </w:r>
      <w:r>
        <w:rPr>
          <w:rFonts w:cs="Arial"/>
        </w:rPr>
        <w:t>'</w:t>
      </w:r>
      <w:r w:rsidRPr="00323CE9">
        <w:rPr>
          <w:rFonts w:cs="Arial"/>
          <w:lang w:eastAsia="zh-HK"/>
        </w:rPr>
        <w:t>s</w:t>
      </w:r>
      <w:r w:rsidRPr="00323CE9">
        <w:rPr>
          <w:rFonts w:cs="Arial"/>
        </w:rPr>
        <w:t xml:space="preserve"> agreement before destruction of records;</w:t>
      </w:r>
      <w:r>
        <w:rPr>
          <w:rStyle w:val="FootnoteReference"/>
          <w:rFonts w:cs="Arial"/>
        </w:rPr>
        <w:footnoteReference w:id="568"/>
      </w:r>
    </w:p>
    <w:p w:rsidR="00DF3CF7" w:rsidRDefault="00DF3CF7" w:rsidP="00DF3CF7">
      <w:pPr>
        <w:pStyle w:val="ListParagraph"/>
        <w:ind w:left="1440" w:hanging="720"/>
        <w:rPr>
          <w:rFonts w:cs="Arial"/>
        </w:rPr>
      </w:pPr>
    </w:p>
    <w:p w:rsidR="00DF3CF7" w:rsidRPr="00323CE9" w:rsidRDefault="00DF3CF7" w:rsidP="00DF3CF7">
      <w:pPr>
        <w:ind w:left="1440" w:hanging="720"/>
        <w:rPr>
          <w:rFonts w:cs="Arial"/>
        </w:rPr>
      </w:pPr>
      <w:r>
        <w:rPr>
          <w:rFonts w:cs="Arial" w:hint="eastAsia"/>
        </w:rPr>
        <w:t>(ii)</w:t>
      </w:r>
      <w:r>
        <w:rPr>
          <w:rFonts w:cs="Arial"/>
        </w:rPr>
        <w:tab/>
      </w:r>
      <w:r w:rsidRPr="00323CE9">
        <w:rPr>
          <w:rFonts w:cs="Arial"/>
        </w:rPr>
        <w:t>B/Ds should put in place arrangements to ensure proper and safe custody of records;</w:t>
      </w:r>
      <w:r>
        <w:rPr>
          <w:rStyle w:val="FootnoteReference"/>
          <w:rFonts w:cs="Arial"/>
        </w:rPr>
        <w:footnoteReference w:id="569"/>
      </w:r>
      <w:r w:rsidRPr="00323CE9">
        <w:rPr>
          <w:rFonts w:cs="Arial"/>
        </w:rPr>
        <w:t xml:space="preserve"> </w:t>
      </w:r>
    </w:p>
    <w:p w:rsidR="00DF3CF7" w:rsidRDefault="00DF3CF7" w:rsidP="00DF3CF7">
      <w:pPr>
        <w:pStyle w:val="ListParagraph"/>
        <w:ind w:left="1440" w:hanging="720"/>
        <w:rPr>
          <w:rFonts w:cs="Arial"/>
        </w:rPr>
      </w:pPr>
    </w:p>
    <w:p w:rsidR="00DF3CF7" w:rsidRPr="00323CE9" w:rsidRDefault="00DF3CF7" w:rsidP="00DF3CF7">
      <w:pPr>
        <w:ind w:left="1440" w:hanging="720"/>
        <w:rPr>
          <w:rFonts w:cs="Arial"/>
        </w:rPr>
      </w:pPr>
      <w:r>
        <w:rPr>
          <w:rFonts w:cs="Arial" w:hint="eastAsia"/>
        </w:rPr>
        <w:t>(iii)</w:t>
      </w:r>
      <w:r>
        <w:rPr>
          <w:rFonts w:cs="Arial"/>
        </w:rPr>
        <w:tab/>
      </w:r>
      <w:r w:rsidRPr="00323CE9">
        <w:rPr>
          <w:rFonts w:cs="Arial"/>
        </w:rPr>
        <w:t xml:space="preserve">B/Ds are required to report any loss or unauthorised destruction of records immediately to </w:t>
      </w:r>
      <w:r w:rsidRPr="00323CE9">
        <w:rPr>
          <w:rFonts w:cs="Arial"/>
          <w:lang w:eastAsia="zh-HK"/>
        </w:rPr>
        <w:t xml:space="preserve">their respective </w:t>
      </w:r>
      <w:r w:rsidRPr="00323CE9">
        <w:rPr>
          <w:rFonts w:cs="Arial"/>
        </w:rPr>
        <w:t>DRM</w:t>
      </w:r>
      <w:r w:rsidRPr="00323CE9">
        <w:rPr>
          <w:rFonts w:cs="Arial"/>
          <w:lang w:eastAsia="zh-HK"/>
        </w:rPr>
        <w:t>s</w:t>
      </w:r>
      <w:r w:rsidRPr="00323CE9">
        <w:rPr>
          <w:rFonts w:cs="Arial"/>
        </w:rPr>
        <w:t xml:space="preserve"> </w:t>
      </w:r>
      <w:r w:rsidRPr="00323CE9">
        <w:rPr>
          <w:rFonts w:cs="Arial"/>
          <w:lang w:eastAsia="zh-HK"/>
        </w:rPr>
        <w:t>with</w:t>
      </w:r>
      <w:r w:rsidRPr="00323CE9">
        <w:rPr>
          <w:rFonts w:cs="Arial"/>
        </w:rPr>
        <w:t xml:space="preserve"> a copy of the report sent to the GRS simultaneous</w:t>
      </w:r>
      <w:r w:rsidRPr="00323CE9">
        <w:rPr>
          <w:rFonts w:cs="Arial"/>
          <w:lang w:eastAsia="zh-HK"/>
        </w:rPr>
        <w:t xml:space="preserve">ly.  </w:t>
      </w:r>
      <w:r w:rsidRPr="00323CE9">
        <w:rPr>
          <w:rFonts w:cs="Arial"/>
        </w:rPr>
        <w:t xml:space="preserve">The DRMs should conduct investigation </w:t>
      </w:r>
      <w:r w:rsidRPr="00323CE9">
        <w:rPr>
          <w:rFonts w:cs="Arial"/>
          <w:lang w:eastAsia="zh-HK"/>
        </w:rPr>
        <w:t xml:space="preserve">to:- </w:t>
      </w:r>
    </w:p>
    <w:p w:rsidR="00DF3CF7" w:rsidRDefault="00DF3CF7">
      <w:pPr>
        <w:pStyle w:val="ListParagraph"/>
        <w:ind w:left="1418"/>
        <w:rPr>
          <w:rFonts w:cs="Arial"/>
        </w:rPr>
      </w:pPr>
    </w:p>
    <w:p w:rsidR="00DF3CF7" w:rsidRPr="00323CE9" w:rsidRDefault="00DF3CF7" w:rsidP="00DF3CF7">
      <w:pPr>
        <w:ind w:left="2160" w:hanging="720"/>
        <w:rPr>
          <w:rFonts w:cs="Arial"/>
        </w:rPr>
      </w:pPr>
      <w:r>
        <w:rPr>
          <w:rFonts w:cs="Arial" w:hint="eastAsia"/>
          <w:lang w:eastAsia="zh-HK"/>
        </w:rPr>
        <w:t>(a)</w:t>
      </w:r>
      <w:r>
        <w:rPr>
          <w:rFonts w:cs="Arial"/>
          <w:lang w:eastAsia="zh-HK"/>
        </w:rPr>
        <w:tab/>
      </w:r>
      <w:r w:rsidRPr="00323CE9">
        <w:rPr>
          <w:rFonts w:cs="Arial"/>
          <w:lang w:eastAsia="zh-HK"/>
        </w:rPr>
        <w:t xml:space="preserve">ascertain the facts and identify the circumstances leading to the incidents; </w:t>
      </w:r>
    </w:p>
    <w:p w:rsidR="00DF3CF7" w:rsidRPr="00323CE9" w:rsidRDefault="00DF3CF7" w:rsidP="00DF3CF7">
      <w:pPr>
        <w:ind w:left="2160" w:hanging="720"/>
        <w:rPr>
          <w:rFonts w:cs="Arial"/>
        </w:rPr>
      </w:pPr>
      <w:r>
        <w:rPr>
          <w:rFonts w:cs="Arial" w:hint="eastAsia"/>
          <w:lang w:eastAsia="zh-HK"/>
        </w:rPr>
        <w:t>(b)</w:t>
      </w:r>
      <w:r>
        <w:rPr>
          <w:rFonts w:cs="Arial"/>
          <w:lang w:eastAsia="zh-HK"/>
        </w:rPr>
        <w:tab/>
      </w:r>
      <w:r w:rsidRPr="00323CE9">
        <w:rPr>
          <w:rFonts w:cs="Arial"/>
          <w:lang w:eastAsia="zh-HK"/>
        </w:rPr>
        <w:t xml:space="preserve">reconstruct the records where necessary; </w:t>
      </w:r>
    </w:p>
    <w:p w:rsidR="00DF3CF7" w:rsidRPr="00323CE9" w:rsidRDefault="00DF3CF7" w:rsidP="00DF3CF7">
      <w:pPr>
        <w:ind w:left="2160" w:hanging="720"/>
        <w:rPr>
          <w:rFonts w:cs="Arial"/>
        </w:rPr>
      </w:pPr>
      <w:r>
        <w:rPr>
          <w:rFonts w:cs="Arial" w:hint="eastAsia"/>
          <w:lang w:eastAsia="zh-HK"/>
        </w:rPr>
        <w:t>(c)</w:t>
      </w:r>
      <w:r>
        <w:rPr>
          <w:rFonts w:cs="Arial"/>
          <w:lang w:eastAsia="zh-HK"/>
        </w:rPr>
        <w:tab/>
      </w:r>
      <w:r w:rsidRPr="00323CE9">
        <w:rPr>
          <w:rFonts w:cs="Arial"/>
          <w:lang w:eastAsia="zh-HK"/>
        </w:rPr>
        <w:t xml:space="preserve">take steps to prevent recurrence;  </w:t>
      </w:r>
    </w:p>
    <w:p w:rsidR="00DF3CF7" w:rsidRPr="00323CE9" w:rsidRDefault="00DF3CF7" w:rsidP="00DF3CF7">
      <w:pPr>
        <w:ind w:left="2160" w:hanging="720"/>
        <w:rPr>
          <w:rFonts w:cs="Arial"/>
        </w:rPr>
      </w:pPr>
      <w:r>
        <w:rPr>
          <w:rFonts w:cs="Arial" w:hint="eastAsia"/>
          <w:lang w:eastAsia="zh-HK"/>
        </w:rPr>
        <w:t>(d)</w:t>
      </w:r>
      <w:r>
        <w:rPr>
          <w:rFonts w:cs="Arial"/>
          <w:lang w:eastAsia="zh-HK"/>
        </w:rPr>
        <w:tab/>
      </w:r>
      <w:r w:rsidRPr="00323CE9">
        <w:rPr>
          <w:rFonts w:cs="Arial"/>
          <w:lang w:eastAsia="zh-HK"/>
        </w:rPr>
        <w:t xml:space="preserve">consider whether any disciplinary action or other administrative action is necessary; and  </w:t>
      </w:r>
    </w:p>
    <w:p w:rsidR="00DF3CF7" w:rsidRPr="00323CE9" w:rsidRDefault="00DF3CF7" w:rsidP="00DF3CF7">
      <w:pPr>
        <w:ind w:left="2160" w:hanging="720"/>
        <w:rPr>
          <w:rFonts w:cs="Arial"/>
        </w:rPr>
      </w:pPr>
      <w:r>
        <w:rPr>
          <w:rFonts w:cs="Arial" w:hint="eastAsia"/>
          <w:lang w:eastAsia="zh-HK"/>
        </w:rPr>
        <w:t>(e)</w:t>
      </w:r>
      <w:r>
        <w:rPr>
          <w:rFonts w:cs="Arial"/>
          <w:lang w:eastAsia="zh-HK"/>
        </w:rPr>
        <w:tab/>
      </w:r>
      <w:r w:rsidRPr="00323CE9">
        <w:rPr>
          <w:rFonts w:cs="Arial"/>
          <w:lang w:eastAsia="zh-HK"/>
        </w:rPr>
        <w:t>r</w:t>
      </w:r>
      <w:r w:rsidRPr="00323CE9">
        <w:rPr>
          <w:rFonts w:cs="Arial"/>
        </w:rPr>
        <w:t xml:space="preserve">eports of </w:t>
      </w:r>
      <w:r w:rsidRPr="00323CE9">
        <w:rPr>
          <w:rFonts w:cs="Arial"/>
          <w:lang w:eastAsia="zh-HK"/>
        </w:rPr>
        <w:t>their</w:t>
      </w:r>
      <w:r w:rsidRPr="00323CE9">
        <w:rPr>
          <w:rFonts w:cs="Arial"/>
        </w:rPr>
        <w:t xml:space="preserve"> findings and actions on the above matters should be given to the GRS within three months.</w:t>
      </w:r>
      <w:r>
        <w:rPr>
          <w:rStyle w:val="FootnoteReference"/>
          <w:rFonts w:cs="Arial"/>
        </w:rPr>
        <w:footnoteReference w:id="570"/>
      </w:r>
    </w:p>
    <w:p w:rsidR="00DF3CF7" w:rsidRDefault="00DF3CF7">
      <w:pPr>
        <w:pStyle w:val="ListParagraph"/>
        <w:ind w:left="2127"/>
        <w:rPr>
          <w:rFonts w:cs="Arial"/>
        </w:rPr>
      </w:pPr>
      <w:r>
        <w:rPr>
          <w:rFonts w:cs="Arial"/>
        </w:rPr>
        <w:t xml:space="preserve">  </w:t>
      </w:r>
    </w:p>
    <w:p w:rsidR="00DF3CF7" w:rsidRDefault="00DF3CF7" w:rsidP="00DF3CF7">
      <w:pPr>
        <w:ind w:left="1440" w:hanging="720"/>
        <w:rPr>
          <w:rFonts w:cs="Arial"/>
        </w:rPr>
      </w:pPr>
      <w:r>
        <w:rPr>
          <w:rFonts w:cs="Arial" w:hint="eastAsia"/>
        </w:rPr>
        <w:t>(iv)</w:t>
      </w:r>
      <w:r>
        <w:rPr>
          <w:rFonts w:cs="Arial"/>
        </w:rPr>
        <w:tab/>
        <w:t>B/Ds must prepare and maintain an accurate records inventory.</w:t>
      </w:r>
      <w:r>
        <w:rPr>
          <w:rStyle w:val="FootnoteReference"/>
          <w:rFonts w:cs="Arial"/>
        </w:rPr>
        <w:footnoteReference w:id="571"/>
      </w:r>
      <w:r>
        <w:rPr>
          <w:rFonts w:cs="Arial"/>
        </w:rPr>
        <w:t xml:space="preserve"> </w:t>
      </w:r>
    </w:p>
    <w:p w:rsidR="00DF3CF7" w:rsidRDefault="00DF3CF7">
      <w:pPr>
        <w:rPr>
          <w:rFonts w:cs="Arial"/>
          <w:lang w:eastAsia="zh-HK"/>
        </w:rPr>
      </w:pPr>
    </w:p>
    <w:p w:rsidR="00DF3CF7" w:rsidRDefault="00DF3CF7" w:rsidP="00DF3CF7">
      <w:pPr>
        <w:pStyle w:val="Heading4"/>
      </w:pPr>
      <w:r>
        <w:lastRenderedPageBreak/>
        <w:t>Departmental records management reviews</w:t>
      </w:r>
    </w:p>
    <w:p w:rsidR="00DF3CF7" w:rsidRPr="0080334E" w:rsidRDefault="00DF3CF7" w:rsidP="00DF3CF7">
      <w:pPr>
        <w:keepNext/>
        <w:rPr>
          <w:rFonts w:cs="Arial"/>
          <w:sz w:val="20"/>
          <w:szCs w:val="20"/>
        </w:rPr>
      </w:pPr>
    </w:p>
    <w:p w:rsidR="00DF3CF7" w:rsidRDefault="00DF3CF7" w:rsidP="00DF3CF7">
      <w:pPr>
        <w:keepNext/>
        <w:rPr>
          <w:lang w:eastAsia="zh-HK"/>
        </w:rPr>
      </w:pPr>
      <w:r>
        <w:t>8.56</w:t>
      </w:r>
      <w:r>
        <w:tab/>
      </w:r>
      <w:r>
        <w:tab/>
        <w:t>As mentioned under the heading "Power to inspect records and audit records management practices" above, the GRS conducts department</w:t>
      </w:r>
      <w:r>
        <w:rPr>
          <w:lang w:eastAsia="zh-HK"/>
        </w:rPr>
        <w:t>al</w:t>
      </w:r>
      <w:r>
        <w:t xml:space="preserve"> records </w:t>
      </w:r>
      <w:r>
        <w:rPr>
          <w:lang w:eastAsia="zh-HK"/>
        </w:rPr>
        <w:t xml:space="preserve">management </w:t>
      </w:r>
      <w:r>
        <w:t xml:space="preserve">reviews to evaluate B/Ds' compliance with records management requirements and practices.  If any incident of loss or unauthorised destruction of records is found, the B/D concerned will be required to follow up as </w:t>
      </w:r>
      <w:r>
        <w:rPr>
          <w:lang w:eastAsia="zh-HK"/>
        </w:rPr>
        <w:t>set out</w:t>
      </w:r>
      <w:r>
        <w:t xml:space="preserve"> above, thus serving as an additional safeguard.</w:t>
      </w:r>
    </w:p>
    <w:p w:rsidR="00DF3CF7" w:rsidRDefault="00DF3CF7">
      <w:pPr>
        <w:rPr>
          <w:rFonts w:cs="Arial"/>
          <w:lang w:val="en-US" w:eastAsia="zh-HK"/>
        </w:rPr>
      </w:pPr>
    </w:p>
    <w:p w:rsidR="00DF3CF7" w:rsidRDefault="00DF3CF7">
      <w:pPr>
        <w:pStyle w:val="Heading4"/>
      </w:pPr>
      <w:r>
        <w:t>Investigation and sanction</w:t>
      </w:r>
    </w:p>
    <w:p w:rsidR="00DF3CF7" w:rsidRPr="0080334E" w:rsidRDefault="00DF3CF7">
      <w:pPr>
        <w:rPr>
          <w:rFonts w:cs="Arial"/>
          <w:sz w:val="20"/>
          <w:szCs w:val="20"/>
        </w:rPr>
      </w:pPr>
    </w:p>
    <w:p w:rsidR="00DF3CF7" w:rsidRDefault="00DF3CF7">
      <w:r>
        <w:t>8.57</w:t>
      </w:r>
      <w:r>
        <w:tab/>
      </w:r>
      <w:r>
        <w:tab/>
        <w:t xml:space="preserve">The GRS staff has to follow up upon any case of loss or unauthorised destruction of records by B/Ds, whether during the departmental records </w:t>
      </w:r>
      <w:r>
        <w:rPr>
          <w:lang w:eastAsia="zh-HK"/>
        </w:rPr>
        <w:t xml:space="preserve">management </w:t>
      </w:r>
      <w:r>
        <w:t>review or during the appraisal of records.  Statistics on loss or unauthorised destruction cases recorded in recent years are as follows:-</w:t>
      </w:r>
    </w:p>
    <w:p w:rsidR="00DF3CF7" w:rsidRPr="0080334E" w:rsidRDefault="00DF3CF7">
      <w:pPr>
        <w:rPr>
          <w:rFonts w:cs="Arial"/>
          <w:sz w:val="20"/>
          <w:szCs w:val="20"/>
        </w:rPr>
      </w:pPr>
    </w:p>
    <w:p w:rsidR="00DF3CF7" w:rsidRPr="00C37DEF" w:rsidRDefault="00DF3CF7">
      <w:pPr>
        <w:ind w:left="1440"/>
        <w:rPr>
          <w:rFonts w:cs="Arial"/>
        </w:rPr>
      </w:pPr>
      <w:r w:rsidRPr="00C37DEF">
        <w:rPr>
          <w:rFonts w:cs="Arial"/>
        </w:rPr>
        <w:t>2011: 16 cases</w:t>
      </w:r>
    </w:p>
    <w:p w:rsidR="00DF3CF7" w:rsidRPr="00C37DEF" w:rsidRDefault="00DF3CF7">
      <w:pPr>
        <w:ind w:left="1440"/>
        <w:rPr>
          <w:rFonts w:cs="Arial"/>
        </w:rPr>
      </w:pPr>
      <w:r w:rsidRPr="00C37DEF">
        <w:rPr>
          <w:rFonts w:cs="Arial"/>
        </w:rPr>
        <w:t>2012: 21 cases</w:t>
      </w:r>
    </w:p>
    <w:p w:rsidR="00DF3CF7" w:rsidRPr="00C37DEF" w:rsidRDefault="00DF3CF7">
      <w:pPr>
        <w:ind w:left="1440"/>
        <w:rPr>
          <w:rFonts w:cs="Arial"/>
        </w:rPr>
      </w:pPr>
      <w:r w:rsidRPr="00C37DEF">
        <w:rPr>
          <w:rFonts w:cs="Arial"/>
        </w:rPr>
        <w:t>2013: 39 cases</w:t>
      </w:r>
    </w:p>
    <w:p w:rsidR="00DF3CF7" w:rsidRPr="00C37DEF" w:rsidRDefault="00DF3CF7">
      <w:pPr>
        <w:ind w:left="1440"/>
        <w:rPr>
          <w:rFonts w:cs="Arial"/>
        </w:rPr>
      </w:pPr>
      <w:r w:rsidRPr="00C37DEF">
        <w:rPr>
          <w:rFonts w:cs="Arial"/>
        </w:rPr>
        <w:t>2014: 28 cases</w:t>
      </w:r>
    </w:p>
    <w:p w:rsidR="00DF3CF7" w:rsidRPr="00C37DEF" w:rsidRDefault="00DF3CF7">
      <w:pPr>
        <w:ind w:left="1440"/>
        <w:rPr>
          <w:rFonts w:cs="Arial"/>
        </w:rPr>
      </w:pPr>
      <w:r w:rsidRPr="00C37DEF">
        <w:rPr>
          <w:rFonts w:cs="Arial"/>
        </w:rPr>
        <w:t>2015: 26 cases</w:t>
      </w:r>
    </w:p>
    <w:p w:rsidR="00DF3CF7" w:rsidRPr="00C37DEF" w:rsidRDefault="00DF3CF7">
      <w:pPr>
        <w:ind w:left="1440"/>
        <w:rPr>
          <w:rFonts w:cs="Arial"/>
          <w:lang w:eastAsia="zh-HK"/>
        </w:rPr>
      </w:pPr>
      <w:r w:rsidRPr="00C37DEF">
        <w:rPr>
          <w:rFonts w:cs="Arial"/>
        </w:rPr>
        <w:t xml:space="preserve">2016: </w:t>
      </w:r>
      <w:r w:rsidRPr="00C37DEF">
        <w:rPr>
          <w:rFonts w:cs="Arial" w:hint="eastAsia"/>
          <w:lang w:eastAsia="zh-HK"/>
        </w:rPr>
        <w:t xml:space="preserve">31 </w:t>
      </w:r>
      <w:r w:rsidRPr="00C37DEF">
        <w:rPr>
          <w:rFonts w:cs="Arial"/>
        </w:rPr>
        <w:t xml:space="preserve">cases </w:t>
      </w:r>
    </w:p>
    <w:p w:rsidR="00DF3CF7" w:rsidRPr="00D86E22" w:rsidRDefault="00DF3CF7">
      <w:pPr>
        <w:ind w:left="1440"/>
        <w:rPr>
          <w:rFonts w:cs="Arial"/>
          <w:highlight w:val="lightGray"/>
        </w:rPr>
      </w:pPr>
      <w:r w:rsidRPr="00C37DEF">
        <w:rPr>
          <w:rFonts w:cs="Arial" w:hint="eastAsia"/>
          <w:lang w:eastAsia="zh-HK"/>
        </w:rPr>
        <w:t xml:space="preserve">2017: </w:t>
      </w:r>
      <w:r>
        <w:rPr>
          <w:rFonts w:cs="Arial"/>
          <w:lang w:eastAsia="zh-HK"/>
        </w:rPr>
        <w:t>33</w:t>
      </w:r>
      <w:r w:rsidRPr="00C37DEF">
        <w:rPr>
          <w:rFonts w:cs="Arial" w:hint="eastAsia"/>
          <w:lang w:eastAsia="zh-HK"/>
        </w:rPr>
        <w:t xml:space="preserve"> cases</w:t>
      </w:r>
      <w:r w:rsidRPr="00445491">
        <w:rPr>
          <w:rFonts w:cs="Arial"/>
          <w:vertAlign w:val="superscript"/>
        </w:rPr>
        <w:footnoteReference w:id="572"/>
      </w:r>
      <w:r w:rsidRPr="00445491">
        <w:rPr>
          <w:rFonts w:cs="Arial"/>
          <w:vertAlign w:val="superscript"/>
        </w:rPr>
        <w:t xml:space="preserve"> </w:t>
      </w:r>
    </w:p>
    <w:p w:rsidR="00DF3CF7" w:rsidRDefault="00DF3CF7">
      <w:pPr>
        <w:rPr>
          <w:rFonts w:cs="Arial"/>
          <w:lang w:eastAsia="zh-HK"/>
        </w:rPr>
      </w:pPr>
    </w:p>
    <w:p w:rsidR="00DF3CF7" w:rsidRPr="00D86E22" w:rsidRDefault="00DF3CF7">
      <w:pPr>
        <w:rPr>
          <w:highlight w:val="lightGray"/>
          <w:lang w:eastAsia="zh-HK"/>
        </w:rPr>
      </w:pPr>
      <w:r>
        <w:t>8.58</w:t>
      </w:r>
      <w:r>
        <w:tab/>
      </w:r>
      <w:r>
        <w:rPr>
          <w:rFonts w:hint="eastAsia"/>
        </w:rPr>
        <w:tab/>
      </w:r>
      <w:r>
        <w:t>As discussed above, disciplinary action may be taken against a government servant if he disobeys or, neglects or fails to observe, the mandatory requirements in GC09</w:t>
      </w:r>
      <w:r>
        <w:rPr>
          <w:rFonts w:hint="eastAsia"/>
          <w:lang w:eastAsia="zh-HK"/>
        </w:rPr>
        <w:t xml:space="preserve"> or other government regulations and circulars </w:t>
      </w:r>
      <w:r>
        <w:rPr>
          <w:lang w:eastAsia="zh-HK"/>
        </w:rPr>
        <w:t>pertaining</w:t>
      </w:r>
      <w:r>
        <w:rPr>
          <w:rFonts w:hint="eastAsia"/>
          <w:lang w:eastAsia="zh-HK"/>
        </w:rPr>
        <w:t xml:space="preserve"> to records management</w:t>
      </w:r>
      <w:r>
        <w:t xml:space="preserve">.  </w:t>
      </w:r>
      <w:r w:rsidRPr="00445491">
        <w:t xml:space="preserve">According to the updated figures from the GRS, in the three years from </w:t>
      </w:r>
      <w:r w:rsidRPr="00445491">
        <w:rPr>
          <w:lang w:eastAsia="zh-HK"/>
        </w:rPr>
        <w:t>2015 to 2017</w:t>
      </w:r>
      <w:r w:rsidRPr="00445491">
        <w:t xml:space="preserve"> B/Ds have instituted disciplinary actions against </w:t>
      </w:r>
      <w:r w:rsidRPr="00445491">
        <w:rPr>
          <w:lang w:eastAsia="zh-HK"/>
        </w:rPr>
        <w:t xml:space="preserve">12 </w:t>
      </w:r>
      <w:r w:rsidRPr="00445491">
        <w:t>staff who were involved in 11 loss or unauthorised destruction of records cases</w:t>
      </w:r>
      <w:r>
        <w:t>.</w:t>
      </w:r>
      <w:r>
        <w:rPr>
          <w:vertAlign w:val="superscript"/>
        </w:rPr>
        <w:footnoteReference w:id="573"/>
      </w:r>
      <w:r>
        <w:t xml:space="preserve"> </w:t>
      </w:r>
    </w:p>
    <w:p w:rsidR="00DF3CF7" w:rsidRDefault="00DF3CF7">
      <w:pPr>
        <w:rPr>
          <w:rFonts w:cs="Arial"/>
          <w:shd w:val="clear" w:color="auto" w:fill="FFFF99"/>
          <w:lang w:val="en-US" w:eastAsia="zh-HK"/>
        </w:rPr>
      </w:pPr>
    </w:p>
    <w:p w:rsidR="00DF3CF7" w:rsidRPr="00323CE9" w:rsidRDefault="00DF3CF7">
      <w:pPr>
        <w:rPr>
          <w:rFonts w:cs="Arial"/>
          <w:i/>
          <w:lang w:val="en-US" w:eastAsia="zh-HK"/>
        </w:rPr>
      </w:pPr>
      <w:r w:rsidRPr="00323CE9">
        <w:rPr>
          <w:rFonts w:cs="Arial"/>
          <w:i/>
          <w:lang w:val="en-US" w:eastAsia="zh-HK"/>
        </w:rPr>
        <w:t>Training</w:t>
      </w:r>
    </w:p>
    <w:p w:rsidR="00DF3CF7" w:rsidRPr="0080334E" w:rsidRDefault="00DF3CF7">
      <w:pPr>
        <w:rPr>
          <w:rFonts w:cs="Arial"/>
          <w:sz w:val="20"/>
          <w:szCs w:val="20"/>
          <w:lang w:val="en-US" w:eastAsia="zh-HK"/>
        </w:rPr>
      </w:pPr>
    </w:p>
    <w:p w:rsidR="00DF3CF7" w:rsidRDefault="00DF3CF7">
      <w:pPr>
        <w:rPr>
          <w:lang w:eastAsia="zh-HK"/>
        </w:rPr>
      </w:pPr>
      <w:r>
        <w:t>8.59</w:t>
      </w:r>
      <w:r>
        <w:tab/>
      </w:r>
      <w:r>
        <w:tab/>
        <w:t xml:space="preserve">Whilst sanction may deter non-compliance, training and education can be more effective in fostering a stronger culture of compliance.  The GRS is responsible for providing training to records management personnel and general records users in B/Ds, in the form of classes, topical or in-house seminars, briefings, workshops, etc.  </w:t>
      </w:r>
      <w:r>
        <w:rPr>
          <w:rFonts w:hint="eastAsia"/>
          <w:lang w:eastAsia="zh-HK"/>
        </w:rPr>
        <w:t xml:space="preserve">It </w:t>
      </w:r>
      <w:r>
        <w:t xml:space="preserve">has stepped up its efforts to promote best practices amongst all government employees and to impart knowledge and skills to DRMs, their assistants and registry supervisor or staff by offering tailored courses.  In 2017, a total of 2,476 government officers were trained through regular classroom courses.  Another 17 records management seminars and briefings, attended by 1,948 government officers, have been conducted for B/Ds on a need basis.  </w:t>
      </w:r>
      <w:r>
        <w:rPr>
          <w:rFonts w:hint="eastAsia"/>
          <w:lang w:eastAsia="zh-HK"/>
        </w:rPr>
        <w:t xml:space="preserve">In each B/D, the </w:t>
      </w:r>
      <w:r>
        <w:t xml:space="preserve">DRM is responsible for providing records management staff with appropriate training </w:t>
      </w:r>
      <w:r>
        <w:lastRenderedPageBreak/>
        <w:t>and guidance to supplement that provided by the GRS, having regard to the specific operational needs of the B/D concerned.</w:t>
      </w:r>
      <w:r>
        <w:rPr>
          <w:rFonts w:hint="eastAsia"/>
          <w:lang w:eastAsia="zh-HK"/>
        </w:rPr>
        <w:t xml:space="preserve">  In parallel</w:t>
      </w:r>
      <w:r>
        <w:t xml:space="preserve">, the GRS has been developing web-based training and self-learning materials to assist government officers.  </w:t>
      </w:r>
    </w:p>
    <w:p w:rsidR="00DF3CF7" w:rsidRPr="00D86E22" w:rsidRDefault="00DF3CF7">
      <w:pPr>
        <w:rPr>
          <w:rFonts w:cs="Arial"/>
          <w:highlight w:val="lightGray"/>
          <w:lang w:eastAsia="zh-HK"/>
        </w:rPr>
      </w:pPr>
    </w:p>
    <w:p w:rsidR="00DF3CF7" w:rsidRDefault="00DF3CF7">
      <w:r>
        <w:t>8.60</w:t>
      </w:r>
      <w:r>
        <w:tab/>
      </w:r>
      <w:r>
        <w:tab/>
        <w:t xml:space="preserve">The GRS has also drawn up a comprehensive three-year training programme, setting out the strategy for providing effective and adequate training opportunities to meet the needs and requirement of B/Ds on records management.  </w:t>
      </w:r>
    </w:p>
    <w:p w:rsidR="00DF3CF7" w:rsidRDefault="00DF3CF7">
      <w:pPr>
        <w:rPr>
          <w:rFonts w:cs="Arial"/>
          <w:lang w:val="en-US"/>
        </w:rPr>
      </w:pPr>
    </w:p>
    <w:p w:rsidR="00DF3CF7" w:rsidRDefault="00DF3CF7">
      <w:pPr>
        <w:rPr>
          <w:rFonts w:cs="Arial"/>
          <w:lang w:val="en-US"/>
        </w:rPr>
      </w:pPr>
    </w:p>
    <w:p w:rsidR="00DF3CF7" w:rsidRDefault="00DF3CF7">
      <w:pPr>
        <w:pStyle w:val="Heading3"/>
      </w:pPr>
      <w:r>
        <w:t>Law and practice in other jurisdictions</w:t>
      </w:r>
    </w:p>
    <w:p w:rsidR="00DF3CF7" w:rsidRDefault="00DF3CF7">
      <w:pPr>
        <w:keepNext/>
        <w:rPr>
          <w:rFonts w:cs="Arial"/>
        </w:rPr>
      </w:pPr>
    </w:p>
    <w:p w:rsidR="00DF3CF7" w:rsidRDefault="00DF3CF7">
      <w:pPr>
        <w:pStyle w:val="Heading4"/>
      </w:pPr>
      <w:r>
        <w:t>Australia</w:t>
      </w:r>
    </w:p>
    <w:p w:rsidR="00DF3CF7" w:rsidRDefault="00DF3CF7">
      <w:pPr>
        <w:rPr>
          <w:rFonts w:cs="Arial"/>
        </w:rPr>
      </w:pPr>
    </w:p>
    <w:p w:rsidR="00DF3CF7" w:rsidRDefault="00DF3CF7">
      <w:pPr>
        <w:rPr>
          <w:rFonts w:cs="Arial"/>
        </w:rPr>
      </w:pPr>
      <w:r>
        <w:rPr>
          <w:rFonts w:cs="Arial"/>
        </w:rPr>
        <w:t>8.61</w:t>
      </w:r>
      <w:r>
        <w:rPr>
          <w:rFonts w:cs="Arial"/>
        </w:rPr>
        <w:tab/>
      </w:r>
      <w:r>
        <w:rPr>
          <w:rFonts w:cs="Arial"/>
        </w:rPr>
        <w:tab/>
        <w:t xml:space="preserve">As discussed under the heading "Regulating compliance under an administrative framework" above, certain dealings with Commonwealth records, including unauthorised destruction, will attract criminal sanction under section 24 or section 26 of the 1983 Act.   </w:t>
      </w:r>
    </w:p>
    <w:p w:rsidR="00DF3CF7" w:rsidRDefault="00DF3CF7">
      <w:pPr>
        <w:rPr>
          <w:rFonts w:cs="Arial"/>
          <w:shd w:val="clear" w:color="auto" w:fill="FFFF99"/>
        </w:rPr>
      </w:pPr>
    </w:p>
    <w:p w:rsidR="00DF3CF7" w:rsidRDefault="00DF3CF7">
      <w:pPr>
        <w:rPr>
          <w:lang w:val="en-US"/>
        </w:rPr>
      </w:pPr>
      <w:r>
        <w:rPr>
          <w:lang w:val="en-US"/>
        </w:rPr>
        <w:t xml:space="preserve">8.62 </w:t>
      </w:r>
      <w:r>
        <w:rPr>
          <w:lang w:val="en-US"/>
        </w:rPr>
        <w:tab/>
      </w:r>
      <w:r>
        <w:rPr>
          <w:lang w:val="en-US"/>
        </w:rPr>
        <w:tab/>
        <w:t>While there have been suspected cases of destruction of public records reported in the media</w:t>
      </w:r>
      <w:r>
        <w:rPr>
          <w:rFonts w:hint="eastAsia"/>
          <w:lang w:val="en-US"/>
        </w:rPr>
        <w:t>,</w:t>
      </w:r>
      <w:r>
        <w:rPr>
          <w:rStyle w:val="FootnoteReference"/>
          <w:rFonts w:cs="Arial"/>
          <w:lang w:val="en-US"/>
        </w:rPr>
        <w:footnoteReference w:id="574"/>
      </w:r>
      <w:r>
        <w:rPr>
          <w:lang w:val="en-US"/>
        </w:rPr>
        <w:t xml:space="preserve"> we are, however, unable to find in our research any reported prosecution brought under either section 24 or section 26 of the 1983 Act.</w:t>
      </w:r>
      <w:r>
        <w:rPr>
          <w:rStyle w:val="FootnoteReference"/>
          <w:rFonts w:cs="Arial"/>
          <w:lang w:val="en-US"/>
        </w:rPr>
        <w:footnoteReference w:id="575"/>
      </w:r>
      <w:r>
        <w:rPr>
          <w:lang w:val="en-US"/>
        </w:rPr>
        <w:t xml:space="preserve">    </w:t>
      </w:r>
    </w:p>
    <w:p w:rsidR="00DF3CF7" w:rsidRDefault="00DF3CF7">
      <w:pPr>
        <w:rPr>
          <w:rFonts w:cs="Arial"/>
          <w:lang w:val="en-US"/>
        </w:rPr>
      </w:pPr>
    </w:p>
    <w:p w:rsidR="00DF3CF7" w:rsidRDefault="00DF3CF7">
      <w:r>
        <w:rPr>
          <w:lang w:val="en-US"/>
        </w:rPr>
        <w:t>8.63</w:t>
      </w:r>
      <w:r>
        <w:rPr>
          <w:lang w:val="en-US"/>
        </w:rPr>
        <w:tab/>
      </w:r>
      <w:r>
        <w:rPr>
          <w:lang w:val="en-US"/>
        </w:rPr>
        <w:tab/>
        <w:t>The NAA may, on request, assist Commonwealth institutions in providing training to persons responsible for the keeping of current Commonwealth records or train or assist in the training of other persons responsible for records and archives related work.</w:t>
      </w:r>
      <w:r>
        <w:rPr>
          <w:rStyle w:val="FootnoteReference"/>
          <w:lang w:val="en-US"/>
        </w:rPr>
        <w:footnoteReference w:id="576"/>
      </w:r>
    </w:p>
    <w:p w:rsidR="00DF3CF7" w:rsidRDefault="00DF3CF7">
      <w:pPr>
        <w:rPr>
          <w:rFonts w:cs="Arial"/>
          <w:lang w:val="en-US"/>
        </w:rPr>
      </w:pPr>
    </w:p>
    <w:p w:rsidR="00DF3CF7" w:rsidRDefault="00DF3CF7">
      <w:pPr>
        <w:pStyle w:val="Heading4"/>
      </w:pPr>
      <w:r>
        <w:t>England</w:t>
      </w:r>
    </w:p>
    <w:p w:rsidR="00DF3CF7" w:rsidRDefault="00DF3CF7">
      <w:pPr>
        <w:keepNext/>
        <w:rPr>
          <w:rFonts w:cs="Arial"/>
          <w:lang w:val="en-US"/>
        </w:rPr>
      </w:pPr>
    </w:p>
    <w:p w:rsidR="00DF3CF7" w:rsidRDefault="00DF3CF7">
      <w:pPr>
        <w:rPr>
          <w:lang w:val="en-US"/>
        </w:rPr>
      </w:pPr>
      <w:r>
        <w:rPr>
          <w:lang w:val="en-US"/>
        </w:rPr>
        <w:t>8.64</w:t>
      </w:r>
      <w:r>
        <w:rPr>
          <w:lang w:val="en-US"/>
        </w:rPr>
        <w:tab/>
      </w:r>
      <w:r>
        <w:rPr>
          <w:lang w:val="en-US"/>
        </w:rPr>
        <w:tab/>
        <w:t>The 1958 Act does not contain any offence provision, although under the FOIA 2000, it is an offence for a public authority or its employee or officer to, after a request for information has been made to the public authority, alter, deface, destroy, erase any records with intent to prevent disclosure by the authority.</w:t>
      </w:r>
      <w:r>
        <w:rPr>
          <w:rStyle w:val="FootnoteReference"/>
          <w:rFonts w:cs="Arial"/>
          <w:lang w:val="en-US"/>
        </w:rPr>
        <w:footnoteReference w:id="577"/>
      </w:r>
      <w:r>
        <w:rPr>
          <w:lang w:val="en-US"/>
        </w:rPr>
        <w:t xml:space="preserve"> </w:t>
      </w:r>
    </w:p>
    <w:p w:rsidR="00DF3CF7" w:rsidRDefault="00DF3CF7">
      <w:pPr>
        <w:rPr>
          <w:rFonts w:cs="Arial"/>
          <w:lang w:val="en-US"/>
        </w:rPr>
      </w:pPr>
    </w:p>
    <w:p w:rsidR="00DF3CF7" w:rsidRDefault="00DF3CF7" w:rsidP="004B58B0">
      <w:pPr>
        <w:widowControl/>
        <w:rPr>
          <w:lang w:val="en-US"/>
        </w:rPr>
      </w:pPr>
      <w:r>
        <w:rPr>
          <w:lang w:val="en-US"/>
        </w:rPr>
        <w:lastRenderedPageBreak/>
        <w:t>8.65</w:t>
      </w:r>
      <w:r>
        <w:rPr>
          <w:lang w:val="en-US"/>
        </w:rPr>
        <w:tab/>
      </w:r>
      <w:r>
        <w:rPr>
          <w:lang w:val="en-US"/>
        </w:rPr>
        <w:tab/>
        <w:t>Where the loss or unauthorised destruction of public records is the result of non-compliance with the Lord Chancellor's Code,</w:t>
      </w:r>
      <w:r>
        <w:rPr>
          <w:rStyle w:val="FootnoteReference"/>
          <w:rFonts w:cs="Arial"/>
          <w:lang w:val="en-US"/>
        </w:rPr>
        <w:footnoteReference w:id="578"/>
      </w:r>
      <w:r>
        <w:rPr>
          <w:lang w:val="en-US"/>
        </w:rPr>
        <w:t xml:space="preserve"> the public authority concerned may be issued with a "practice recommendation" by the Information Commissioner as discussed above under the heading "</w:t>
      </w:r>
      <w:r>
        <w:t>Regulating compliance under an administrative framework</w:t>
      </w:r>
      <w:r>
        <w:rPr>
          <w:lang w:val="en-US"/>
        </w:rPr>
        <w:t xml:space="preserve">". </w:t>
      </w:r>
    </w:p>
    <w:p w:rsidR="00DF3CF7" w:rsidRDefault="00DF3CF7">
      <w:pPr>
        <w:rPr>
          <w:rFonts w:cs="Arial"/>
          <w:lang w:val="en-US"/>
        </w:rPr>
      </w:pPr>
    </w:p>
    <w:p w:rsidR="00DF3CF7" w:rsidRDefault="00DF3CF7">
      <w:pPr>
        <w:rPr>
          <w:lang w:val="en-US"/>
        </w:rPr>
      </w:pPr>
      <w:r>
        <w:rPr>
          <w:lang w:val="en-US"/>
        </w:rPr>
        <w:t>8.66</w:t>
      </w:r>
      <w:r>
        <w:rPr>
          <w:lang w:val="en-US"/>
        </w:rPr>
        <w:tab/>
      </w:r>
      <w:r>
        <w:rPr>
          <w:lang w:val="en-US"/>
        </w:rPr>
        <w:tab/>
        <w:t xml:space="preserve">Both TNA and the </w:t>
      </w:r>
      <w:r>
        <w:rPr>
          <w:lang w:val="en-US" w:eastAsia="zh-HK"/>
        </w:rPr>
        <w:t xml:space="preserve">Secretary of State (formerly the Lord Chancellor) </w:t>
      </w:r>
      <w:r>
        <w:rPr>
          <w:lang w:val="en-US"/>
        </w:rPr>
        <w:t>provide guidance to public record bodies on proper safekeeping and disposal of public records.</w:t>
      </w:r>
    </w:p>
    <w:p w:rsidR="00DF3CF7" w:rsidRDefault="00DF3CF7">
      <w:pPr>
        <w:pStyle w:val="Heading3"/>
        <w:keepNext w:val="0"/>
        <w:rPr>
          <w:rFonts w:cs="Arial"/>
        </w:rPr>
      </w:pPr>
    </w:p>
    <w:p w:rsidR="00DF3CF7" w:rsidRDefault="00DF3CF7">
      <w:pPr>
        <w:pStyle w:val="Heading4"/>
      </w:pPr>
      <w:r>
        <w:t>Ireland</w:t>
      </w:r>
    </w:p>
    <w:p w:rsidR="00DF3CF7" w:rsidRDefault="00DF3CF7">
      <w:pPr>
        <w:keepNext/>
        <w:rPr>
          <w:rFonts w:cs="Arial"/>
          <w:lang w:val="en-US"/>
        </w:rPr>
      </w:pPr>
    </w:p>
    <w:p w:rsidR="00DF3CF7" w:rsidRDefault="00DF3CF7">
      <w:pPr>
        <w:rPr>
          <w:i/>
          <w:lang w:val="en-US"/>
        </w:rPr>
      </w:pPr>
      <w:r>
        <w:rPr>
          <w:lang w:val="en-US"/>
        </w:rPr>
        <w:t>8.67</w:t>
      </w:r>
      <w:r>
        <w:rPr>
          <w:lang w:val="en-US"/>
        </w:rPr>
        <w:tab/>
      </w:r>
      <w:r>
        <w:rPr>
          <w:lang w:val="en-US"/>
        </w:rPr>
        <w:tab/>
        <w:t>As noted above under the heading "</w:t>
      </w:r>
      <w:r>
        <w:t>Regulating compliance under an administrative framework</w:t>
      </w:r>
      <w:r>
        <w:rPr>
          <w:lang w:val="en-US"/>
        </w:rPr>
        <w:t xml:space="preserve">", section 18 of the 1986 Act criminalises several specific conducts including the unauthorised destruction of </w:t>
      </w:r>
      <w:r>
        <w:rPr>
          <w:i/>
          <w:lang w:val="en-US"/>
        </w:rPr>
        <w:t xml:space="preserve">archives </w:t>
      </w:r>
      <w:r>
        <w:rPr>
          <w:lang w:val="en-US"/>
        </w:rPr>
        <w:t>(as opposed to Departmental records)</w:t>
      </w:r>
      <w:r>
        <w:rPr>
          <w:i/>
          <w:lang w:val="en-US"/>
        </w:rPr>
        <w:t xml:space="preserve">.  </w:t>
      </w:r>
      <w:r>
        <w:rPr>
          <w:lang w:val="en-US"/>
        </w:rPr>
        <w:t xml:space="preserve">This penalty is brought to the attention of the users of the NAI through the </w:t>
      </w:r>
      <w:r>
        <w:rPr>
          <w:i/>
          <w:lang w:val="en-US"/>
        </w:rPr>
        <w:t>Rules for Readers</w:t>
      </w:r>
      <w:r>
        <w:rPr>
          <w:lang w:val="en-US"/>
        </w:rPr>
        <w:t>, which stipulates that "</w:t>
      </w:r>
      <w:r>
        <w:rPr>
          <w:i/>
          <w:lang w:val="en-US"/>
        </w:rPr>
        <w:t>[t]heft or concealment of archives and wilful damage to archives are criminal offences under [section 18 of the 1986 Act]</w:t>
      </w:r>
      <w:r>
        <w:rPr>
          <w:rFonts w:hint="eastAsia"/>
          <w:i/>
          <w:spacing w:val="-20"/>
          <w:lang w:val="en-US"/>
        </w:rPr>
        <w:t xml:space="preserve"> </w:t>
      </w:r>
      <w:r>
        <w:rPr>
          <w:lang w:val="en-US"/>
        </w:rPr>
        <w:t>".</w:t>
      </w:r>
      <w:r>
        <w:rPr>
          <w:rStyle w:val="FootnoteReference"/>
          <w:rFonts w:cs="Arial"/>
          <w:lang w:val="en-US"/>
        </w:rPr>
        <w:footnoteReference w:id="579"/>
      </w:r>
    </w:p>
    <w:p w:rsidR="00DF3CF7" w:rsidRDefault="00DF3CF7">
      <w:pPr>
        <w:rPr>
          <w:rFonts w:cs="Arial"/>
          <w:lang w:val="en-US"/>
        </w:rPr>
      </w:pPr>
    </w:p>
    <w:p w:rsidR="00DF3CF7" w:rsidRDefault="00DF3CF7">
      <w:pPr>
        <w:rPr>
          <w:rFonts w:cs="Arial"/>
        </w:rPr>
      </w:pPr>
      <w:r>
        <w:t xml:space="preserve"> </w:t>
      </w:r>
    </w:p>
    <w:p w:rsidR="00DF3CF7" w:rsidRDefault="00DF3CF7">
      <w:pPr>
        <w:rPr>
          <w:lang w:val="en-US" w:eastAsia="zh-HK"/>
        </w:rPr>
      </w:pPr>
      <w:r>
        <w:rPr>
          <w:lang w:val="en-US"/>
        </w:rPr>
        <w:t>8.68</w:t>
      </w:r>
      <w:r>
        <w:rPr>
          <w:lang w:val="en-US"/>
        </w:rPr>
        <w:tab/>
      </w:r>
      <w:r>
        <w:rPr>
          <w:lang w:val="en-US"/>
        </w:rPr>
        <w:tab/>
        <w:t>Under the 1986 Act, the Director of National Archives is responsible for giving advice to Government member or any public service organisation on the proper management and preservation of records.</w:t>
      </w:r>
      <w:r>
        <w:rPr>
          <w:rStyle w:val="FootnoteReference"/>
          <w:lang w:val="en-US"/>
        </w:rPr>
        <w:footnoteReference w:id="580"/>
      </w:r>
    </w:p>
    <w:p w:rsidR="00DF3CF7" w:rsidRDefault="00DF3CF7">
      <w:pPr>
        <w:rPr>
          <w:rFonts w:cs="Arial"/>
          <w:lang w:val="en-US"/>
        </w:rPr>
      </w:pPr>
    </w:p>
    <w:p w:rsidR="00DF3CF7" w:rsidRDefault="00DF3CF7">
      <w:pPr>
        <w:pStyle w:val="Heading4"/>
      </w:pPr>
      <w:r>
        <w:t>New Zealand</w:t>
      </w:r>
    </w:p>
    <w:p w:rsidR="00DF3CF7" w:rsidRDefault="00DF3CF7">
      <w:pPr>
        <w:keepNext/>
        <w:rPr>
          <w:rFonts w:cs="Arial"/>
          <w:lang w:val="en-US"/>
        </w:rPr>
      </w:pPr>
    </w:p>
    <w:p w:rsidR="00DF3CF7" w:rsidRDefault="00DF3CF7">
      <w:r>
        <w:t>8.69</w:t>
      </w:r>
      <w:r>
        <w:tab/>
      </w:r>
      <w:r>
        <w:tab/>
        <w:t>As noted under the heading "Regulating compliance under an administrative framework" above, unauthorised destruction of public records, whether committed wilfully or negligently, is a criminal offence.</w:t>
      </w:r>
      <w:r>
        <w:rPr>
          <w:rStyle w:val="FootnoteReference"/>
          <w:rFonts w:cs="Arial"/>
        </w:rPr>
        <w:footnoteReference w:id="581"/>
      </w:r>
      <w:r>
        <w:t xml:space="preserve"> </w:t>
      </w:r>
    </w:p>
    <w:p w:rsidR="00DF3CF7" w:rsidRDefault="00DF3CF7">
      <w:pPr>
        <w:rPr>
          <w:rFonts w:cs="Arial"/>
        </w:rPr>
      </w:pPr>
    </w:p>
    <w:p w:rsidR="00DF3CF7" w:rsidRDefault="00DF3CF7">
      <w:pPr>
        <w:rPr>
          <w:lang w:val="en-US"/>
        </w:rPr>
      </w:pPr>
      <w:r>
        <w:rPr>
          <w:lang w:val="en-US"/>
        </w:rPr>
        <w:t>8.70</w:t>
      </w:r>
      <w:r>
        <w:rPr>
          <w:lang w:val="en-US"/>
        </w:rPr>
        <w:tab/>
      </w:r>
      <w:r>
        <w:rPr>
          <w:lang w:val="en-US"/>
        </w:rPr>
        <w:tab/>
        <w:t>The Chief Archivist may, from time to time, provide training services on records management for a fee as agreed by the Chief Archivist and the relevant administrative head of the public office or local authority.</w:t>
      </w:r>
      <w:r>
        <w:rPr>
          <w:rStyle w:val="FootnoteReference"/>
          <w:rFonts w:cs="Arial"/>
          <w:lang w:val="en-US"/>
        </w:rPr>
        <w:footnoteReference w:id="582"/>
      </w:r>
    </w:p>
    <w:p w:rsidR="00DF3CF7" w:rsidRDefault="00DF3CF7">
      <w:pPr>
        <w:rPr>
          <w:rFonts w:cs="Arial"/>
        </w:rPr>
      </w:pPr>
    </w:p>
    <w:p w:rsidR="00DF3CF7" w:rsidRDefault="00DF3CF7">
      <w:pPr>
        <w:pStyle w:val="Heading4"/>
      </w:pPr>
      <w:r>
        <w:t>Singapore</w:t>
      </w:r>
    </w:p>
    <w:p w:rsidR="00DF3CF7" w:rsidRDefault="00DF3CF7">
      <w:pPr>
        <w:rPr>
          <w:rFonts w:cs="Arial"/>
          <w:b/>
        </w:rPr>
      </w:pPr>
    </w:p>
    <w:p w:rsidR="00DF3CF7" w:rsidRDefault="00DF3CF7">
      <w:r>
        <w:t>8.71</w:t>
      </w:r>
      <w:r>
        <w:tab/>
      </w:r>
      <w:r>
        <w:tab/>
        <w:t xml:space="preserve">Section 14D </w:t>
      </w:r>
      <w:r>
        <w:rPr>
          <w:rFonts w:hint="eastAsia"/>
          <w:lang w:eastAsia="zh-HK"/>
        </w:rPr>
        <w:t xml:space="preserve">of </w:t>
      </w:r>
      <w:r>
        <w:rPr>
          <w:lang w:eastAsia="zh-HK"/>
        </w:rPr>
        <w:t xml:space="preserve">the </w:t>
      </w:r>
      <w:r>
        <w:rPr>
          <w:rFonts w:hint="eastAsia"/>
          <w:lang w:eastAsia="zh-HK"/>
        </w:rPr>
        <w:t xml:space="preserve">NLBA </w:t>
      </w:r>
      <w:r>
        <w:t>prohibits any person from destroying, otherwise disposing, or authorising the destruction or disposal of, any public records in his possession or control without the NLB's authorisation and any person intending to do any of these things must first notify the NLB.</w:t>
      </w:r>
      <w:r>
        <w:rPr>
          <w:rStyle w:val="FootnoteReference"/>
          <w:rFonts w:cs="Arial"/>
        </w:rPr>
        <w:footnoteReference w:id="583"/>
      </w:r>
      <w:r>
        <w:t xml:space="preserve"> </w:t>
      </w:r>
    </w:p>
    <w:p w:rsidR="00DF3CF7" w:rsidRDefault="00DF3CF7">
      <w:pPr>
        <w:rPr>
          <w:rFonts w:cs="Arial"/>
        </w:rPr>
      </w:pPr>
    </w:p>
    <w:p w:rsidR="00DF3CF7" w:rsidRDefault="00DF3CF7">
      <w:r>
        <w:t>8.72</w:t>
      </w:r>
      <w:r>
        <w:tab/>
      </w:r>
      <w:r>
        <w:tab/>
        <w:t>Whilst the NLBA does not specify the consequence of breach of section 14D, it appears that the following general provision from the Penal Code, Cap 224 can be prayed in aid:-</w:t>
      </w:r>
    </w:p>
    <w:p w:rsidR="00DF3CF7" w:rsidRDefault="00DF3CF7">
      <w:pPr>
        <w:rPr>
          <w:rFonts w:cs="Arial"/>
          <w:lang w:val="en-US"/>
        </w:rPr>
      </w:pPr>
    </w:p>
    <w:p w:rsidR="00DF3CF7" w:rsidRDefault="00DF3CF7">
      <w:pPr>
        <w:pStyle w:val="BlockText"/>
        <w:rPr>
          <w:lang w:val="en-US"/>
        </w:rPr>
      </w:pPr>
      <w:r w:rsidRPr="00891280">
        <w:rPr>
          <w:i w:val="0"/>
          <w:lang w:val="en-US"/>
        </w:rPr>
        <w:t>"</w:t>
      </w:r>
      <w:r>
        <w:rPr>
          <w:lang w:val="en-US"/>
        </w:rPr>
        <w:t>Whoever does anything which by any law in force in Singapore he is prohibited from doing, or omits to do anything which he is so enjoined to do, shall, when no special punishment is provided by the law for such commission or omission, be punished with  fine not exceeding $2,000.</w:t>
      </w:r>
      <w:r w:rsidRPr="00891280">
        <w:rPr>
          <w:i w:val="0"/>
          <w:lang w:val="en-US"/>
        </w:rPr>
        <w:t>"</w:t>
      </w:r>
      <w:r>
        <w:rPr>
          <w:rFonts w:hint="eastAsia"/>
          <w:spacing w:val="-20"/>
          <w:lang w:val="en-US"/>
        </w:rPr>
        <w:t xml:space="preserve"> </w:t>
      </w:r>
      <w:r>
        <w:rPr>
          <w:rStyle w:val="FootnoteReference"/>
          <w:rFonts w:cs="Arial"/>
          <w:i w:val="0"/>
          <w:lang w:val="en-US"/>
        </w:rPr>
        <w:footnoteReference w:id="584"/>
      </w:r>
    </w:p>
    <w:p w:rsidR="00DF3CF7" w:rsidRDefault="00DF3CF7">
      <w:pPr>
        <w:rPr>
          <w:rFonts w:cs="Arial"/>
        </w:rPr>
      </w:pPr>
    </w:p>
    <w:p w:rsidR="00DF3CF7" w:rsidRDefault="00DF3CF7">
      <w:r>
        <w:rPr>
          <w:lang w:eastAsia="zh-HK"/>
        </w:rPr>
        <w:t>8.73</w:t>
      </w:r>
      <w:r>
        <w:tab/>
      </w:r>
      <w:r>
        <w:tab/>
        <w:t xml:space="preserve">The position is less clear, however, when it comes to a breach of provisions such as section 14C, which requires records to be transferred to the NLB without specifying the person responsible for doing so.  </w:t>
      </w:r>
    </w:p>
    <w:p w:rsidR="00DF3CF7" w:rsidRDefault="00DF3CF7">
      <w:pPr>
        <w:rPr>
          <w:rFonts w:cs="Arial"/>
          <w:lang w:val="en-US"/>
        </w:rPr>
      </w:pPr>
    </w:p>
    <w:p w:rsidR="00DF3CF7" w:rsidRPr="00445491" w:rsidRDefault="00DF3CF7">
      <w:pPr>
        <w:rPr>
          <w:rFonts w:cs="Arial"/>
          <w:lang w:val="en-US"/>
        </w:rPr>
      </w:pPr>
      <w:r>
        <w:rPr>
          <w:rFonts w:cs="Arial"/>
          <w:lang w:val="en-US"/>
        </w:rPr>
        <w:t>8.74</w:t>
      </w:r>
      <w:r>
        <w:rPr>
          <w:rFonts w:cs="Arial"/>
          <w:lang w:val="en-US"/>
        </w:rPr>
        <w:tab/>
      </w:r>
      <w:r>
        <w:rPr>
          <w:rFonts w:cs="Arial"/>
          <w:lang w:val="en-US"/>
        </w:rPr>
        <w:tab/>
        <w:t xml:space="preserve">One of NLB's duties </w:t>
      </w:r>
      <w:r>
        <w:t>is to advise public offices on the standards and procedures pertaining to the management of public records.</w:t>
      </w:r>
      <w:r>
        <w:rPr>
          <w:rStyle w:val="FootnoteReference"/>
        </w:rPr>
        <w:footnoteReference w:id="585"/>
      </w:r>
    </w:p>
    <w:p w:rsidR="00DF3CF7" w:rsidRDefault="00DF3CF7">
      <w:pPr>
        <w:rPr>
          <w:rFonts w:cs="Arial"/>
          <w:b/>
          <w:sz w:val="28"/>
          <w:szCs w:val="28"/>
          <w:lang w:val="en-US"/>
        </w:rPr>
      </w:pPr>
    </w:p>
    <w:p w:rsidR="00DF3CF7" w:rsidRDefault="00DF3CF7">
      <w:pPr>
        <w:rPr>
          <w:rFonts w:cs="Arial"/>
          <w:i/>
          <w:lang w:val="en-US"/>
        </w:rPr>
      </w:pPr>
      <w:r>
        <w:rPr>
          <w:rFonts w:cs="Arial"/>
          <w:i/>
          <w:lang w:val="en-US"/>
        </w:rPr>
        <w:t>Summary</w:t>
      </w:r>
    </w:p>
    <w:p w:rsidR="00DF3CF7" w:rsidRDefault="00DF3CF7">
      <w:pPr>
        <w:rPr>
          <w:rFonts w:cs="Arial"/>
          <w:i/>
          <w:lang w:val="en-US"/>
        </w:rPr>
      </w:pPr>
    </w:p>
    <w:p w:rsidR="00DF3CF7" w:rsidRDefault="00DF3CF7">
      <w:pPr>
        <w:rPr>
          <w:rFonts w:cs="Arial"/>
          <w:lang w:val="en-US"/>
        </w:rPr>
      </w:pPr>
      <w:r>
        <w:rPr>
          <w:rFonts w:cs="Arial"/>
          <w:lang w:val="en-US"/>
        </w:rPr>
        <w:t>8.75</w:t>
      </w:r>
      <w:r>
        <w:rPr>
          <w:rFonts w:cs="Arial"/>
          <w:lang w:val="en-US"/>
        </w:rPr>
        <w:tab/>
        <w:t>The archives law in Australia, Ireland, New Zealand and Singapore outlaws unauthorised destruction of records (and other similarly serious conducts).</w:t>
      </w:r>
      <w:r>
        <w:rPr>
          <w:rStyle w:val="FootnoteReference"/>
          <w:rFonts w:cs="Arial"/>
          <w:lang w:val="en-US"/>
        </w:rPr>
        <w:footnoteReference w:id="586"/>
      </w:r>
      <w:r>
        <w:rPr>
          <w:rFonts w:cs="Arial"/>
          <w:lang w:val="en-US"/>
        </w:rPr>
        <w:t xml:space="preserve">  In England, the 1958 Act does not create any offence, whilst the FOIA 2000 contains an offence criminalising, amongst other things, the destruction of a record with intent to prevent disclosure after a request for information has been made.  Where the loss or unauthorised destruction of public records is the result of non-compliance with the Lord Chancellor's Code, the public authority concerned may be issued with a "practice recommendation".  </w:t>
      </w:r>
    </w:p>
    <w:p w:rsidR="00DF3CF7" w:rsidRDefault="00DF3CF7">
      <w:pPr>
        <w:rPr>
          <w:rFonts w:cs="Arial"/>
          <w:lang w:val="en-US"/>
        </w:rPr>
      </w:pPr>
    </w:p>
    <w:p w:rsidR="00DF3CF7" w:rsidRPr="00445491" w:rsidRDefault="00DF3CF7" w:rsidP="00DF3CF7">
      <w:pPr>
        <w:rPr>
          <w:highlight w:val="yellow"/>
          <w:lang w:val="en-US"/>
        </w:rPr>
      </w:pPr>
      <w:r>
        <w:rPr>
          <w:rFonts w:cs="Arial"/>
          <w:lang w:val="en-US"/>
        </w:rPr>
        <w:t>8.76</w:t>
      </w:r>
      <w:r>
        <w:rPr>
          <w:rFonts w:cs="Arial"/>
          <w:lang w:val="en-US"/>
        </w:rPr>
        <w:tab/>
      </w:r>
      <w:r>
        <w:rPr>
          <w:rFonts w:cs="Arial"/>
          <w:lang w:val="en-US"/>
        </w:rPr>
        <w:tab/>
        <w:t xml:space="preserve">In all five jurisdictions studied, the archival authorities also provide training, guidance, or advice on records and archives management.  </w:t>
      </w:r>
    </w:p>
    <w:p w:rsidR="00DF3CF7" w:rsidRPr="00F460E5" w:rsidRDefault="00DF3CF7" w:rsidP="00DF3CF7">
      <w:pPr>
        <w:rPr>
          <w:highlight w:val="yellow"/>
        </w:rPr>
      </w:pPr>
    </w:p>
    <w:p w:rsidR="00DF3CF7" w:rsidRDefault="00DF3CF7">
      <w:pPr>
        <w:keepNext/>
        <w:rPr>
          <w:b/>
          <w:sz w:val="28"/>
        </w:rPr>
      </w:pPr>
      <w:r w:rsidRPr="00445491">
        <w:rPr>
          <w:b/>
          <w:sz w:val="28"/>
        </w:rPr>
        <w:lastRenderedPageBreak/>
        <w:t xml:space="preserve">Our </w:t>
      </w:r>
      <w:r w:rsidRPr="00EF15D7">
        <w:rPr>
          <w:rFonts w:hint="eastAsia"/>
          <w:b/>
          <w:sz w:val="28"/>
        </w:rPr>
        <w:t>p</w:t>
      </w:r>
      <w:r w:rsidRPr="00445491">
        <w:rPr>
          <w:b/>
          <w:sz w:val="28"/>
        </w:rPr>
        <w:t xml:space="preserve">rovisional </w:t>
      </w:r>
      <w:r w:rsidRPr="00EF15D7">
        <w:rPr>
          <w:rFonts w:hint="eastAsia"/>
          <w:b/>
          <w:sz w:val="28"/>
        </w:rPr>
        <w:t>v</w:t>
      </w:r>
      <w:r w:rsidRPr="00445491">
        <w:rPr>
          <w:b/>
          <w:sz w:val="28"/>
        </w:rPr>
        <w:t>iews</w:t>
      </w:r>
    </w:p>
    <w:p w:rsidR="00DF3CF7" w:rsidRDefault="00DF3CF7">
      <w:pPr>
        <w:keepNext/>
        <w:rPr>
          <w:rFonts w:cs="Arial"/>
          <w:i/>
          <w:sz w:val="28"/>
          <w:szCs w:val="28"/>
          <w:highlight w:val="yellow"/>
        </w:rPr>
      </w:pPr>
    </w:p>
    <w:p w:rsidR="00DF3CF7" w:rsidRPr="00445491" w:rsidRDefault="00DF3CF7">
      <w:pPr>
        <w:rPr>
          <w:lang w:val="en-US"/>
        </w:rPr>
      </w:pPr>
      <w:r>
        <w:t>8.77</w:t>
      </w:r>
      <w:r w:rsidRPr="00445491">
        <w:tab/>
      </w:r>
      <w:r w:rsidRPr="00445491">
        <w:tab/>
      </w:r>
      <w:r w:rsidRPr="006B76D9">
        <w:rPr>
          <w:b/>
          <w:lang w:val="en-US"/>
        </w:rPr>
        <w:t xml:space="preserve">We believe that a good public records </w:t>
      </w:r>
      <w:r>
        <w:rPr>
          <w:b/>
          <w:lang w:val="en-US"/>
        </w:rPr>
        <w:t xml:space="preserve">management </w:t>
      </w:r>
      <w:r w:rsidRPr="006B76D9">
        <w:rPr>
          <w:b/>
          <w:lang w:val="en-US"/>
        </w:rPr>
        <w:t xml:space="preserve">regime must include adequate and effective measures to ensure due compliance.  These measures may take the more stringent form of laws or mandatory requirements.  However, we observe that equally important are other measures which seek to develop a stronger culture and promote higher awareness of proper records management.  </w:t>
      </w:r>
      <w:r w:rsidRPr="00450C4B">
        <w:rPr>
          <w:lang w:val="en-US"/>
        </w:rPr>
        <w:t>Training, advice, and the development of self-assessment tools have been used in both Hong Kong and other jurisdictions.</w:t>
      </w:r>
      <w:r w:rsidRPr="00445491">
        <w:rPr>
          <w:lang w:val="en-US"/>
        </w:rPr>
        <w:t xml:space="preserve"> </w:t>
      </w:r>
      <w:r>
        <w:rPr>
          <w:lang w:val="en-US"/>
        </w:rPr>
        <w:t xml:space="preserve"> </w:t>
      </w:r>
      <w:r w:rsidRPr="00EA02EE">
        <w:t>Given the importance of the issue, we believe it appropriate and necessary to gauge the views of the community before considering the appropriate recommendation(s) (if any) to be made.</w:t>
      </w:r>
    </w:p>
    <w:p w:rsidR="00DF3CF7" w:rsidRDefault="00DF3CF7">
      <w:pPr>
        <w:rPr>
          <w:rFonts w:cs="Arial"/>
          <w:highlight w:val="green"/>
          <w:shd w:val="clear" w:color="auto" w:fill="FFFF99"/>
          <w:lang w:val="en-US"/>
        </w:rPr>
      </w:pPr>
    </w:p>
    <w:p w:rsidR="00DF3CF7" w:rsidRDefault="00DF3CF7">
      <w:pPr>
        <w:rPr>
          <w:rFonts w:cs="Arial"/>
          <w:highlight w:val="green"/>
          <w:shd w:val="clear" w:color="auto" w:fill="FFFF99"/>
          <w:lang w:val="en-US"/>
        </w:rPr>
      </w:pPr>
    </w:p>
    <w:p w:rsidR="00DF3CF7" w:rsidRPr="00CB5D33" w:rsidRDefault="00DF3CF7">
      <w:pPr>
        <w:pBdr>
          <w:top w:val="single" w:sz="4" w:space="8" w:color="auto"/>
          <w:left w:val="single" w:sz="4" w:space="8" w:color="auto"/>
          <w:bottom w:val="single" w:sz="4" w:space="8" w:color="auto"/>
          <w:right w:val="single" w:sz="4" w:space="8" w:color="auto"/>
        </w:pBdr>
        <w:ind w:left="720" w:right="720"/>
        <w:rPr>
          <w:rFonts w:cs="Arial"/>
          <w:b/>
          <w:lang w:val="en-US" w:eastAsia="zh-HK"/>
        </w:rPr>
      </w:pPr>
      <w:r w:rsidRPr="00CB5D33">
        <w:rPr>
          <w:rFonts w:cs="Arial"/>
          <w:b/>
          <w:lang w:val="en-US" w:eastAsia="zh-HK"/>
        </w:rPr>
        <w:t>Consultation Questions 10</w:t>
      </w:r>
    </w:p>
    <w:p w:rsidR="00DF3CF7" w:rsidRPr="00445491" w:rsidRDefault="00DF3CF7" w:rsidP="00DF3CF7">
      <w:pPr>
        <w:pBdr>
          <w:top w:val="single" w:sz="4" w:space="8" w:color="auto"/>
          <w:left w:val="single" w:sz="4" w:space="8" w:color="auto"/>
          <w:bottom w:val="single" w:sz="4" w:space="8" w:color="auto"/>
          <w:right w:val="single" w:sz="4" w:space="8" w:color="auto"/>
        </w:pBdr>
        <w:ind w:left="720" w:right="720"/>
        <w:rPr>
          <w:rFonts w:cs="Arial"/>
          <w:b/>
          <w:kern w:val="2"/>
          <w:shd w:val="clear" w:color="auto" w:fill="FFFF99"/>
          <w:lang w:val="en-US" w:eastAsia="zh-HK"/>
        </w:rPr>
      </w:pPr>
    </w:p>
    <w:p w:rsidR="00DF3CF7" w:rsidRPr="00445491" w:rsidRDefault="00DF3CF7" w:rsidP="00D86E22">
      <w:pPr>
        <w:pStyle w:val="ListParagraph"/>
        <w:numPr>
          <w:ilvl w:val="0"/>
          <w:numId w:val="50"/>
        </w:numPr>
        <w:pBdr>
          <w:top w:val="single" w:sz="4" w:space="8" w:color="auto"/>
          <w:left w:val="single" w:sz="4" w:space="8" w:color="auto"/>
          <w:bottom w:val="single" w:sz="4" w:space="8" w:color="auto"/>
          <w:right w:val="single" w:sz="4" w:space="8" w:color="auto"/>
        </w:pBdr>
        <w:tabs>
          <w:tab w:val="clear" w:pos="1418"/>
          <w:tab w:val="left" w:pos="1440"/>
        </w:tabs>
        <w:ind w:left="1418" w:right="720" w:hanging="698"/>
        <w:contextualSpacing w:val="0"/>
        <w:rPr>
          <w:rFonts w:cs="Arial"/>
          <w:b/>
          <w:kern w:val="2"/>
          <w:shd w:val="clear" w:color="auto" w:fill="FFFF99"/>
          <w:lang w:val="en-US" w:eastAsia="zh-HK"/>
        </w:rPr>
      </w:pPr>
      <w:r w:rsidRPr="00445491">
        <w:rPr>
          <w:rFonts w:cs="Arial"/>
          <w:b/>
        </w:rPr>
        <w:t>Are the existing measures sufficient in ensuring B/Ds</w:t>
      </w:r>
      <w:r>
        <w:rPr>
          <w:rFonts w:cs="Arial"/>
          <w:b/>
        </w:rPr>
        <w:t>'</w:t>
      </w:r>
      <w:r w:rsidRPr="00445491">
        <w:rPr>
          <w:rFonts w:cs="Arial"/>
          <w:b/>
        </w:rPr>
        <w:t xml:space="preserve"> </w:t>
      </w:r>
      <w:r w:rsidRPr="00445491">
        <w:rPr>
          <w:b/>
        </w:rPr>
        <w:t>compliance</w:t>
      </w:r>
      <w:r w:rsidRPr="00445491">
        <w:rPr>
          <w:rFonts w:cs="Arial"/>
          <w:b/>
        </w:rPr>
        <w:t xml:space="preserve"> with their records management obligations?</w:t>
      </w:r>
    </w:p>
    <w:p w:rsidR="00DF3CF7" w:rsidRPr="00445491" w:rsidRDefault="00DF3CF7" w:rsidP="00DF3CF7">
      <w:pPr>
        <w:pBdr>
          <w:top w:val="single" w:sz="4" w:space="8" w:color="auto"/>
          <w:left w:val="single" w:sz="4" w:space="8" w:color="auto"/>
          <w:bottom w:val="single" w:sz="4" w:space="8" w:color="auto"/>
          <w:right w:val="single" w:sz="4" w:space="8" w:color="auto"/>
        </w:pBdr>
        <w:tabs>
          <w:tab w:val="clear" w:pos="1418"/>
          <w:tab w:val="left" w:pos="1440"/>
        </w:tabs>
        <w:ind w:left="720" w:right="720"/>
        <w:rPr>
          <w:rFonts w:cs="Arial"/>
          <w:b/>
          <w:kern w:val="2"/>
          <w:shd w:val="clear" w:color="auto" w:fill="FFFF99"/>
          <w:lang w:val="en-US" w:eastAsia="zh-HK"/>
        </w:rPr>
      </w:pPr>
    </w:p>
    <w:p w:rsidR="00DF3CF7" w:rsidRPr="00F460E5" w:rsidRDefault="00DF3CF7" w:rsidP="00D86E22">
      <w:pPr>
        <w:pStyle w:val="ListParagraph"/>
        <w:numPr>
          <w:ilvl w:val="0"/>
          <w:numId w:val="50"/>
        </w:numPr>
        <w:pBdr>
          <w:top w:val="single" w:sz="4" w:space="8" w:color="auto"/>
          <w:left w:val="single" w:sz="4" w:space="8" w:color="auto"/>
          <w:bottom w:val="single" w:sz="4" w:space="8" w:color="auto"/>
          <w:right w:val="single" w:sz="4" w:space="8" w:color="auto"/>
        </w:pBdr>
        <w:tabs>
          <w:tab w:val="clear" w:pos="1418"/>
          <w:tab w:val="left" w:pos="1440"/>
        </w:tabs>
        <w:ind w:left="1440" w:right="720" w:hanging="720"/>
        <w:contextualSpacing w:val="0"/>
        <w:rPr>
          <w:rFonts w:cs="Arial"/>
          <w:b/>
          <w:kern w:val="2"/>
          <w:shd w:val="clear" w:color="auto" w:fill="FFFF99"/>
          <w:lang w:val="en-US" w:eastAsia="zh-HK"/>
        </w:rPr>
      </w:pPr>
      <w:r w:rsidRPr="00F460E5">
        <w:rPr>
          <w:rFonts w:cs="Arial"/>
          <w:b/>
        </w:rPr>
        <w:t xml:space="preserve">If your answer to </w:t>
      </w:r>
      <w:r>
        <w:rPr>
          <w:rFonts w:cs="Arial"/>
          <w:b/>
        </w:rPr>
        <w:t xml:space="preserve">(i) </w:t>
      </w:r>
      <w:r w:rsidRPr="00F460E5">
        <w:rPr>
          <w:rFonts w:cs="Arial"/>
          <w:b/>
        </w:rPr>
        <w:t>is in the negative, what additional measures would you suggest and what are the reasons for your suggestions?</w:t>
      </w:r>
    </w:p>
    <w:p w:rsidR="00DF3CF7" w:rsidRDefault="00DF3CF7">
      <w:pPr>
        <w:rPr>
          <w:rFonts w:cs="Arial"/>
          <w:shd w:val="clear" w:color="auto" w:fill="FFFF99"/>
        </w:rPr>
      </w:pPr>
    </w:p>
    <w:p w:rsidR="00DF3CF7" w:rsidRDefault="00DF3CF7">
      <w:pPr>
        <w:rPr>
          <w:rFonts w:cs="Arial"/>
          <w:shd w:val="clear" w:color="auto" w:fill="FFFF99"/>
        </w:rPr>
      </w:pPr>
    </w:p>
    <w:p w:rsidR="00DF3CF7" w:rsidRDefault="00DF3CF7">
      <w:pPr>
        <w:rPr>
          <w:rFonts w:cs="Arial"/>
          <w:shd w:val="clear" w:color="auto" w:fill="FFFF99"/>
        </w:rPr>
      </w:pPr>
    </w:p>
    <w:p w:rsidR="00DF3CF7" w:rsidRDefault="00DF3CF7">
      <w:pPr>
        <w:rPr>
          <w:rFonts w:cs="Arial"/>
          <w:shd w:val="clear" w:color="auto" w:fill="FFFF99"/>
        </w:rPr>
      </w:pPr>
    </w:p>
    <w:p w:rsidR="00DF3CF7" w:rsidRDefault="00DF3CF7">
      <w:pPr>
        <w:rPr>
          <w:rFonts w:cs="Arial"/>
          <w:shd w:val="clear" w:color="auto" w:fill="FFFF99"/>
        </w:rPr>
      </w:pPr>
    </w:p>
    <w:p w:rsidR="00DF3CF7" w:rsidRDefault="00DF3CF7" w:rsidP="007572E9">
      <w:pPr>
        <w:rPr>
          <w:rFonts w:cs="Arial"/>
          <w:b/>
          <w:sz w:val="20"/>
          <w:szCs w:val="20"/>
        </w:rPr>
        <w:sectPr w:rsidR="00DF3CF7" w:rsidSect="00DF3CF7">
          <w:footerReference w:type="default" r:id="rId22"/>
          <w:footnotePr>
            <w:numStart w:val="49"/>
            <w:numRestart w:val="eachSect"/>
          </w:footnotePr>
          <w:pgSz w:w="11906" w:h="16838" w:code="9"/>
          <w:pgMar w:top="1440" w:right="1800" w:bottom="1440" w:left="1800" w:header="720" w:footer="720" w:gutter="0"/>
          <w:cols w:space="425"/>
          <w:docGrid w:type="linesAndChars" w:linePitch="360"/>
        </w:sectPr>
      </w:pPr>
    </w:p>
    <w:p w:rsidR="005718FF" w:rsidRPr="008101DE" w:rsidRDefault="005718FF" w:rsidP="00D86E22">
      <w:pPr>
        <w:pStyle w:val="Heading1"/>
      </w:pPr>
      <w:r w:rsidRPr="008101DE">
        <w:rPr>
          <w:rFonts w:hint="eastAsia"/>
        </w:rPr>
        <w:lastRenderedPageBreak/>
        <w:t xml:space="preserve">Chapter </w:t>
      </w:r>
      <w:r>
        <w:t>9</w:t>
      </w:r>
    </w:p>
    <w:p w:rsidR="005718FF" w:rsidRPr="008101DE" w:rsidRDefault="005718FF" w:rsidP="00D86E22">
      <w:pPr>
        <w:rPr>
          <w:rFonts w:cs="Arial"/>
          <w:b/>
          <w:sz w:val="36"/>
          <w:szCs w:val="36"/>
        </w:rPr>
      </w:pPr>
    </w:p>
    <w:p w:rsidR="005718FF" w:rsidRPr="008101DE" w:rsidRDefault="005718FF" w:rsidP="00D86E22">
      <w:pPr>
        <w:pStyle w:val="Heading1"/>
      </w:pPr>
      <w:r>
        <w:t>Archives law for Hong Kong?</w:t>
      </w:r>
    </w:p>
    <w:p w:rsidR="005718FF" w:rsidRPr="00D85F27" w:rsidRDefault="005718FF" w:rsidP="00D86E22">
      <w:pPr>
        <w:rPr>
          <w:rFonts w:cs="Arial"/>
          <w:b/>
        </w:rPr>
      </w:pPr>
      <w:r w:rsidRPr="00D85F27">
        <w:rPr>
          <w:rFonts w:cs="Arial" w:hint="eastAsia"/>
          <w:b/>
        </w:rPr>
        <w:t>_________________________________</w:t>
      </w:r>
      <w:r w:rsidRPr="00D85F27">
        <w:rPr>
          <w:rFonts w:cs="Arial"/>
          <w:b/>
        </w:rPr>
        <w:t>_____</w:t>
      </w:r>
    </w:p>
    <w:p w:rsidR="005718FF" w:rsidRDefault="005718FF" w:rsidP="00D86E22">
      <w:pPr>
        <w:rPr>
          <w:rFonts w:cs="Arial" w:hint="eastAsia"/>
        </w:rPr>
      </w:pPr>
    </w:p>
    <w:p w:rsidR="005718FF" w:rsidRDefault="005718FF" w:rsidP="00D86E22">
      <w:pPr>
        <w:rPr>
          <w:rFonts w:cs="Arial" w:hint="eastAsia"/>
        </w:rPr>
      </w:pPr>
    </w:p>
    <w:p w:rsidR="005718FF" w:rsidRPr="00336D86" w:rsidRDefault="005718FF" w:rsidP="00D86E22">
      <w:pPr>
        <w:rPr>
          <w:rFonts w:cs="Arial"/>
        </w:rPr>
      </w:pPr>
    </w:p>
    <w:p w:rsidR="005718FF" w:rsidRPr="008101DE" w:rsidRDefault="005718FF" w:rsidP="00D86E22">
      <w:pPr>
        <w:pStyle w:val="Heading2"/>
      </w:pPr>
      <w:r w:rsidRPr="008101DE">
        <w:t>Introduction</w:t>
      </w:r>
    </w:p>
    <w:p w:rsidR="005718FF" w:rsidRPr="00336D86" w:rsidRDefault="005718FF" w:rsidP="00D86E22">
      <w:pPr>
        <w:tabs>
          <w:tab w:val="left" w:pos="567"/>
        </w:tabs>
        <w:ind w:left="567"/>
        <w:rPr>
          <w:rFonts w:cs="Arial"/>
        </w:rPr>
      </w:pPr>
    </w:p>
    <w:p w:rsidR="005718FF" w:rsidRDefault="005718FF" w:rsidP="00D86E22">
      <w:r>
        <w:t>9</w:t>
      </w:r>
      <w:r w:rsidRPr="00336D86">
        <w:t>.</w:t>
      </w:r>
      <w:r>
        <w:rPr>
          <w:rFonts w:hint="eastAsia"/>
        </w:rPr>
        <w:t>1</w:t>
      </w:r>
      <w:r w:rsidRPr="00336D86">
        <w:tab/>
      </w:r>
      <w:r w:rsidRPr="00336D86">
        <w:tab/>
      </w:r>
      <w:r>
        <w:t xml:space="preserve">Amongst the comments made by relevant stakeholders, </w:t>
      </w:r>
      <w:r w:rsidRPr="00336D86">
        <w:t xml:space="preserve">the lack of legal backing stands out as arguably the foremost of all shortcomings identified in the current public records management regime. </w:t>
      </w:r>
      <w:r>
        <w:t xml:space="preserve"> A </w:t>
      </w:r>
      <w:r w:rsidRPr="00336D86">
        <w:t xml:space="preserve">comparison reveals that </w:t>
      </w:r>
      <w:r>
        <w:t xml:space="preserve">almost all other </w:t>
      </w:r>
      <w:r w:rsidRPr="00336D86">
        <w:t xml:space="preserve">jurisdictions, including all </w:t>
      </w:r>
      <w:r>
        <w:t xml:space="preserve">five </w:t>
      </w:r>
      <w:r w:rsidRPr="00336D86">
        <w:t>studied more closely by this Sub-Committee, have in place an archives</w:t>
      </w:r>
      <w:r>
        <w:t xml:space="preserve"> law </w:t>
      </w:r>
      <w:r w:rsidRPr="00336D86">
        <w:t xml:space="preserve">of varying breadths and depths.  </w:t>
      </w:r>
      <w:r>
        <w:t xml:space="preserve">In this chapter, we will discuss the fundamental issue whether an archives law ought to be enacted in Hong Kong.  As discussed below, </w:t>
      </w:r>
      <w:r w:rsidRPr="00FF2788">
        <w:t>there are considerations in favour of the enactment of an archives law in Hong Kong</w:t>
      </w:r>
      <w:r>
        <w:t>,</w:t>
      </w:r>
      <w:r w:rsidRPr="00FF2788">
        <w:t xml:space="preserve"> </w:t>
      </w:r>
      <w:r>
        <w:t>as well as</w:t>
      </w:r>
      <w:r w:rsidRPr="00FF2788">
        <w:rPr>
          <w:rFonts w:hint="eastAsia"/>
        </w:rPr>
        <w:t xml:space="preserve"> </w:t>
      </w:r>
      <w:r w:rsidRPr="00FF2788">
        <w:t>practical concerns</w:t>
      </w:r>
      <w:r w:rsidRPr="00FF2788">
        <w:rPr>
          <w:rFonts w:hint="eastAsia"/>
        </w:rPr>
        <w:t xml:space="preserve"> over its implementation.</w:t>
      </w:r>
      <w:r w:rsidRPr="00FF2788" w:rsidDel="00C268F2">
        <w:rPr>
          <w:rFonts w:hint="eastAsia"/>
        </w:rPr>
        <w:t xml:space="preserve"> </w:t>
      </w:r>
      <w:r w:rsidRPr="00FF2788">
        <w:t xml:space="preserve"> </w:t>
      </w:r>
      <w:r w:rsidRPr="00933DA9">
        <w:t xml:space="preserve">On balance, </w:t>
      </w:r>
      <w:r>
        <w:t xml:space="preserve">our provisional views are that </w:t>
      </w:r>
      <w:r w:rsidRPr="00933DA9">
        <w:t xml:space="preserve">we do see a case for the introduction of </w:t>
      </w:r>
      <w:r>
        <w:t xml:space="preserve">an </w:t>
      </w:r>
      <w:r w:rsidRPr="00933DA9">
        <w:t>archives law to further strengthen the management, protection and preservation of public records and archives in Hong Kong.</w:t>
      </w:r>
    </w:p>
    <w:p w:rsidR="005718FF" w:rsidRDefault="005718FF" w:rsidP="00D86E22">
      <w:pPr>
        <w:rPr>
          <w:rFonts w:cs="Arial" w:hint="eastAsia"/>
        </w:rPr>
      </w:pPr>
    </w:p>
    <w:p w:rsidR="005718FF" w:rsidRDefault="005718FF" w:rsidP="00D86E22">
      <w:pPr>
        <w:rPr>
          <w:rFonts w:cs="Arial"/>
        </w:rPr>
      </w:pPr>
    </w:p>
    <w:p w:rsidR="005718FF" w:rsidRPr="00422FA7" w:rsidRDefault="005718FF" w:rsidP="00D86E22">
      <w:pPr>
        <w:pStyle w:val="Heading2"/>
      </w:pPr>
      <w:r>
        <w:t>Comments</w:t>
      </w:r>
    </w:p>
    <w:p w:rsidR="005718FF" w:rsidRPr="00336D86" w:rsidRDefault="005718FF" w:rsidP="00D86E22"/>
    <w:p w:rsidR="005718FF" w:rsidRDefault="005718FF" w:rsidP="00D86E22">
      <w:r>
        <w:t>9</w:t>
      </w:r>
      <w:r>
        <w:rPr>
          <w:rFonts w:hint="eastAsia"/>
        </w:rPr>
        <w:t>.</w:t>
      </w:r>
      <w:r>
        <w:t>2</w:t>
      </w:r>
      <w:r w:rsidRPr="00336D86">
        <w:tab/>
      </w:r>
      <w:r w:rsidRPr="00336D86">
        <w:tab/>
        <w:t>Th</w:t>
      </w:r>
      <w:r>
        <w:t>e</w:t>
      </w:r>
      <w:r w:rsidRPr="00336D86">
        <w:t xml:space="preserve"> </w:t>
      </w:r>
      <w:r>
        <w:t xml:space="preserve">administrative nature of the existing </w:t>
      </w:r>
      <w:r w:rsidRPr="00336D86">
        <w:t xml:space="preserve">regime in Hong Kong has been criticised </w:t>
      </w:r>
      <w:r>
        <w:t xml:space="preserve">for leading </w:t>
      </w:r>
      <w:r w:rsidRPr="00336D86">
        <w:t xml:space="preserve">to </w:t>
      </w:r>
      <w:r>
        <w:t xml:space="preserve">an unsatisfactory state of affairs.  One perceived shortcoming is that the </w:t>
      </w:r>
      <w:r w:rsidRPr="00336D86">
        <w:t>GRS</w:t>
      </w:r>
      <w:r>
        <w:t xml:space="preserve"> lacks effective means to </w:t>
      </w:r>
      <w:r w:rsidRPr="00336D86">
        <w:t xml:space="preserve">ensure compliance by B/Ds with </w:t>
      </w:r>
      <w:r>
        <w:t xml:space="preserve">the </w:t>
      </w:r>
      <w:r w:rsidRPr="00336D86">
        <w:t>records</w:t>
      </w:r>
      <w:r>
        <w:t xml:space="preserve"> </w:t>
      </w:r>
      <w:r w:rsidRPr="00336D86">
        <w:t xml:space="preserve">management requirements contained in </w:t>
      </w:r>
      <w:r>
        <w:t xml:space="preserve">the </w:t>
      </w:r>
      <w:r w:rsidRPr="00336D86">
        <w:t>administrative rule</w:t>
      </w:r>
      <w:r w:rsidRPr="0031796D">
        <w:t>s</w:t>
      </w:r>
      <w:r>
        <w:t xml:space="preserve"> which </w:t>
      </w:r>
      <w:r w:rsidRPr="0031796D">
        <w:t>have</w:t>
      </w:r>
      <w:r>
        <w:t xml:space="preserve"> no legal force.</w:t>
      </w:r>
      <w:r>
        <w:rPr>
          <w:rStyle w:val="FootnoteReference"/>
        </w:rPr>
        <w:footnoteReference w:id="587"/>
      </w:r>
      <w:r>
        <w:t xml:space="preserve">  In some other jurisdictions in which an archives law is in force, criminal prosecution can be brought against wrongdoers for unauthorised destruction or mutilation of official records or archives.  Another concern is that, without legal status, administrative guidelines issued by the GRS are subordinate to a number of records-related laws and regulations, which may have a crippling effect on Hong Kong's archival operations.</w:t>
      </w:r>
      <w:r w:rsidRPr="00336D86">
        <w:rPr>
          <w:rStyle w:val="FootnoteReference"/>
          <w:rFonts w:cs="Arial"/>
        </w:rPr>
        <w:footnoteReference w:id="588"/>
      </w:r>
      <w:r>
        <w:t xml:space="preserve">  </w:t>
      </w:r>
    </w:p>
    <w:p w:rsidR="005718FF" w:rsidRPr="00336D86" w:rsidRDefault="005718FF" w:rsidP="00D86E22">
      <w:pPr>
        <w:rPr>
          <w:rFonts w:cs="Arial"/>
        </w:rPr>
      </w:pPr>
    </w:p>
    <w:p w:rsidR="005718FF" w:rsidRPr="00336D86" w:rsidRDefault="005718FF" w:rsidP="00D86E22">
      <w:r>
        <w:t>9</w:t>
      </w:r>
      <w:r>
        <w:rPr>
          <w:rFonts w:hint="eastAsia"/>
        </w:rPr>
        <w:t>.</w:t>
      </w:r>
      <w:r>
        <w:t>3</w:t>
      </w:r>
      <w:r>
        <w:tab/>
      </w:r>
      <w:r>
        <w:rPr>
          <w:rFonts w:hint="eastAsia"/>
        </w:rPr>
        <w:tab/>
      </w:r>
      <w:r>
        <w:t>To address these perceived inadequacies, there have been calls for supporting</w:t>
      </w:r>
      <w:r w:rsidRPr="00336D86">
        <w:t xml:space="preserve"> the current administrative </w:t>
      </w:r>
      <w:r>
        <w:t xml:space="preserve">regime in Hong Kong with an </w:t>
      </w:r>
      <w:r w:rsidRPr="00336D86">
        <w:t>archiv</w:t>
      </w:r>
      <w:r>
        <w:t>es law</w:t>
      </w:r>
      <w:r w:rsidRPr="00336D86">
        <w:t xml:space="preserve"> </w:t>
      </w:r>
      <w:r>
        <w:t>covering, amongst others,</w:t>
      </w:r>
      <w:r w:rsidRPr="00336D86">
        <w:t xml:space="preserve"> the scope of authority of the </w:t>
      </w:r>
      <w:r>
        <w:t xml:space="preserve">archival authority, </w:t>
      </w:r>
      <w:r w:rsidRPr="00336D86">
        <w:t>obligations on B/Ds to create, keep, manage public records and transfer those having archival value to GRS</w:t>
      </w:r>
      <w:r>
        <w:t>, as well as</w:t>
      </w:r>
      <w:r w:rsidRPr="00336D86">
        <w:t xml:space="preserve"> sanction for unauthorised destruction </w:t>
      </w:r>
      <w:r w:rsidRPr="00336D86">
        <w:lastRenderedPageBreak/>
        <w:t>of record</w:t>
      </w:r>
      <w:r>
        <w:t>s</w:t>
      </w:r>
      <w:r w:rsidRPr="00336D86">
        <w:t>.</w:t>
      </w:r>
      <w:r w:rsidRPr="00336D86">
        <w:rPr>
          <w:rStyle w:val="FootnoteReference"/>
          <w:rFonts w:cs="Arial"/>
        </w:rPr>
        <w:footnoteReference w:id="589"/>
      </w:r>
      <w:r>
        <w:t xml:space="preserve"> The Civic Exchange believes that a "</w:t>
      </w:r>
      <w:r>
        <w:rPr>
          <w:i/>
        </w:rPr>
        <w:t>legislative framework would establish an effective records system where the rights, entitlements and obligations of both citizens and government are recognised.</w:t>
      </w:r>
      <w:r>
        <w:t>"</w:t>
      </w:r>
      <w:r>
        <w:rPr>
          <w:rStyle w:val="FootnoteReference"/>
        </w:rPr>
        <w:footnoteReference w:id="590"/>
      </w:r>
    </w:p>
    <w:p w:rsidR="005718FF" w:rsidRPr="00C57575" w:rsidRDefault="005718FF" w:rsidP="00D86E22">
      <w:pPr>
        <w:ind w:left="480"/>
        <w:rPr>
          <w:rFonts w:cs="Arial" w:hint="eastAsia"/>
          <w:sz w:val="22"/>
          <w:szCs w:val="22"/>
        </w:rPr>
      </w:pPr>
    </w:p>
    <w:p w:rsidR="005718FF" w:rsidRPr="00C57575" w:rsidRDefault="005718FF" w:rsidP="00D86E22">
      <w:pPr>
        <w:ind w:left="480"/>
        <w:rPr>
          <w:rFonts w:cs="Arial"/>
          <w:sz w:val="22"/>
          <w:szCs w:val="22"/>
        </w:rPr>
      </w:pPr>
    </w:p>
    <w:p w:rsidR="005718FF" w:rsidRDefault="005718FF" w:rsidP="00D86E22">
      <w:pPr>
        <w:pStyle w:val="Heading2"/>
      </w:pPr>
      <w:r w:rsidRPr="008101DE">
        <w:t>Government</w:t>
      </w:r>
      <w:r>
        <w:t>'</w:t>
      </w:r>
      <w:r w:rsidRPr="008101DE">
        <w:t xml:space="preserve">s </w:t>
      </w:r>
      <w:r>
        <w:t>stance to the proposed legislation</w:t>
      </w:r>
    </w:p>
    <w:p w:rsidR="005718FF" w:rsidRPr="00336D86" w:rsidRDefault="005718FF" w:rsidP="00D86E22">
      <w:pPr>
        <w:keepNext/>
        <w:rPr>
          <w:rFonts w:cs="Arial"/>
        </w:rPr>
      </w:pPr>
    </w:p>
    <w:p w:rsidR="005718FF" w:rsidRDefault="005718FF" w:rsidP="00D86E22">
      <w:r>
        <w:t>9.4</w:t>
      </w:r>
      <w:r>
        <w:tab/>
      </w:r>
      <w:r>
        <w:rPr>
          <w:rFonts w:hint="eastAsia"/>
        </w:rPr>
        <w:tab/>
      </w:r>
      <w:r w:rsidRPr="00422FA7">
        <w:t>The Government</w:t>
      </w:r>
      <w:r>
        <w:t>'</w:t>
      </w:r>
      <w:r w:rsidRPr="00422FA7">
        <w:t xml:space="preserve">s </w:t>
      </w:r>
      <w:r>
        <w:t>stance is</w:t>
      </w:r>
      <w:r w:rsidRPr="00422FA7">
        <w:t xml:space="preserve">, in gist, that </w:t>
      </w:r>
      <w:r w:rsidRPr="00422FA7">
        <w:rPr>
          <w:lang w:eastAsia="zh-HK"/>
        </w:rPr>
        <w:t>t</w:t>
      </w:r>
      <w:r w:rsidRPr="00422FA7">
        <w:t>he</w:t>
      </w:r>
      <w:r>
        <w:t xml:space="preserve">re are </w:t>
      </w:r>
      <w:r w:rsidRPr="00422FA7">
        <w:t xml:space="preserve">in place comprehensive administrative arrangements to regulate the management of government records, with the GRS tasked to oversee and ensure that government records are properly managed and those with archival value are preserved for public access.  </w:t>
      </w:r>
      <w:r>
        <w:t>Notwithstanding that there is no</w:t>
      </w:r>
      <w:r w:rsidRPr="00422FA7">
        <w:t xml:space="preserve"> archives law, the essential </w:t>
      </w:r>
      <w:r>
        <w:t>elements</w:t>
      </w:r>
      <w:r w:rsidRPr="00422FA7">
        <w:t xml:space="preserve"> of records management adopted internationally have been implemented in Hong Kong through </w:t>
      </w:r>
      <w:r w:rsidRPr="00422FA7">
        <w:rPr>
          <w:lang w:eastAsia="zh-HK"/>
        </w:rPr>
        <w:t>the</w:t>
      </w:r>
      <w:r>
        <w:rPr>
          <w:lang w:eastAsia="zh-HK"/>
        </w:rPr>
        <w:t>se</w:t>
      </w:r>
      <w:r w:rsidRPr="00422FA7">
        <w:rPr>
          <w:lang w:eastAsia="zh-HK"/>
        </w:rPr>
        <w:t xml:space="preserve"> </w:t>
      </w:r>
      <w:r w:rsidRPr="00422FA7">
        <w:t xml:space="preserve">administrative arrangements.  These </w:t>
      </w:r>
      <w:r>
        <w:t>elements</w:t>
      </w:r>
      <w:r w:rsidRPr="00422FA7">
        <w:t xml:space="preserve"> include the promulgation of recordkeeping standards; designation of obligations and responsibilities </w:t>
      </w:r>
      <w:r>
        <w:t>within</w:t>
      </w:r>
      <w:r w:rsidRPr="00422FA7">
        <w:t xml:space="preserve"> government agencies relating to creating, keeping, maintaining and protecting government records; transfer of </w:t>
      </w:r>
      <w:r w:rsidRPr="00422FA7">
        <w:rPr>
          <w:lang w:eastAsia="zh-HK"/>
        </w:rPr>
        <w:t xml:space="preserve">records to </w:t>
      </w:r>
      <w:r w:rsidRPr="00422FA7">
        <w:t xml:space="preserve">archival </w:t>
      </w:r>
      <w:r w:rsidRPr="00422FA7">
        <w:rPr>
          <w:lang w:eastAsia="zh-HK"/>
        </w:rPr>
        <w:t>authority</w:t>
      </w:r>
      <w:r w:rsidRPr="00422FA7">
        <w:t xml:space="preserve">; destruction of records </w:t>
      </w:r>
      <w:r>
        <w:t>only with</w:t>
      </w:r>
      <w:r w:rsidRPr="00422FA7">
        <w:t xml:space="preserve"> prior authorisation of archival authority; </w:t>
      </w:r>
      <w:r>
        <w:t>imposing</w:t>
      </w:r>
      <w:r w:rsidRPr="00422FA7">
        <w:t xml:space="preserve"> responsibility for safe custody and conservation of archival materials; and provision for public access to public records.</w:t>
      </w:r>
      <w:r w:rsidRPr="00422FA7">
        <w:rPr>
          <w:lang w:eastAsia="zh-HK"/>
        </w:rPr>
        <w:t xml:space="preserve">  </w:t>
      </w:r>
    </w:p>
    <w:p w:rsidR="005718FF" w:rsidRDefault="005718FF" w:rsidP="00D86E22">
      <w:pPr>
        <w:rPr>
          <w:rFonts w:cs="Arial"/>
          <w:szCs w:val="28"/>
        </w:rPr>
      </w:pPr>
    </w:p>
    <w:p w:rsidR="005718FF" w:rsidRPr="00D85F27" w:rsidRDefault="005718FF" w:rsidP="00D86E22">
      <w:pPr>
        <w:rPr>
          <w:lang w:eastAsia="zh-HK"/>
        </w:rPr>
      </w:pPr>
      <w:r>
        <w:t>9.5</w:t>
      </w:r>
      <w:r>
        <w:tab/>
      </w:r>
      <w:r>
        <w:tab/>
        <w:t xml:space="preserve">Indeed, it was stated in the Chief Executive's </w:t>
      </w:r>
      <w:r>
        <w:rPr>
          <w:lang w:eastAsia="zh-HK"/>
        </w:rPr>
        <w:t>2018</w:t>
      </w:r>
      <w:r w:rsidRPr="00D85F27">
        <w:rPr>
          <w:lang w:eastAsia="zh-HK"/>
        </w:rPr>
        <w:t xml:space="preserve"> Policy Address</w:t>
      </w:r>
      <w:r>
        <w:rPr>
          <w:lang w:eastAsia="zh-HK"/>
        </w:rPr>
        <w:t xml:space="preserve"> as follows</w:t>
      </w:r>
      <w:r w:rsidRPr="00D85F27">
        <w:rPr>
          <w:lang w:eastAsia="zh-HK"/>
        </w:rPr>
        <w:t>:-</w:t>
      </w:r>
    </w:p>
    <w:p w:rsidR="005718FF" w:rsidRPr="00C57575" w:rsidRDefault="005718FF" w:rsidP="00D86E22">
      <w:pPr>
        <w:rPr>
          <w:rFonts w:cs="Arial"/>
          <w:sz w:val="20"/>
          <w:szCs w:val="20"/>
          <w:lang w:eastAsia="zh-HK"/>
        </w:rPr>
      </w:pPr>
    </w:p>
    <w:p w:rsidR="005718FF" w:rsidRPr="008835C7" w:rsidRDefault="005718FF" w:rsidP="00D86E22">
      <w:pPr>
        <w:pStyle w:val="BlockText"/>
        <w:rPr>
          <w:i w:val="0"/>
          <w:lang w:eastAsia="zh-HK"/>
        </w:rPr>
      </w:pPr>
      <w:r w:rsidRPr="008835C7">
        <w:rPr>
          <w:i w:val="0"/>
          <w:lang w:eastAsia="zh-HK"/>
        </w:rPr>
        <w:t>"</w:t>
      </w:r>
      <w:r w:rsidRPr="008B1B99">
        <w:rPr>
          <w:lang w:eastAsia="zh-HK"/>
        </w:rPr>
        <w:t>19. Historical archives not only record the decision-making process, but also preserve the collective memory of society. I would reiterate that the current-term Government attaches importance to the integrity of government records and holds a positive view towards the enactment of an archives law. The Law Reform Commission (LRC) of Hong Kong has completed its study on our existing records management system and the relevant laws of other jurisdictions. Public consultation is expected to commence by the end of this year. The Government will follow up on this after receiving the report from LRC. At the present stage, the Government will continue to enhance its records management work, including formulating a more comprehensive training plan for bureaux and departments, providing more professional training programmes for staff of the Government Records Service, and reviewing the implementation progress of electronic recordkeeping systems, etc.</w:t>
      </w:r>
      <w:r w:rsidRPr="008835C7">
        <w:rPr>
          <w:i w:val="0"/>
          <w:lang w:eastAsia="zh-HK"/>
        </w:rPr>
        <w:t>"</w:t>
      </w:r>
      <w:r>
        <w:rPr>
          <w:rStyle w:val="FootnoteReference"/>
          <w:i w:val="0"/>
          <w:lang w:eastAsia="zh-HK"/>
        </w:rPr>
        <w:footnoteReference w:id="591"/>
      </w:r>
    </w:p>
    <w:p w:rsidR="005718FF" w:rsidRPr="0031796D" w:rsidRDefault="005718FF" w:rsidP="00D86E22">
      <w:pPr>
        <w:pStyle w:val="ListParagraph"/>
        <w:ind w:rightChars="212" w:right="509"/>
        <w:rPr>
          <w:szCs w:val="28"/>
          <w:lang w:eastAsia="zh-HK"/>
        </w:rPr>
      </w:pPr>
    </w:p>
    <w:p w:rsidR="005718FF" w:rsidRPr="008101DE" w:rsidRDefault="005718FF" w:rsidP="00D86E22">
      <w:pPr>
        <w:pStyle w:val="Heading2"/>
      </w:pPr>
      <w:r>
        <w:t xml:space="preserve">Considerations favouring </w:t>
      </w:r>
      <w:r w:rsidRPr="008101DE">
        <w:t xml:space="preserve">the </w:t>
      </w:r>
      <w:r>
        <w:rPr>
          <w:rFonts w:hint="eastAsia"/>
        </w:rPr>
        <w:t>e</w:t>
      </w:r>
      <w:r w:rsidRPr="008101DE">
        <w:t xml:space="preserve">nactment of </w:t>
      </w:r>
      <w:r>
        <w:rPr>
          <w:rFonts w:hint="eastAsia"/>
        </w:rPr>
        <w:t>a</w:t>
      </w:r>
      <w:r w:rsidRPr="008101DE">
        <w:t xml:space="preserve">rchives </w:t>
      </w:r>
      <w:r>
        <w:rPr>
          <w:rFonts w:hint="eastAsia"/>
        </w:rPr>
        <w:t>l</w:t>
      </w:r>
      <w:r>
        <w:t>aw</w:t>
      </w:r>
      <w:r w:rsidRPr="008101DE">
        <w:t xml:space="preserve"> </w:t>
      </w:r>
    </w:p>
    <w:p w:rsidR="005718FF" w:rsidRPr="00336D86" w:rsidRDefault="005718FF" w:rsidP="00D86E22">
      <w:pPr>
        <w:rPr>
          <w:rFonts w:cs="Arial"/>
        </w:rPr>
      </w:pPr>
    </w:p>
    <w:p w:rsidR="005718FF" w:rsidRDefault="005718FF" w:rsidP="00D86E22">
      <w:r>
        <w:t>9</w:t>
      </w:r>
      <w:r>
        <w:rPr>
          <w:rFonts w:hint="eastAsia"/>
        </w:rPr>
        <w:t>.</w:t>
      </w:r>
      <w:r>
        <w:t>6</w:t>
      </w:r>
      <w:r>
        <w:tab/>
      </w:r>
      <w:r>
        <w:rPr>
          <w:rFonts w:hint="eastAsia"/>
        </w:rPr>
        <w:tab/>
      </w:r>
      <w:r>
        <w:t xml:space="preserve">Regardless of the nature and structure of the public records and archives management system, we believe that the ultimate goal is to ensure that all Government records, whether digital or analogue, are created, captured, maintained and preserved with their authenticity, integrity, reliability and usability intact, so that these materials may be used for any purpose, such as legal or administrative purposes, historical or other types of research.  </w:t>
      </w:r>
      <w:r w:rsidRPr="0031796D">
        <w:t xml:space="preserve">The system must also be able to stand up to the </w:t>
      </w:r>
      <w:r w:rsidRPr="00D85F27">
        <w:t xml:space="preserve">challenge brought about by the widespread use of digital information technologies </w:t>
      </w:r>
      <w:r>
        <w:t>which has resulted in a marked increase in the volume and complexity of Government records held, and an ever-increasing demand for greater transparency in government policy-making.</w:t>
      </w:r>
    </w:p>
    <w:p w:rsidR="005718FF" w:rsidRPr="00422FA7" w:rsidRDefault="005718FF" w:rsidP="00D86E22">
      <w:pPr>
        <w:rPr>
          <w:rFonts w:cs="Arial"/>
        </w:rPr>
      </w:pPr>
    </w:p>
    <w:p w:rsidR="005718FF" w:rsidRDefault="005718FF" w:rsidP="00D86E22">
      <w:pPr>
        <w:rPr>
          <w:szCs w:val="28"/>
        </w:rPr>
      </w:pPr>
      <w:r>
        <w:t>9.7</w:t>
      </w:r>
      <w:r>
        <w:tab/>
      </w:r>
      <w:r>
        <w:tab/>
        <w:t xml:space="preserve">Having regard to the law, practice and experience of the other jurisdictions discussed in the previous chapters, it appears that the current administrative records and archives management regime in Hong Kong </w:t>
      </w:r>
      <w:r w:rsidRPr="00422FA7">
        <w:rPr>
          <w:szCs w:val="28"/>
        </w:rPr>
        <w:t xml:space="preserve">has </w:t>
      </w:r>
      <w:r>
        <w:rPr>
          <w:szCs w:val="28"/>
        </w:rPr>
        <w:t>covered</w:t>
      </w:r>
      <w:r w:rsidRPr="00422FA7">
        <w:rPr>
          <w:szCs w:val="28"/>
        </w:rPr>
        <w:t xml:space="preserve"> the essential elements of archives law in other jurisdictions and largely follows international best practice.</w:t>
      </w:r>
      <w:r>
        <w:rPr>
          <w:szCs w:val="28"/>
        </w:rPr>
        <w:t xml:space="preserve">  </w:t>
      </w:r>
      <w:r w:rsidRPr="00422FA7">
        <w:rPr>
          <w:szCs w:val="28"/>
        </w:rPr>
        <w:t>The</w:t>
      </w:r>
      <w:r>
        <w:rPr>
          <w:szCs w:val="28"/>
        </w:rPr>
        <w:t xml:space="preserve"> current regime</w:t>
      </w:r>
      <w:r w:rsidRPr="00422FA7">
        <w:rPr>
          <w:szCs w:val="28"/>
        </w:rPr>
        <w:t xml:space="preserve"> </w:t>
      </w:r>
      <w:r>
        <w:rPr>
          <w:szCs w:val="28"/>
        </w:rPr>
        <w:t xml:space="preserve">is operated through </w:t>
      </w:r>
      <w:r w:rsidRPr="00422FA7">
        <w:rPr>
          <w:szCs w:val="28"/>
        </w:rPr>
        <w:t>administrative measures, covering the creation</w:t>
      </w:r>
      <w:r>
        <w:rPr>
          <w:szCs w:val="28"/>
        </w:rPr>
        <w:t>,</w:t>
      </w:r>
      <w:r w:rsidRPr="00422FA7">
        <w:rPr>
          <w:szCs w:val="28"/>
        </w:rPr>
        <w:t xml:space="preserve"> collection, classification, scheduling and disposal of records.  In particular, B/Ds are required to establish retention and disposal schedules for all records, transfer records having archival value for permanent retention by </w:t>
      </w:r>
      <w:r>
        <w:rPr>
          <w:szCs w:val="28"/>
        </w:rPr>
        <w:t xml:space="preserve">the </w:t>
      </w:r>
      <w:r w:rsidRPr="00422FA7">
        <w:rPr>
          <w:szCs w:val="28"/>
        </w:rPr>
        <w:t xml:space="preserve">GRS and destroy records with no archival values with prior agreement of the GRS Director.  </w:t>
      </w:r>
      <w:r>
        <w:rPr>
          <w:szCs w:val="28"/>
        </w:rPr>
        <w:t xml:space="preserve">There is sanction by way of </w:t>
      </w:r>
      <w:r w:rsidRPr="00422FA7">
        <w:rPr>
          <w:szCs w:val="28"/>
        </w:rPr>
        <w:t xml:space="preserve">disciplinary action </w:t>
      </w:r>
      <w:r>
        <w:rPr>
          <w:szCs w:val="28"/>
        </w:rPr>
        <w:t xml:space="preserve">in case of </w:t>
      </w:r>
      <w:r w:rsidRPr="00422FA7">
        <w:rPr>
          <w:szCs w:val="28"/>
        </w:rPr>
        <w:t>government servants</w:t>
      </w:r>
      <w:r>
        <w:rPr>
          <w:szCs w:val="28"/>
        </w:rPr>
        <w:t>'</w:t>
      </w:r>
      <w:r w:rsidRPr="00422FA7">
        <w:rPr>
          <w:szCs w:val="28"/>
        </w:rPr>
        <w:t xml:space="preserve"> non-compliance with mandatory records management requirements and/or dereliction of records management duties.  </w:t>
      </w:r>
      <w:r>
        <w:rPr>
          <w:szCs w:val="28"/>
        </w:rPr>
        <w:t>A</w:t>
      </w:r>
      <w:r w:rsidRPr="00422FA7">
        <w:rPr>
          <w:szCs w:val="28"/>
        </w:rPr>
        <w:t xml:space="preserve">ccess to archival records kept by </w:t>
      </w:r>
      <w:r>
        <w:rPr>
          <w:szCs w:val="28"/>
        </w:rPr>
        <w:t xml:space="preserve">the </w:t>
      </w:r>
      <w:r w:rsidRPr="00422FA7">
        <w:rPr>
          <w:szCs w:val="28"/>
        </w:rPr>
        <w:t xml:space="preserve">GRS </w:t>
      </w:r>
      <w:r>
        <w:rPr>
          <w:szCs w:val="28"/>
        </w:rPr>
        <w:t>is also provided for under</w:t>
      </w:r>
      <w:r w:rsidRPr="00422FA7">
        <w:rPr>
          <w:szCs w:val="28"/>
        </w:rPr>
        <w:t xml:space="preserve"> the P</w:t>
      </w:r>
      <w:r>
        <w:rPr>
          <w:szCs w:val="28"/>
        </w:rPr>
        <w:t>RAR</w:t>
      </w:r>
      <w:r w:rsidRPr="00422FA7">
        <w:rPr>
          <w:szCs w:val="28"/>
        </w:rPr>
        <w:t>.</w:t>
      </w:r>
    </w:p>
    <w:p w:rsidR="005718FF" w:rsidRPr="00422FA7" w:rsidRDefault="005718FF" w:rsidP="00D86E22">
      <w:pPr>
        <w:rPr>
          <w:rFonts w:cs="Arial"/>
          <w:szCs w:val="28"/>
        </w:rPr>
      </w:pPr>
    </w:p>
    <w:p w:rsidR="005718FF" w:rsidRDefault="005718FF" w:rsidP="00D86E22">
      <w:r>
        <w:t>9.8</w:t>
      </w:r>
      <w:r>
        <w:tab/>
      </w:r>
      <w:r>
        <w:tab/>
        <w:t>Key considerations which support the enactment of an archives law in Hong Kong are as follows:-</w:t>
      </w:r>
    </w:p>
    <w:p w:rsidR="005718FF" w:rsidRPr="005B47F3" w:rsidRDefault="005718FF" w:rsidP="00D86E22">
      <w:pPr>
        <w:rPr>
          <w:rFonts w:cs="Arial"/>
          <w:szCs w:val="28"/>
        </w:rPr>
      </w:pPr>
    </w:p>
    <w:p w:rsidR="005718FF" w:rsidRDefault="005718FF" w:rsidP="00D86E22">
      <w:pPr>
        <w:ind w:left="1440" w:hanging="720"/>
        <w:rPr>
          <w:rFonts w:cs="Arial"/>
        </w:rPr>
      </w:pPr>
      <w:r>
        <w:rPr>
          <w:rFonts w:cs="Arial" w:hint="eastAsia"/>
        </w:rPr>
        <w:t>(</w:t>
      </w:r>
      <w:r>
        <w:rPr>
          <w:rFonts w:cs="Arial"/>
        </w:rPr>
        <w:t>i</w:t>
      </w:r>
      <w:r>
        <w:rPr>
          <w:rFonts w:cs="Arial" w:hint="eastAsia"/>
        </w:rPr>
        <w:t>)</w:t>
      </w:r>
      <w:r>
        <w:rPr>
          <w:rFonts w:cs="Arial"/>
        </w:rPr>
        <w:tab/>
        <w:t>The introduction of an archives law will bring greater visibility, clarity, certainty and transparency to the Government's records and archives management system.</w:t>
      </w:r>
    </w:p>
    <w:p w:rsidR="005718FF" w:rsidRPr="00422FA7" w:rsidRDefault="005718FF" w:rsidP="00D86E22">
      <w:pPr>
        <w:rPr>
          <w:rFonts w:cs="Arial"/>
          <w:szCs w:val="28"/>
        </w:rPr>
      </w:pPr>
    </w:p>
    <w:p w:rsidR="005718FF" w:rsidRPr="00336D86" w:rsidRDefault="005718FF" w:rsidP="00D86E22">
      <w:pPr>
        <w:ind w:left="1440" w:hanging="720"/>
        <w:rPr>
          <w:rFonts w:cs="Arial"/>
        </w:rPr>
      </w:pPr>
      <w:r>
        <w:rPr>
          <w:rFonts w:cs="Arial" w:hint="eastAsia"/>
        </w:rPr>
        <w:t>(</w:t>
      </w:r>
      <w:r>
        <w:rPr>
          <w:rFonts w:cs="Arial"/>
        </w:rPr>
        <w:t>ii</w:t>
      </w:r>
      <w:r>
        <w:rPr>
          <w:rFonts w:cs="Arial" w:hint="eastAsia"/>
        </w:rPr>
        <w:t>)</w:t>
      </w:r>
      <w:r>
        <w:rPr>
          <w:rFonts w:cs="Arial"/>
        </w:rPr>
        <w:tab/>
      </w:r>
      <w:r w:rsidRPr="00336D86">
        <w:rPr>
          <w:rFonts w:cs="Arial"/>
        </w:rPr>
        <w:t xml:space="preserve">The need for introducing </w:t>
      </w:r>
      <w:r>
        <w:rPr>
          <w:rFonts w:cs="Arial"/>
        </w:rPr>
        <w:t xml:space="preserve">an archives law </w:t>
      </w:r>
      <w:r w:rsidRPr="00336D86">
        <w:rPr>
          <w:rFonts w:cs="Arial"/>
        </w:rPr>
        <w:t xml:space="preserve">is recognised </w:t>
      </w:r>
      <w:r>
        <w:rPr>
          <w:rFonts w:cs="Arial"/>
        </w:rPr>
        <w:t>by</w:t>
      </w:r>
      <w:r w:rsidRPr="00336D86">
        <w:rPr>
          <w:rFonts w:cs="Arial"/>
        </w:rPr>
        <w:t xml:space="preserve"> a number of authorities and international recordkeeping standards.  For instance, the introduction of archives l</w:t>
      </w:r>
      <w:r>
        <w:rPr>
          <w:rFonts w:cs="Arial"/>
        </w:rPr>
        <w:t>aw</w:t>
      </w:r>
      <w:r w:rsidRPr="00336D86">
        <w:rPr>
          <w:rFonts w:cs="Arial"/>
        </w:rPr>
        <w:t xml:space="preserve"> is a goal set out in the International Council on Archives</w:t>
      </w:r>
      <w:r>
        <w:rPr>
          <w:rFonts w:cs="Arial"/>
        </w:rPr>
        <w:t>'</w:t>
      </w:r>
      <w:r w:rsidRPr="00336D86">
        <w:rPr>
          <w:rFonts w:cs="Arial"/>
        </w:rPr>
        <w:t xml:space="preserve"> Universal Declaration on Archives, adopted by UNESCO in 2011</w:t>
      </w:r>
      <w:r>
        <w:rPr>
          <w:rFonts w:cs="Arial" w:hint="eastAsia"/>
        </w:rPr>
        <w:t>.</w:t>
      </w:r>
      <w:r w:rsidRPr="00336D86">
        <w:rPr>
          <w:rStyle w:val="FootnoteReference"/>
          <w:rFonts w:cs="Arial"/>
        </w:rPr>
        <w:footnoteReference w:id="592"/>
      </w:r>
      <w:r w:rsidRPr="00336D86">
        <w:rPr>
          <w:rFonts w:cs="Arial"/>
        </w:rPr>
        <w:t xml:space="preserve">  The I</w:t>
      </w:r>
      <w:r>
        <w:rPr>
          <w:rFonts w:cs="Arial"/>
        </w:rPr>
        <w:t>nternational Organisation for Standardisation</w:t>
      </w:r>
      <w:r w:rsidRPr="00336D86">
        <w:rPr>
          <w:rFonts w:cs="Arial"/>
        </w:rPr>
        <w:t xml:space="preserve"> and other recordkeeping standards also recognise the importance of identifying the </w:t>
      </w:r>
      <w:r w:rsidRPr="00336D86">
        <w:rPr>
          <w:rFonts w:cs="Arial"/>
        </w:rPr>
        <w:lastRenderedPageBreak/>
        <w:t>regulatory environment in which records are created, managed and used, and enhanc</w:t>
      </w:r>
      <w:r>
        <w:rPr>
          <w:rFonts w:cs="Arial"/>
        </w:rPr>
        <w:t>ing</w:t>
      </w:r>
      <w:r w:rsidRPr="00336D86">
        <w:rPr>
          <w:rFonts w:cs="Arial"/>
        </w:rPr>
        <w:t xml:space="preserve"> archival institution</w:t>
      </w:r>
      <w:r>
        <w:rPr>
          <w:rFonts w:cs="Arial"/>
        </w:rPr>
        <w:t>'</w:t>
      </w:r>
      <w:r w:rsidRPr="00336D86">
        <w:rPr>
          <w:rFonts w:cs="Arial"/>
        </w:rPr>
        <w:t>s ability to play an authoritative role in all aspects of recordkeeping.</w:t>
      </w:r>
      <w:r w:rsidRPr="00336D86">
        <w:rPr>
          <w:rStyle w:val="FootnoteReference"/>
          <w:rFonts w:cs="Arial"/>
        </w:rPr>
        <w:footnoteReference w:id="593"/>
      </w:r>
      <w:r w:rsidRPr="00336D86">
        <w:rPr>
          <w:rFonts w:cs="Arial"/>
        </w:rPr>
        <w:t xml:space="preserve"> </w:t>
      </w:r>
    </w:p>
    <w:p w:rsidR="005718FF" w:rsidRDefault="005718FF" w:rsidP="00D86E22">
      <w:pPr>
        <w:ind w:left="1440" w:hanging="720"/>
        <w:rPr>
          <w:rFonts w:cs="Arial"/>
        </w:rPr>
      </w:pPr>
    </w:p>
    <w:p w:rsidR="005718FF" w:rsidRPr="00336D86" w:rsidRDefault="005718FF" w:rsidP="00D86E22">
      <w:pPr>
        <w:ind w:left="1440" w:hanging="720"/>
        <w:rPr>
          <w:rFonts w:cs="Arial"/>
        </w:rPr>
      </w:pPr>
      <w:r>
        <w:rPr>
          <w:rFonts w:cs="Arial" w:hint="eastAsia"/>
        </w:rPr>
        <w:t>(</w:t>
      </w:r>
      <w:r>
        <w:rPr>
          <w:rFonts w:cs="Arial"/>
        </w:rPr>
        <w:t>iii</w:t>
      </w:r>
      <w:r>
        <w:rPr>
          <w:rFonts w:cs="Arial" w:hint="eastAsia"/>
        </w:rPr>
        <w:t>)</w:t>
      </w:r>
      <w:r>
        <w:rPr>
          <w:rFonts w:cs="Arial"/>
        </w:rPr>
        <w:tab/>
        <w:t xml:space="preserve">Apart from the jurisdictions discussed in the previous chapters, many other jurisdictions (including </w:t>
      </w:r>
      <w:r w:rsidRPr="00336D86">
        <w:rPr>
          <w:rFonts w:cs="Arial"/>
        </w:rPr>
        <w:t xml:space="preserve">Macau </w:t>
      </w:r>
      <w:r>
        <w:rPr>
          <w:rFonts w:cs="Arial"/>
        </w:rPr>
        <w:t>SAR</w:t>
      </w:r>
      <w:r>
        <w:rPr>
          <w:rStyle w:val="FootnoteReference"/>
          <w:rFonts w:cs="Arial"/>
        </w:rPr>
        <w:footnoteReference w:id="594"/>
      </w:r>
      <w:r>
        <w:rPr>
          <w:rFonts w:cs="Arial"/>
        </w:rPr>
        <w:t xml:space="preserve"> and Mainland </w:t>
      </w:r>
      <w:r w:rsidRPr="00336D86">
        <w:rPr>
          <w:rFonts w:cs="Arial"/>
        </w:rPr>
        <w:t>China</w:t>
      </w:r>
      <w:r>
        <w:rPr>
          <w:rStyle w:val="FootnoteReference"/>
          <w:rFonts w:cs="Arial"/>
        </w:rPr>
        <w:footnoteReference w:id="595"/>
      </w:r>
      <w:r>
        <w:rPr>
          <w:rFonts w:cs="Arial"/>
        </w:rPr>
        <w:t>)</w:t>
      </w:r>
      <w:r w:rsidRPr="00336D86">
        <w:rPr>
          <w:rFonts w:cs="Arial"/>
        </w:rPr>
        <w:t xml:space="preserve"> have enacted archiv</w:t>
      </w:r>
      <w:r>
        <w:rPr>
          <w:rFonts w:cs="Arial"/>
        </w:rPr>
        <w:t>es</w:t>
      </w:r>
      <w:r w:rsidRPr="00336D86">
        <w:rPr>
          <w:rFonts w:cs="Arial"/>
        </w:rPr>
        <w:t xml:space="preserve"> </w:t>
      </w:r>
      <w:r>
        <w:rPr>
          <w:rFonts w:cs="Arial"/>
        </w:rPr>
        <w:t>law.</w:t>
      </w:r>
      <w:r w:rsidRPr="00336D86">
        <w:rPr>
          <w:rFonts w:cs="Arial"/>
        </w:rPr>
        <w:t xml:space="preserve">  </w:t>
      </w:r>
    </w:p>
    <w:p w:rsidR="005718FF" w:rsidRPr="00336D86" w:rsidRDefault="005718FF" w:rsidP="00D86E22">
      <w:pPr>
        <w:pStyle w:val="ListParagraph"/>
        <w:tabs>
          <w:tab w:val="left" w:pos="1560"/>
        </w:tabs>
        <w:ind w:left="1560" w:hanging="709"/>
        <w:rPr>
          <w:rFonts w:cs="Arial"/>
        </w:rPr>
      </w:pPr>
    </w:p>
    <w:p w:rsidR="005718FF" w:rsidRPr="00207F18" w:rsidRDefault="005718FF" w:rsidP="00D86E22">
      <w:pPr>
        <w:ind w:left="1440" w:hanging="720"/>
        <w:rPr>
          <w:rFonts w:cs="Arial"/>
          <w:lang w:val="en-US"/>
        </w:rPr>
      </w:pPr>
      <w:r>
        <w:rPr>
          <w:rFonts w:cs="Arial" w:hint="eastAsia"/>
        </w:rPr>
        <w:t>(</w:t>
      </w:r>
      <w:r>
        <w:rPr>
          <w:rFonts w:cs="Arial"/>
        </w:rPr>
        <w:t>iv</w:t>
      </w:r>
      <w:r>
        <w:rPr>
          <w:rFonts w:cs="Arial" w:hint="eastAsia"/>
        </w:rPr>
        <w:t>)</w:t>
      </w:r>
      <w:r>
        <w:rPr>
          <w:rFonts w:cs="Arial"/>
        </w:rPr>
        <w:tab/>
        <w:t xml:space="preserve">An archives law will promote the </w:t>
      </w:r>
      <w:r w:rsidRPr="00336D86">
        <w:rPr>
          <w:rFonts w:cs="Arial"/>
        </w:rPr>
        <w:t xml:space="preserve">role, professionalism, </w:t>
      </w:r>
      <w:r>
        <w:rPr>
          <w:rFonts w:cs="Arial"/>
        </w:rPr>
        <w:t xml:space="preserve">functions </w:t>
      </w:r>
      <w:r w:rsidRPr="00336D86">
        <w:rPr>
          <w:rFonts w:cs="Arial"/>
        </w:rPr>
        <w:t>and effectiveness</w:t>
      </w:r>
      <w:r>
        <w:rPr>
          <w:rFonts w:cs="Arial"/>
        </w:rPr>
        <w:t xml:space="preserve"> of the archival authority, and will help develop a culture within the community on the importance of preservation of records.</w:t>
      </w:r>
      <w:r w:rsidRPr="00336D86">
        <w:rPr>
          <w:rFonts w:cs="Arial"/>
        </w:rPr>
        <w:t xml:space="preserve"> </w:t>
      </w:r>
    </w:p>
    <w:p w:rsidR="005718FF" w:rsidRPr="00207F18" w:rsidRDefault="005718FF" w:rsidP="00D86E22">
      <w:pPr>
        <w:ind w:left="1440" w:hanging="720"/>
        <w:rPr>
          <w:rFonts w:cs="Arial"/>
          <w:lang w:val="en-US"/>
        </w:rPr>
      </w:pPr>
    </w:p>
    <w:p w:rsidR="005718FF" w:rsidRPr="00336D86" w:rsidRDefault="005718FF" w:rsidP="00D86E22">
      <w:pPr>
        <w:ind w:left="1440" w:hanging="720"/>
        <w:rPr>
          <w:rFonts w:cs="Arial"/>
        </w:rPr>
      </w:pPr>
      <w:r>
        <w:rPr>
          <w:rFonts w:cs="Arial" w:hint="eastAsia"/>
        </w:rPr>
        <w:t>(</w:t>
      </w:r>
      <w:r>
        <w:rPr>
          <w:rFonts w:cs="Arial"/>
        </w:rPr>
        <w:t>v</w:t>
      </w:r>
      <w:r>
        <w:rPr>
          <w:rFonts w:cs="Arial" w:hint="eastAsia"/>
        </w:rPr>
        <w:t>)</w:t>
      </w:r>
      <w:r>
        <w:rPr>
          <w:rFonts w:cs="Arial"/>
        </w:rPr>
        <w:tab/>
      </w:r>
      <w:r w:rsidRPr="00336D86">
        <w:rPr>
          <w:rFonts w:cs="Arial"/>
        </w:rPr>
        <w:t xml:space="preserve">Putting different records management requirements on a statutory footing </w:t>
      </w:r>
      <w:r>
        <w:rPr>
          <w:rFonts w:cs="Arial"/>
        </w:rPr>
        <w:t xml:space="preserve">is one way to </w:t>
      </w:r>
      <w:r w:rsidRPr="00336D86">
        <w:rPr>
          <w:rFonts w:cs="Arial"/>
        </w:rPr>
        <w:t>prevent them from being rendered ineffective or compromised by conflicting provisions in other legislation.</w:t>
      </w:r>
    </w:p>
    <w:p w:rsidR="005718FF" w:rsidRPr="00C57575" w:rsidRDefault="005718FF" w:rsidP="00C57575">
      <w:pPr>
        <w:rPr>
          <w:rFonts w:cs="Arial"/>
          <w:lang w:val="en-US"/>
        </w:rPr>
      </w:pPr>
    </w:p>
    <w:p w:rsidR="005718FF" w:rsidRDefault="005718FF" w:rsidP="00D86E22">
      <w:pPr>
        <w:rPr>
          <w:rFonts w:cs="Arial"/>
          <w:b/>
          <w:sz w:val="28"/>
          <w:szCs w:val="28"/>
        </w:rPr>
      </w:pPr>
    </w:p>
    <w:p w:rsidR="005718FF" w:rsidRPr="00C620B5" w:rsidRDefault="005718FF" w:rsidP="00D86E22">
      <w:pPr>
        <w:pStyle w:val="Heading2"/>
      </w:pPr>
      <w:r w:rsidRPr="00C620B5">
        <w:t xml:space="preserve">Concerns </w:t>
      </w:r>
      <w:r>
        <w:rPr>
          <w:rFonts w:hint="eastAsia"/>
        </w:rPr>
        <w:t>r</w:t>
      </w:r>
      <w:r w:rsidRPr="00C620B5">
        <w:t xml:space="preserve">egarding the </w:t>
      </w:r>
      <w:r>
        <w:rPr>
          <w:rFonts w:hint="eastAsia"/>
        </w:rPr>
        <w:t>i</w:t>
      </w:r>
      <w:r w:rsidRPr="00C620B5">
        <w:t xml:space="preserve">ntroduction of an </w:t>
      </w:r>
      <w:r>
        <w:rPr>
          <w:rFonts w:hint="eastAsia"/>
        </w:rPr>
        <w:t>a</w:t>
      </w:r>
      <w:r w:rsidRPr="00C620B5">
        <w:t xml:space="preserve">rchives </w:t>
      </w:r>
      <w:r>
        <w:rPr>
          <w:rFonts w:hint="eastAsia"/>
        </w:rPr>
        <w:t>l</w:t>
      </w:r>
      <w:r w:rsidRPr="00C620B5">
        <w:t>aw in Hong Kong</w:t>
      </w:r>
    </w:p>
    <w:p w:rsidR="005718FF" w:rsidRPr="005F2F05" w:rsidRDefault="005718FF" w:rsidP="00D86E22">
      <w:pPr>
        <w:ind w:left="540"/>
        <w:rPr>
          <w:rFonts w:cs="Arial"/>
          <w:szCs w:val="28"/>
          <w:highlight w:val="green"/>
          <w:lang w:eastAsia="zh-HK"/>
        </w:rPr>
      </w:pPr>
    </w:p>
    <w:p w:rsidR="005718FF" w:rsidRPr="00C620B5" w:rsidRDefault="005718FF" w:rsidP="00D86E22">
      <w:r>
        <w:rPr>
          <w:lang w:eastAsia="zh-HK"/>
        </w:rPr>
        <w:t>9.9</w:t>
      </w:r>
      <w:r w:rsidRPr="00C620B5">
        <w:rPr>
          <w:lang w:eastAsia="zh-HK"/>
        </w:rPr>
        <w:tab/>
      </w:r>
      <w:r w:rsidRPr="00C620B5">
        <w:rPr>
          <w:lang w:eastAsia="zh-HK"/>
        </w:rPr>
        <w:tab/>
        <w:t>A number of challenges besetting Hong Kong are relevant to the practicality of implementing an archives law in the near future.  These challenges include:-</w:t>
      </w:r>
    </w:p>
    <w:p w:rsidR="005718FF" w:rsidRPr="00C57575" w:rsidRDefault="005718FF" w:rsidP="00D86E22">
      <w:pPr>
        <w:pStyle w:val="ListParagraph"/>
        <w:rPr>
          <w:rFonts w:cs="Arial"/>
          <w:sz w:val="20"/>
          <w:szCs w:val="20"/>
          <w:highlight w:val="yellow"/>
        </w:rPr>
      </w:pPr>
    </w:p>
    <w:p w:rsidR="005718FF" w:rsidRPr="00D8508D" w:rsidRDefault="005718FF" w:rsidP="00D86E22">
      <w:pPr>
        <w:ind w:left="1440" w:hanging="720"/>
        <w:rPr>
          <w:rFonts w:cs="Arial"/>
          <w:szCs w:val="28"/>
        </w:rPr>
      </w:pPr>
      <w:r>
        <w:rPr>
          <w:rFonts w:cs="Arial" w:hint="eastAsia"/>
        </w:rPr>
        <w:t>(i)</w:t>
      </w:r>
      <w:r>
        <w:rPr>
          <w:rFonts w:cs="Arial"/>
        </w:rPr>
        <w:tab/>
      </w:r>
      <w:r w:rsidRPr="00C620B5">
        <w:rPr>
          <w:rFonts w:cs="Arial"/>
        </w:rPr>
        <w:t>Concerns about public bodies</w:t>
      </w:r>
      <w:r>
        <w:rPr>
          <w:rFonts w:cs="Arial"/>
        </w:rPr>
        <w:t>'</w:t>
      </w:r>
      <w:r w:rsidRPr="00C620B5">
        <w:rPr>
          <w:rFonts w:cs="Arial"/>
        </w:rPr>
        <w:t xml:space="preserve"> readiness and willingness to be covered by a uniform </w:t>
      </w:r>
      <w:r>
        <w:rPr>
          <w:rFonts w:cs="Arial"/>
        </w:rPr>
        <w:t xml:space="preserve">recordkeeping </w:t>
      </w:r>
      <w:r w:rsidRPr="00C620B5">
        <w:rPr>
          <w:rFonts w:cs="Arial"/>
        </w:rPr>
        <w:t xml:space="preserve">regime as discussed in </w:t>
      </w:r>
      <w:r>
        <w:rPr>
          <w:rFonts w:cs="Arial"/>
        </w:rPr>
        <w:t>c</w:t>
      </w:r>
      <w:r w:rsidRPr="00C620B5">
        <w:rPr>
          <w:rFonts w:cs="Arial"/>
        </w:rPr>
        <w:t>h</w:t>
      </w:r>
      <w:r w:rsidRPr="00D8508D">
        <w:rPr>
          <w:rFonts w:cs="Arial"/>
        </w:rPr>
        <w:t xml:space="preserve">apter 10. </w:t>
      </w:r>
    </w:p>
    <w:p w:rsidR="005718FF" w:rsidRPr="00C57575" w:rsidRDefault="005718FF" w:rsidP="00D86E22">
      <w:pPr>
        <w:ind w:left="1440" w:hanging="720"/>
        <w:rPr>
          <w:rFonts w:cs="Arial"/>
          <w:sz w:val="20"/>
          <w:szCs w:val="20"/>
          <w:highlight w:val="yellow"/>
          <w:lang w:eastAsia="zh-HK"/>
        </w:rPr>
      </w:pPr>
    </w:p>
    <w:p w:rsidR="005718FF" w:rsidRPr="00C620B5" w:rsidRDefault="005718FF" w:rsidP="00D86E22">
      <w:pPr>
        <w:ind w:left="1440" w:hanging="720"/>
        <w:rPr>
          <w:rFonts w:cs="Arial"/>
          <w:szCs w:val="28"/>
        </w:rPr>
      </w:pPr>
      <w:r>
        <w:rPr>
          <w:rFonts w:cs="Arial" w:hint="eastAsia"/>
          <w:szCs w:val="28"/>
        </w:rPr>
        <w:t>(ii)</w:t>
      </w:r>
      <w:r>
        <w:rPr>
          <w:rFonts w:cs="Arial"/>
          <w:szCs w:val="28"/>
        </w:rPr>
        <w:tab/>
      </w:r>
      <w:r w:rsidRPr="00E46BE9">
        <w:rPr>
          <w:rFonts w:cs="Arial"/>
        </w:rPr>
        <w:t>Shortage</w:t>
      </w:r>
      <w:r w:rsidRPr="00C620B5">
        <w:rPr>
          <w:rFonts w:cs="Arial"/>
          <w:szCs w:val="28"/>
        </w:rPr>
        <w:t xml:space="preserve"> of archives management professionals in Hong Kong –</w:t>
      </w:r>
    </w:p>
    <w:p w:rsidR="005718FF" w:rsidRPr="00C57575" w:rsidRDefault="005718FF" w:rsidP="00D86E22">
      <w:pPr>
        <w:ind w:left="1440" w:hanging="720"/>
        <w:rPr>
          <w:rFonts w:cs="Arial"/>
          <w:sz w:val="20"/>
          <w:szCs w:val="20"/>
          <w:highlight w:val="yellow"/>
          <w:lang w:eastAsia="zh-HK"/>
        </w:rPr>
      </w:pPr>
    </w:p>
    <w:p w:rsidR="005718FF" w:rsidRPr="00C620B5" w:rsidRDefault="005718FF" w:rsidP="00D86E22">
      <w:pPr>
        <w:ind w:left="1440" w:hanging="720"/>
        <w:rPr>
          <w:rFonts w:cs="Arial"/>
          <w:i/>
          <w:szCs w:val="28"/>
        </w:rPr>
      </w:pPr>
      <w:r w:rsidRPr="00D8508D">
        <w:rPr>
          <w:rFonts w:cs="Arial" w:hint="eastAsia"/>
          <w:szCs w:val="28"/>
          <w:lang w:eastAsia="zh-HK"/>
        </w:rPr>
        <w:tab/>
      </w:r>
      <w:r w:rsidRPr="00D8508D">
        <w:rPr>
          <w:rFonts w:cs="Arial"/>
          <w:szCs w:val="28"/>
          <w:lang w:eastAsia="zh-HK"/>
        </w:rPr>
        <w:t xml:space="preserve">As discussed in chapter 10, the </w:t>
      </w:r>
      <w:r w:rsidRPr="00C620B5">
        <w:rPr>
          <w:rFonts w:cs="Arial"/>
          <w:szCs w:val="28"/>
          <w:lang w:eastAsia="zh-HK"/>
        </w:rPr>
        <w:t xml:space="preserve">supply of </w:t>
      </w:r>
      <w:r w:rsidRPr="00C620B5">
        <w:rPr>
          <w:rFonts w:cs="Arial"/>
        </w:rPr>
        <w:t>full-fledged specialists for undertaking professional archival duties</w:t>
      </w:r>
      <w:r w:rsidRPr="00C620B5">
        <w:rPr>
          <w:rFonts w:cs="Arial"/>
          <w:szCs w:val="28"/>
          <w:lang w:eastAsia="zh-HK"/>
        </w:rPr>
        <w:t xml:space="preserve"> at present is limited by the shortage of local universities which offer the necessary degree programme in records and archives management</w:t>
      </w:r>
      <w:r w:rsidRPr="00C620B5">
        <w:rPr>
          <w:rFonts w:cs="Arial" w:hint="eastAsia"/>
          <w:szCs w:val="28"/>
          <w:lang w:eastAsia="zh-HK"/>
        </w:rPr>
        <w:t xml:space="preserve">.  While it </w:t>
      </w:r>
      <w:r w:rsidRPr="00C620B5">
        <w:rPr>
          <w:rFonts w:cs="Arial"/>
          <w:szCs w:val="28"/>
          <w:lang w:eastAsia="zh-HK"/>
        </w:rPr>
        <w:t xml:space="preserve">is noted </w:t>
      </w:r>
      <w:r w:rsidRPr="00C620B5">
        <w:rPr>
          <w:rFonts w:cs="Arial" w:hint="eastAsia"/>
          <w:szCs w:val="28"/>
          <w:lang w:eastAsia="zh-HK"/>
        </w:rPr>
        <w:t xml:space="preserve">that </w:t>
      </w:r>
      <w:r w:rsidRPr="00C620B5">
        <w:rPr>
          <w:rFonts w:cs="Arial"/>
          <w:szCs w:val="28"/>
          <w:lang w:eastAsia="zh-HK"/>
        </w:rPr>
        <w:t>the trend is to go for a multidisciplinary team (such as archivists, lawyers, information architects, IT professionals</w:t>
      </w:r>
      <w:r w:rsidRPr="00C620B5">
        <w:rPr>
          <w:rFonts w:cs="Arial" w:hint="eastAsia"/>
          <w:szCs w:val="28"/>
          <w:lang w:eastAsia="zh-HK"/>
        </w:rPr>
        <w:t xml:space="preserve"> and librarians</w:t>
      </w:r>
      <w:r w:rsidRPr="00C620B5">
        <w:rPr>
          <w:rFonts w:cs="Arial"/>
          <w:szCs w:val="28"/>
          <w:lang w:eastAsia="zh-HK"/>
        </w:rPr>
        <w:t xml:space="preserve">, etc) as seen in the overseas archives such as England, Australia and Canada </w:t>
      </w:r>
      <w:r w:rsidRPr="00C620B5">
        <w:rPr>
          <w:rFonts w:cs="Arial" w:hint="eastAsia"/>
          <w:szCs w:val="28"/>
          <w:lang w:eastAsia="zh-HK"/>
        </w:rPr>
        <w:t xml:space="preserve">as a response to </w:t>
      </w:r>
      <w:r w:rsidRPr="00C620B5">
        <w:rPr>
          <w:rFonts w:cs="Arial"/>
          <w:szCs w:val="28"/>
          <w:lang w:eastAsia="zh-HK"/>
        </w:rPr>
        <w:t>the paradigm shift to the digital age</w:t>
      </w:r>
      <w:r w:rsidRPr="00C620B5">
        <w:rPr>
          <w:rFonts w:cs="Arial" w:hint="eastAsia"/>
          <w:szCs w:val="28"/>
          <w:lang w:eastAsia="zh-HK"/>
        </w:rPr>
        <w:t>, n</w:t>
      </w:r>
      <w:r w:rsidRPr="00C620B5">
        <w:rPr>
          <w:rFonts w:cs="Arial"/>
          <w:szCs w:val="28"/>
          <w:lang w:eastAsia="zh-HK"/>
        </w:rPr>
        <w:t>evertheless, if an archives law is enacted in the near future</w:t>
      </w:r>
      <w:r w:rsidRPr="00C620B5">
        <w:rPr>
          <w:rFonts w:cs="Arial" w:hint="eastAsia"/>
          <w:szCs w:val="28"/>
          <w:lang w:eastAsia="zh-HK"/>
        </w:rPr>
        <w:t xml:space="preserve">, </w:t>
      </w:r>
      <w:r w:rsidRPr="00C620B5">
        <w:rPr>
          <w:rFonts w:cs="Arial"/>
          <w:szCs w:val="28"/>
          <w:lang w:eastAsia="zh-HK"/>
        </w:rPr>
        <w:t xml:space="preserve">Hong Kong will still </w:t>
      </w:r>
      <w:r w:rsidRPr="00C620B5">
        <w:rPr>
          <w:rFonts w:cs="Arial"/>
          <w:szCs w:val="28"/>
          <w:lang w:eastAsia="zh-HK"/>
        </w:rPr>
        <w:lastRenderedPageBreak/>
        <w:t xml:space="preserve">need many more archivists to carry out the appraisal of records and </w:t>
      </w:r>
      <w:r w:rsidRPr="00C620B5">
        <w:rPr>
          <w:rFonts w:cs="Arial" w:hint="eastAsia"/>
          <w:szCs w:val="28"/>
          <w:lang w:eastAsia="zh-HK"/>
        </w:rPr>
        <w:t xml:space="preserve">other archives </w:t>
      </w:r>
      <w:r w:rsidRPr="00C620B5">
        <w:rPr>
          <w:rFonts w:cs="Arial"/>
          <w:szCs w:val="28"/>
          <w:lang w:eastAsia="zh-HK"/>
        </w:rPr>
        <w:t>management</w:t>
      </w:r>
      <w:r w:rsidRPr="00C620B5">
        <w:rPr>
          <w:rFonts w:cs="Arial" w:hint="eastAsia"/>
          <w:szCs w:val="28"/>
          <w:lang w:eastAsia="zh-HK"/>
        </w:rPr>
        <w:t xml:space="preserve"> work</w:t>
      </w:r>
      <w:r w:rsidRPr="00C620B5">
        <w:rPr>
          <w:rFonts w:cs="Arial"/>
          <w:szCs w:val="28"/>
          <w:lang w:eastAsia="zh-HK"/>
        </w:rPr>
        <w:t>.</w:t>
      </w:r>
      <w:r w:rsidRPr="00C620B5">
        <w:rPr>
          <w:rFonts w:cs="Arial" w:hint="eastAsia"/>
          <w:szCs w:val="28"/>
          <w:lang w:eastAsia="zh-HK"/>
        </w:rPr>
        <w:t xml:space="preserve">  </w:t>
      </w:r>
    </w:p>
    <w:p w:rsidR="005718FF" w:rsidRPr="0050345D" w:rsidRDefault="005718FF" w:rsidP="00D86E22">
      <w:pPr>
        <w:pStyle w:val="ListParagraph"/>
        <w:ind w:left="1440" w:hanging="720"/>
        <w:rPr>
          <w:rFonts w:cs="Arial"/>
          <w:szCs w:val="28"/>
          <w:highlight w:val="yellow"/>
        </w:rPr>
      </w:pPr>
    </w:p>
    <w:p w:rsidR="005718FF" w:rsidRPr="00C620B5" w:rsidRDefault="005718FF" w:rsidP="00D86E22">
      <w:pPr>
        <w:keepNext/>
        <w:ind w:left="1440" w:hanging="720"/>
        <w:rPr>
          <w:rFonts w:cs="Arial"/>
          <w:szCs w:val="28"/>
          <w:lang w:eastAsia="zh-HK"/>
        </w:rPr>
      </w:pPr>
      <w:r>
        <w:rPr>
          <w:rFonts w:cs="Arial" w:hint="eastAsia"/>
          <w:szCs w:val="28"/>
        </w:rPr>
        <w:t>(iii)</w:t>
      </w:r>
      <w:r>
        <w:rPr>
          <w:rFonts w:cs="Arial"/>
          <w:szCs w:val="28"/>
        </w:rPr>
        <w:tab/>
      </w:r>
      <w:r w:rsidRPr="00C620B5">
        <w:rPr>
          <w:rFonts w:cs="Arial"/>
          <w:szCs w:val="28"/>
        </w:rPr>
        <w:t>Challenges brought by the digital era –</w:t>
      </w:r>
    </w:p>
    <w:p w:rsidR="005718FF" w:rsidRPr="00EB1792" w:rsidRDefault="005718FF" w:rsidP="00D86E22">
      <w:pPr>
        <w:keepNext/>
        <w:ind w:left="1440" w:hanging="720"/>
        <w:rPr>
          <w:rFonts w:cs="Arial"/>
          <w:i/>
          <w:szCs w:val="28"/>
          <w:highlight w:val="yellow"/>
          <w:lang w:eastAsia="zh-HK"/>
        </w:rPr>
      </w:pPr>
    </w:p>
    <w:p w:rsidR="005718FF" w:rsidRPr="00C620B5" w:rsidRDefault="005718FF" w:rsidP="00D86E22">
      <w:pPr>
        <w:keepNext/>
        <w:ind w:left="1440" w:hanging="720"/>
        <w:rPr>
          <w:rFonts w:cs="Arial"/>
          <w:i/>
          <w:szCs w:val="28"/>
          <w:lang w:eastAsia="zh-HK"/>
        </w:rPr>
      </w:pPr>
      <w:r w:rsidRPr="00C620B5">
        <w:rPr>
          <w:rFonts w:cs="Arial" w:hint="eastAsia"/>
          <w:szCs w:val="28"/>
        </w:rPr>
        <w:tab/>
      </w:r>
      <w:r w:rsidRPr="00C620B5">
        <w:rPr>
          <w:rFonts w:cs="Arial"/>
          <w:szCs w:val="28"/>
        </w:rPr>
        <w:t xml:space="preserve">The </w:t>
      </w:r>
      <w:r w:rsidRPr="00C620B5">
        <w:rPr>
          <w:rFonts w:cs="Arial"/>
          <w:szCs w:val="28"/>
          <w:lang w:eastAsia="zh-HK"/>
        </w:rPr>
        <w:t xml:space="preserve">GRS is facing some daunting challenges on </w:t>
      </w:r>
      <w:r w:rsidRPr="00C620B5">
        <w:rPr>
          <w:rFonts w:cs="Arial" w:hint="eastAsia"/>
          <w:szCs w:val="28"/>
          <w:lang w:eastAsia="zh-HK"/>
        </w:rPr>
        <w:t xml:space="preserve">preservation of </w:t>
      </w:r>
      <w:r>
        <w:rPr>
          <w:rFonts w:cs="Arial"/>
          <w:szCs w:val="28"/>
          <w:lang w:eastAsia="zh-HK"/>
        </w:rPr>
        <w:t>electronic</w:t>
      </w:r>
      <w:r w:rsidRPr="00C620B5">
        <w:rPr>
          <w:rFonts w:cs="Arial" w:hint="eastAsia"/>
          <w:szCs w:val="28"/>
          <w:lang w:eastAsia="zh-HK"/>
        </w:rPr>
        <w:t xml:space="preserve"> records</w:t>
      </w:r>
      <w:r w:rsidRPr="00C620B5">
        <w:rPr>
          <w:rFonts w:cs="Arial"/>
          <w:szCs w:val="28"/>
          <w:lang w:eastAsia="zh-HK"/>
        </w:rPr>
        <w:t xml:space="preserve">.  These challenges are shared by archival authorities in other jurisdictions.  In particular, </w:t>
      </w:r>
      <w:r w:rsidRPr="003A2593">
        <w:rPr>
          <w:rFonts w:cs="Arial"/>
          <w:szCs w:val="28"/>
          <w:lang w:eastAsia="zh-HK"/>
        </w:rPr>
        <w:t xml:space="preserve">the media </w:t>
      </w:r>
      <w:r>
        <w:rPr>
          <w:rFonts w:cs="Arial"/>
          <w:szCs w:val="28"/>
          <w:lang w:eastAsia="zh-HK"/>
        </w:rPr>
        <w:t>upon which electronic records</w:t>
      </w:r>
      <w:r w:rsidRPr="003A2593">
        <w:rPr>
          <w:rFonts w:cs="Arial"/>
          <w:szCs w:val="28"/>
          <w:lang w:eastAsia="zh-HK"/>
        </w:rPr>
        <w:t xml:space="preserve"> are recorded</w:t>
      </w:r>
      <w:r w:rsidRPr="00C620B5">
        <w:rPr>
          <w:rFonts w:cs="Arial"/>
          <w:szCs w:val="28"/>
          <w:lang w:eastAsia="zh-HK"/>
        </w:rPr>
        <w:t xml:space="preserve"> are fragile</w:t>
      </w:r>
      <w:r>
        <w:rPr>
          <w:rFonts w:cs="Arial"/>
          <w:szCs w:val="28"/>
          <w:lang w:eastAsia="zh-HK"/>
        </w:rPr>
        <w:t>,</w:t>
      </w:r>
      <w:r w:rsidRPr="00C620B5">
        <w:rPr>
          <w:rFonts w:cs="Arial"/>
          <w:szCs w:val="28"/>
          <w:lang w:eastAsia="zh-HK"/>
        </w:rPr>
        <w:t xml:space="preserve"> and </w:t>
      </w:r>
      <w:r>
        <w:rPr>
          <w:rFonts w:cs="Arial"/>
          <w:szCs w:val="28"/>
          <w:lang w:eastAsia="zh-HK"/>
        </w:rPr>
        <w:t xml:space="preserve">such records are </w:t>
      </w:r>
      <w:r w:rsidRPr="00C620B5">
        <w:rPr>
          <w:rFonts w:cs="Arial"/>
          <w:szCs w:val="28"/>
          <w:lang w:eastAsia="zh-HK"/>
        </w:rPr>
        <w:t>technology dependent and may appear in different file formats.  They can easily be manipulated and tampered with without being discovered.  In this connection, the Sub-committee notes that archival authorities worldwide are making efforts in setting up digital archives to cater for the proper preservation of archival records in electronic form to ensure their authenticity, integrity, reliability and usability over time.  At present, technological obsolescence is still a major challenge to be resolved by them.  The GRS is no exception to the challenge.</w:t>
      </w:r>
    </w:p>
    <w:p w:rsidR="005718FF" w:rsidRPr="008835C7" w:rsidRDefault="005718FF" w:rsidP="00D86E22">
      <w:pPr>
        <w:pStyle w:val="ListParagraph"/>
        <w:ind w:left="0"/>
        <w:rPr>
          <w:rFonts w:cs="Arial"/>
          <w:highlight w:val="green"/>
          <w:lang w:val="en-US"/>
        </w:rPr>
      </w:pPr>
    </w:p>
    <w:p w:rsidR="005718FF" w:rsidRPr="005F2F05" w:rsidRDefault="005718FF" w:rsidP="00D86E22">
      <w:pPr>
        <w:rPr>
          <w:rFonts w:cs="Arial"/>
          <w:b/>
          <w:i/>
          <w:highlight w:val="green"/>
        </w:rPr>
      </w:pPr>
    </w:p>
    <w:p w:rsidR="005718FF" w:rsidRPr="00864885" w:rsidRDefault="005718FF" w:rsidP="00D86E22">
      <w:pPr>
        <w:pStyle w:val="Heading2"/>
      </w:pPr>
      <w:r w:rsidRPr="00864885">
        <w:t xml:space="preserve">Our </w:t>
      </w:r>
      <w:r>
        <w:rPr>
          <w:rFonts w:hint="eastAsia"/>
        </w:rPr>
        <w:t>p</w:t>
      </w:r>
      <w:r w:rsidRPr="00864885">
        <w:t xml:space="preserve">rovisional </w:t>
      </w:r>
      <w:r>
        <w:rPr>
          <w:rFonts w:hint="eastAsia"/>
        </w:rPr>
        <w:t>v</w:t>
      </w:r>
      <w:r w:rsidRPr="00864885">
        <w:t>iews</w:t>
      </w:r>
    </w:p>
    <w:p w:rsidR="005718FF" w:rsidRPr="00EB1792" w:rsidRDefault="005718FF" w:rsidP="00D86E22">
      <w:pPr>
        <w:pStyle w:val="ListParagraph"/>
        <w:keepNext/>
        <w:rPr>
          <w:rFonts w:cs="Arial"/>
          <w:highlight w:val="yellow"/>
        </w:rPr>
      </w:pPr>
    </w:p>
    <w:p w:rsidR="005718FF" w:rsidRPr="00C620B5" w:rsidRDefault="005718FF" w:rsidP="00D86E22">
      <w:r>
        <w:t>9.10</w:t>
      </w:r>
      <w:r w:rsidRPr="00C620B5">
        <w:tab/>
      </w:r>
      <w:r w:rsidRPr="00C620B5">
        <w:rPr>
          <w:rFonts w:hint="eastAsia"/>
        </w:rPr>
        <w:tab/>
      </w:r>
      <w:r w:rsidRPr="00C620B5">
        <w:t>As discussed above, there are considerations in favour of the enactment of an archives law in Hong Kong</w:t>
      </w:r>
      <w:r>
        <w:t>,</w:t>
      </w:r>
      <w:r w:rsidRPr="00C620B5">
        <w:t xml:space="preserve"> </w:t>
      </w:r>
      <w:r w:rsidRPr="00C620B5">
        <w:rPr>
          <w:rFonts w:hint="eastAsia"/>
        </w:rPr>
        <w:t xml:space="preserve">but there are also </w:t>
      </w:r>
      <w:r w:rsidRPr="00C620B5">
        <w:t>practical concerns</w:t>
      </w:r>
      <w:r w:rsidRPr="00C620B5">
        <w:rPr>
          <w:rFonts w:hint="eastAsia"/>
        </w:rPr>
        <w:t xml:space="preserve"> over its implementation.</w:t>
      </w:r>
      <w:r w:rsidRPr="00C620B5" w:rsidDel="00C268F2">
        <w:rPr>
          <w:rFonts w:hint="eastAsia"/>
        </w:rPr>
        <w:t xml:space="preserve"> </w:t>
      </w:r>
      <w:r w:rsidRPr="00C620B5">
        <w:t xml:space="preserve"> </w:t>
      </w:r>
      <w:r w:rsidRPr="00BA2DE0">
        <w:rPr>
          <w:b/>
        </w:rPr>
        <w:t xml:space="preserve">On balance, we do see a case for the introduction of </w:t>
      </w:r>
      <w:r>
        <w:rPr>
          <w:b/>
        </w:rPr>
        <w:t xml:space="preserve">an </w:t>
      </w:r>
      <w:r w:rsidRPr="00BA2DE0">
        <w:rPr>
          <w:b/>
        </w:rPr>
        <w:t>archives law to further strengthen the management, protection and preservation of public records and archives in Hong Kong.</w:t>
      </w:r>
      <w:r w:rsidRPr="00C620B5">
        <w:t xml:space="preserve">  </w:t>
      </w:r>
    </w:p>
    <w:p w:rsidR="005718FF" w:rsidRPr="005F2F05" w:rsidRDefault="005718FF" w:rsidP="00D86E22">
      <w:pPr>
        <w:pStyle w:val="ListParagraph"/>
        <w:rPr>
          <w:rFonts w:cs="Arial"/>
          <w:highlight w:val="green"/>
        </w:rPr>
      </w:pPr>
    </w:p>
    <w:p w:rsidR="005718FF" w:rsidRPr="00C57575" w:rsidRDefault="005718FF" w:rsidP="00D86E22">
      <w:pPr>
        <w:rPr>
          <w:rFonts w:cs="Arial"/>
          <w:highlight w:val="green"/>
          <w:lang w:val="en-US"/>
        </w:rPr>
      </w:pPr>
    </w:p>
    <w:p w:rsidR="005718FF" w:rsidRPr="00C620B5" w:rsidRDefault="005718FF" w:rsidP="00D86E22">
      <w:pPr>
        <w:pBdr>
          <w:top w:val="single" w:sz="4" w:space="8" w:color="auto"/>
          <w:left w:val="single" w:sz="4" w:space="8" w:color="auto"/>
          <w:bottom w:val="single" w:sz="4" w:space="8" w:color="auto"/>
          <w:right w:val="single" w:sz="4" w:space="8" w:color="auto"/>
        </w:pBdr>
        <w:ind w:left="1440" w:right="720" w:hanging="720"/>
        <w:rPr>
          <w:rFonts w:cs="Arial"/>
          <w:b/>
        </w:rPr>
      </w:pPr>
      <w:r w:rsidRPr="00C620B5">
        <w:rPr>
          <w:rFonts w:cs="Arial"/>
          <w:b/>
        </w:rPr>
        <w:t>Consultation Question 11</w:t>
      </w:r>
    </w:p>
    <w:p w:rsidR="005718FF" w:rsidRDefault="005718FF" w:rsidP="00D86E22">
      <w:pPr>
        <w:pBdr>
          <w:top w:val="single" w:sz="4" w:space="8" w:color="auto"/>
          <w:left w:val="single" w:sz="4" w:space="8" w:color="auto"/>
          <w:bottom w:val="single" w:sz="4" w:space="8" w:color="auto"/>
          <w:right w:val="single" w:sz="4" w:space="8" w:color="auto"/>
        </w:pBdr>
        <w:ind w:left="1440" w:right="720" w:hanging="720"/>
        <w:rPr>
          <w:rFonts w:cs="Arial"/>
          <w:b/>
          <w:highlight w:val="yellow"/>
        </w:rPr>
      </w:pPr>
    </w:p>
    <w:p w:rsidR="005718FF" w:rsidRPr="00C620B5" w:rsidRDefault="005718FF" w:rsidP="00D86E22">
      <w:pPr>
        <w:pBdr>
          <w:top w:val="single" w:sz="4" w:space="8" w:color="auto"/>
          <w:left w:val="single" w:sz="4" w:space="8" w:color="auto"/>
          <w:bottom w:val="single" w:sz="4" w:space="8" w:color="auto"/>
          <w:right w:val="single" w:sz="4" w:space="8" w:color="auto"/>
        </w:pBdr>
        <w:ind w:left="720" w:right="720"/>
        <w:rPr>
          <w:rFonts w:cs="Arial"/>
          <w:b/>
          <w:highlight w:val="yellow"/>
        </w:rPr>
      </w:pPr>
      <w:r w:rsidRPr="00C620B5">
        <w:rPr>
          <w:rFonts w:cs="Arial"/>
          <w:b/>
        </w:rPr>
        <w:t xml:space="preserve">Do you think there is a case for introducing an archives law to strengthen the current </w:t>
      </w:r>
      <w:r>
        <w:rPr>
          <w:rFonts w:cs="Arial"/>
          <w:b/>
        </w:rPr>
        <w:t xml:space="preserve">public </w:t>
      </w:r>
      <w:r w:rsidRPr="00C620B5">
        <w:rPr>
          <w:rFonts w:cs="Arial"/>
          <w:b/>
        </w:rPr>
        <w:t>records and archives management</w:t>
      </w:r>
      <w:r>
        <w:rPr>
          <w:rFonts w:cs="Arial"/>
          <w:b/>
        </w:rPr>
        <w:t xml:space="preserve"> framework</w:t>
      </w:r>
      <w:r w:rsidRPr="00C620B5">
        <w:rPr>
          <w:rFonts w:cs="Arial"/>
          <w:b/>
        </w:rPr>
        <w:t xml:space="preserve"> and what are your reasons?</w:t>
      </w:r>
    </w:p>
    <w:p w:rsidR="005718FF" w:rsidRPr="005F2F05" w:rsidRDefault="005718FF" w:rsidP="00D86E22">
      <w:pPr>
        <w:rPr>
          <w:rFonts w:cs="Arial" w:hint="eastAsia"/>
          <w:highlight w:val="green"/>
        </w:rPr>
      </w:pPr>
    </w:p>
    <w:p w:rsidR="005718FF" w:rsidRPr="005F2F05" w:rsidRDefault="005718FF" w:rsidP="00D86E22">
      <w:pPr>
        <w:rPr>
          <w:rFonts w:cs="Arial"/>
          <w:highlight w:val="green"/>
        </w:rPr>
      </w:pPr>
    </w:p>
    <w:p w:rsidR="005718FF" w:rsidRDefault="005718FF">
      <w:pPr>
        <w:rPr>
          <w:rFonts w:cs="Arial" w:hint="eastAsia"/>
          <w:i/>
          <w:sz w:val="18"/>
          <w:szCs w:val="18"/>
        </w:rPr>
      </w:pPr>
    </w:p>
    <w:p w:rsidR="005718FF" w:rsidRDefault="005718FF">
      <w:pPr>
        <w:rPr>
          <w:rFonts w:cs="Arial" w:hint="eastAsia"/>
          <w:i/>
          <w:sz w:val="18"/>
          <w:szCs w:val="18"/>
        </w:rPr>
      </w:pPr>
    </w:p>
    <w:p w:rsidR="005718FF" w:rsidRDefault="005718FF">
      <w:pPr>
        <w:rPr>
          <w:rFonts w:cs="Arial" w:hint="eastAsia"/>
          <w:i/>
          <w:sz w:val="18"/>
          <w:szCs w:val="18"/>
        </w:rPr>
      </w:pPr>
    </w:p>
    <w:p w:rsidR="005718FF" w:rsidRDefault="005718FF" w:rsidP="007572E9">
      <w:pPr>
        <w:rPr>
          <w:rFonts w:cs="Arial"/>
          <w:b/>
          <w:sz w:val="20"/>
          <w:szCs w:val="20"/>
        </w:rPr>
        <w:sectPr w:rsidR="005718FF" w:rsidSect="00D86E22">
          <w:footerReference w:type="default" r:id="rId23"/>
          <w:footnotePr>
            <w:numStart w:val="49"/>
            <w:numRestart w:val="eachSect"/>
          </w:footnotePr>
          <w:pgSz w:w="11906" w:h="16838" w:code="9"/>
          <w:pgMar w:top="1440" w:right="1800" w:bottom="1440" w:left="1800" w:header="720" w:footer="720" w:gutter="0"/>
          <w:cols w:space="425"/>
          <w:docGrid w:type="linesAndChars" w:linePitch="360"/>
        </w:sectPr>
      </w:pPr>
    </w:p>
    <w:p w:rsidR="00D37010" w:rsidRDefault="00D37010" w:rsidP="00D86E22">
      <w:pPr>
        <w:pStyle w:val="Heading1"/>
      </w:pPr>
      <w:r>
        <w:rPr>
          <w:rFonts w:hint="eastAsia"/>
        </w:rPr>
        <w:lastRenderedPageBreak/>
        <w:t xml:space="preserve">Chapter </w:t>
      </w:r>
      <w:r>
        <w:t>10</w:t>
      </w:r>
    </w:p>
    <w:p w:rsidR="00D37010" w:rsidRDefault="00D37010">
      <w:pPr>
        <w:jc w:val="center"/>
        <w:rPr>
          <w:rFonts w:cs="Arial"/>
          <w:b/>
          <w:sz w:val="36"/>
          <w:szCs w:val="36"/>
        </w:rPr>
      </w:pPr>
    </w:p>
    <w:p w:rsidR="00D37010" w:rsidRDefault="00D37010" w:rsidP="00D86E22">
      <w:pPr>
        <w:pStyle w:val="Heading1"/>
        <w:rPr>
          <w:lang w:eastAsia="zh-HK"/>
        </w:rPr>
      </w:pPr>
      <w:r>
        <w:t xml:space="preserve">Coverage of </w:t>
      </w:r>
      <w:r>
        <w:rPr>
          <w:rFonts w:hint="eastAsia"/>
        </w:rPr>
        <w:t>p</w:t>
      </w:r>
      <w:r>
        <w:t>ublic</w:t>
      </w:r>
    </w:p>
    <w:p w:rsidR="00D37010" w:rsidRDefault="00D37010">
      <w:pPr>
        <w:pStyle w:val="Heading1"/>
      </w:pPr>
      <w:r>
        <w:rPr>
          <w:rFonts w:hint="eastAsia"/>
        </w:rPr>
        <w:t>r</w:t>
      </w:r>
      <w:r>
        <w:t xml:space="preserve">ecords </w:t>
      </w:r>
      <w:r>
        <w:rPr>
          <w:rFonts w:hint="eastAsia"/>
        </w:rPr>
        <w:t>m</w:t>
      </w:r>
      <w:r>
        <w:t xml:space="preserve">anagement </w:t>
      </w:r>
      <w:r>
        <w:rPr>
          <w:rFonts w:hint="eastAsia"/>
        </w:rPr>
        <w:t>r</w:t>
      </w:r>
      <w:r>
        <w:t>egime</w:t>
      </w:r>
    </w:p>
    <w:p w:rsidR="00D37010" w:rsidRDefault="00D37010">
      <w:pPr>
        <w:rPr>
          <w:rFonts w:cs="Arial"/>
          <w:b/>
        </w:rPr>
      </w:pPr>
      <w:r>
        <w:rPr>
          <w:rFonts w:cs="Arial" w:hint="eastAsia"/>
          <w:b/>
        </w:rPr>
        <w:t>______________________________________</w:t>
      </w:r>
    </w:p>
    <w:p w:rsidR="00D37010" w:rsidRDefault="00D37010">
      <w:pPr>
        <w:rPr>
          <w:rFonts w:cs="Arial"/>
        </w:rPr>
      </w:pPr>
    </w:p>
    <w:p w:rsidR="00D37010" w:rsidRDefault="00D37010">
      <w:pPr>
        <w:rPr>
          <w:rFonts w:cs="Arial"/>
        </w:rPr>
      </w:pPr>
    </w:p>
    <w:p w:rsidR="00D37010" w:rsidRDefault="00D37010">
      <w:pPr>
        <w:rPr>
          <w:rFonts w:cs="Arial"/>
        </w:rPr>
      </w:pPr>
    </w:p>
    <w:p w:rsidR="00D37010" w:rsidRDefault="00D37010" w:rsidP="00D86E22">
      <w:pPr>
        <w:pStyle w:val="Heading2"/>
      </w:pPr>
      <w:r>
        <w:t>Introduction</w:t>
      </w:r>
    </w:p>
    <w:p w:rsidR="00D37010" w:rsidRDefault="00D37010">
      <w:pPr>
        <w:rPr>
          <w:rFonts w:cs="Arial"/>
        </w:rPr>
      </w:pPr>
    </w:p>
    <w:p w:rsidR="00D37010" w:rsidRPr="00CC09BF" w:rsidRDefault="00D37010">
      <w:r>
        <w:t>10</w:t>
      </w:r>
      <w:r>
        <w:rPr>
          <w:rFonts w:hint="eastAsia"/>
        </w:rPr>
        <w:t>.</w:t>
      </w:r>
      <w:r>
        <w:t>1</w:t>
      </w:r>
      <w:r>
        <w:tab/>
      </w:r>
      <w:r>
        <w:tab/>
        <w:t xml:space="preserve">Currently, the Government's records management regime covers almost exclusively B/Ds. </w:t>
      </w:r>
      <w:r>
        <w:rPr>
          <w:rFonts w:hint="eastAsia"/>
        </w:rPr>
        <w:t xml:space="preserve"> </w:t>
      </w:r>
      <w:r>
        <w:t xml:space="preserve">This chapter examines whether this regime should be extended to other public bodies in Hong Kong.  An examination of this issue of the </w:t>
      </w:r>
      <w:r w:rsidRPr="001A132C">
        <w:rPr>
          <w:i/>
        </w:rPr>
        <w:t>scope</w:t>
      </w:r>
      <w:r>
        <w:t xml:space="preserve"> of public bodies to be covered naturally brings up the issue of the </w:t>
      </w:r>
      <w:r w:rsidRPr="001A132C">
        <w:rPr>
          <w:i/>
        </w:rPr>
        <w:t>extent</w:t>
      </w:r>
      <w:r>
        <w:t xml:space="preserve"> of oversight by the archival authority.  For reasons discussed below, our provisional views on the former issue </w:t>
      </w:r>
      <w:r>
        <w:rPr>
          <w:lang w:val="en-US"/>
        </w:rPr>
        <w:t>are</w:t>
      </w:r>
      <w:r w:rsidRPr="00CC09BF">
        <w:rPr>
          <w:lang w:val="en-US"/>
        </w:rPr>
        <w:t xml:space="preserve"> that it is more advisable to follow the approach in England, Ireland, New Zealand and Singapore, ie enumerating from time to time specific bodies that should be subject to the </w:t>
      </w:r>
      <w:r>
        <w:rPr>
          <w:lang w:val="en-US"/>
        </w:rPr>
        <w:t xml:space="preserve">public </w:t>
      </w:r>
      <w:r w:rsidRPr="00CC09BF">
        <w:rPr>
          <w:lang w:val="en-US"/>
        </w:rPr>
        <w:t>records management regime.</w:t>
      </w:r>
      <w:r>
        <w:rPr>
          <w:lang w:val="en-US"/>
        </w:rPr>
        <w:t xml:space="preserve">  On the issue of the </w:t>
      </w:r>
      <w:r w:rsidRPr="002C2861">
        <w:rPr>
          <w:lang w:val="en-US"/>
        </w:rPr>
        <w:t>extent</w:t>
      </w:r>
      <w:r>
        <w:rPr>
          <w:i/>
          <w:lang w:val="en-US"/>
        </w:rPr>
        <w:t xml:space="preserve"> </w:t>
      </w:r>
      <w:r>
        <w:rPr>
          <w:lang w:val="en-US"/>
        </w:rPr>
        <w:t xml:space="preserve">of oversight, </w:t>
      </w:r>
      <w:r w:rsidRPr="00CC09BF">
        <w:rPr>
          <w:lang w:val="en-US"/>
        </w:rPr>
        <w:t>we consider that a "bespoke" approach is more appropriate.</w:t>
      </w:r>
    </w:p>
    <w:p w:rsidR="00D37010" w:rsidRDefault="00D37010">
      <w:pPr>
        <w:rPr>
          <w:rFonts w:cs="Arial"/>
        </w:rPr>
      </w:pPr>
    </w:p>
    <w:p w:rsidR="00D37010" w:rsidRDefault="00D37010">
      <w:pPr>
        <w:rPr>
          <w:rFonts w:cs="Arial"/>
          <w:b/>
        </w:rPr>
      </w:pPr>
    </w:p>
    <w:p w:rsidR="00D37010" w:rsidRDefault="00D37010">
      <w:pPr>
        <w:pStyle w:val="Heading2"/>
      </w:pPr>
      <w:r>
        <w:t>"Public body"</w:t>
      </w:r>
    </w:p>
    <w:p w:rsidR="00D37010" w:rsidRDefault="00D37010">
      <w:pPr>
        <w:rPr>
          <w:rFonts w:cs="Arial"/>
        </w:rPr>
      </w:pPr>
    </w:p>
    <w:p w:rsidR="00D37010" w:rsidRDefault="00D37010" w:rsidP="009A4F49">
      <w:pPr>
        <w:widowControl/>
      </w:pPr>
      <w:r>
        <w:t>10</w:t>
      </w:r>
      <w:r>
        <w:rPr>
          <w:rFonts w:hint="eastAsia"/>
        </w:rPr>
        <w:t>.</w:t>
      </w:r>
      <w:r>
        <w:t>2</w:t>
      </w:r>
      <w:r>
        <w:rPr>
          <w:b/>
        </w:rPr>
        <w:tab/>
      </w:r>
      <w:r>
        <w:rPr>
          <w:b/>
        </w:rPr>
        <w:tab/>
      </w:r>
      <w:r>
        <w:t>Definitions of "</w:t>
      </w:r>
      <w:r>
        <w:rPr>
          <w:i/>
        </w:rPr>
        <w:t>public body</w:t>
      </w:r>
      <w:r>
        <w:t>", "</w:t>
      </w:r>
      <w:r>
        <w:rPr>
          <w:i/>
        </w:rPr>
        <w:t>public bodies</w:t>
      </w:r>
      <w:r>
        <w:t>" and other related terms can be found in different legislation (for example, the Interpretation and General Clauses Ordinance (Cap 1)</w:t>
      </w:r>
      <w:r>
        <w:rPr>
          <w:rFonts w:hint="eastAsia"/>
        </w:rPr>
        <w:t>,</w:t>
      </w:r>
      <w:r>
        <w:rPr>
          <w:rStyle w:val="FootnoteReference"/>
          <w:rFonts w:cs="Arial"/>
        </w:rPr>
        <w:footnoteReference w:id="596"/>
      </w:r>
      <w:r>
        <w:t xml:space="preserve"> the Prevention of Bribery Ordinance (Cap 201)</w:t>
      </w:r>
      <w:r>
        <w:rPr>
          <w:rStyle w:val="FootnoteReference"/>
          <w:rFonts w:cs="Arial"/>
        </w:rPr>
        <w:footnoteReference w:id="597"/>
      </w:r>
      <w:r>
        <w:t xml:space="preserve"> and The Ombudsman Ordinance (Cap</w:t>
      </w:r>
      <w:r>
        <w:rPr>
          <w:rFonts w:hint="eastAsia"/>
        </w:rPr>
        <w:t xml:space="preserve"> </w:t>
      </w:r>
      <w:r>
        <w:t>397)</w:t>
      </w:r>
      <w:r>
        <w:rPr>
          <w:rStyle w:val="FootnoteReference"/>
          <w:rFonts w:cs="Arial"/>
        </w:rPr>
        <w:footnoteReference w:id="598"/>
      </w:r>
      <w:r>
        <w:t xml:space="preserve">) and different contexts in Hong Kong.  But they are by no means identical.  </w:t>
      </w:r>
    </w:p>
    <w:p w:rsidR="00D37010" w:rsidRDefault="00D37010">
      <w:pPr>
        <w:rPr>
          <w:rFonts w:cs="Arial"/>
        </w:rPr>
      </w:pPr>
    </w:p>
    <w:p w:rsidR="00D37010" w:rsidRDefault="00D37010">
      <w:r>
        <w:t>10</w:t>
      </w:r>
      <w:r>
        <w:rPr>
          <w:rFonts w:hint="eastAsia"/>
        </w:rPr>
        <w:t>.</w:t>
      </w:r>
      <w:r>
        <w:t>3</w:t>
      </w:r>
      <w:r>
        <w:tab/>
      </w:r>
      <w:r>
        <w:tab/>
        <w:t>Currently, there are abou</w:t>
      </w:r>
      <w:r w:rsidRPr="00A2691F">
        <w:t>t 130 bo</w:t>
      </w:r>
      <w:r>
        <w:t>dies specified in Schedule 1 of the Prevention of Bribery Ordinance (Cap 201), including the Securities and Futures Commission, Hospital Authority, Airport Authority, Hong Kong Housing Authority, Equal Opportunities Commission, Hong Kong Trade Development Council, Mandatory Provident Fund Schemes Authority and various universities.</w:t>
      </w:r>
      <w:r>
        <w:rPr>
          <w:rStyle w:val="FootnoteReference"/>
        </w:rPr>
        <w:footnoteReference w:id="599"/>
      </w:r>
      <w:r>
        <w:t xml:space="preserve">  The official website of the Home Affairs Bureau also contains a list of advisory and statutory bodies giving advice to the Government or performing public functions which would otherwise be performed by government departments in Hong Kong.  There are about 490 bodies on the list.</w:t>
      </w:r>
      <w:r>
        <w:rPr>
          <w:rStyle w:val="FootnoteReference"/>
          <w:rFonts w:cs="Arial"/>
        </w:rPr>
        <w:footnoteReference w:id="600"/>
      </w:r>
    </w:p>
    <w:p w:rsidR="00D37010" w:rsidRDefault="00D37010">
      <w:pPr>
        <w:rPr>
          <w:rFonts w:cs="Arial"/>
        </w:rPr>
      </w:pPr>
    </w:p>
    <w:p w:rsidR="00D37010" w:rsidRDefault="00D37010">
      <w:r>
        <w:t>10.4</w:t>
      </w:r>
      <w:r>
        <w:tab/>
      </w:r>
      <w:r>
        <w:tab/>
        <w:t>For the avoidance of confusion, the term "public body" (or "public bodies") is used in this chapter whenever reference is made to a body, other than B/Ds, which performs public functions.  This chapter will first review the relevant comments and the Government's response, to be followed by the law and practices in other jurisdictions.  Finally, we will bring up some key considerations and then put forward our provisional views and some relevant questions for public consultation.</w:t>
      </w:r>
    </w:p>
    <w:p w:rsidR="00D37010" w:rsidRDefault="00D37010">
      <w:pPr>
        <w:rPr>
          <w:rFonts w:cs="Arial"/>
        </w:rPr>
      </w:pPr>
    </w:p>
    <w:p w:rsidR="00D37010" w:rsidRDefault="00D37010">
      <w:pPr>
        <w:rPr>
          <w:rFonts w:cs="Arial"/>
          <w:b/>
        </w:rPr>
      </w:pPr>
    </w:p>
    <w:p w:rsidR="00D37010" w:rsidRDefault="00D37010">
      <w:pPr>
        <w:pStyle w:val="Heading2"/>
      </w:pPr>
      <w:r>
        <w:t>Coverage of the existing administrative regime</w:t>
      </w:r>
    </w:p>
    <w:p w:rsidR="00D37010" w:rsidRDefault="00D37010">
      <w:pPr>
        <w:rPr>
          <w:rFonts w:cs="Arial"/>
        </w:rPr>
      </w:pPr>
    </w:p>
    <w:p w:rsidR="00D37010" w:rsidRDefault="00D37010" w:rsidP="00D86E22">
      <w:pPr>
        <w:rPr>
          <w:b/>
          <w:i/>
        </w:rPr>
      </w:pPr>
      <w:r>
        <w:t>10</w:t>
      </w:r>
      <w:r>
        <w:rPr>
          <w:rFonts w:hint="eastAsia"/>
        </w:rPr>
        <w:t>.</w:t>
      </w:r>
      <w:r>
        <w:t>5</w:t>
      </w:r>
      <w:r>
        <w:tab/>
      </w:r>
      <w:r>
        <w:tab/>
        <w:t>The coverage of the Government's existing administrative regime can be discerned from the RMM, which provides guidance and instructions for the management of government records.  The term "</w:t>
      </w:r>
      <w:r>
        <w:rPr>
          <w:i/>
        </w:rPr>
        <w:t>government records</w:t>
      </w:r>
      <w:r>
        <w:t xml:space="preserve">" is defined to mean, </w:t>
      </w:r>
      <w:r>
        <w:rPr>
          <w:i/>
        </w:rPr>
        <w:t>inter alia</w:t>
      </w:r>
      <w:r>
        <w:t xml:space="preserve">, </w:t>
      </w:r>
      <w:r>
        <w:rPr>
          <w:lang w:eastAsia="zh-HK"/>
        </w:rPr>
        <w:t>"</w:t>
      </w:r>
      <w:r w:rsidRPr="00BF1613">
        <w:rPr>
          <w:i/>
          <w:lang w:eastAsia="zh-HK"/>
        </w:rPr>
        <w:t>records created or received by any government agencies or government officers in the course of official business, and subsequently kept as evidence of such business</w:t>
      </w:r>
      <w:r>
        <w:rPr>
          <w:lang w:eastAsia="zh-HK"/>
        </w:rPr>
        <w:t>"</w:t>
      </w:r>
      <w:r>
        <w:rPr>
          <w:rFonts w:hint="eastAsia"/>
          <w:lang w:eastAsia="zh-HK"/>
        </w:rPr>
        <w:t>.</w:t>
      </w:r>
      <w:r>
        <w:rPr>
          <w:rStyle w:val="FootnoteReference"/>
          <w:lang w:eastAsia="zh-HK"/>
        </w:rPr>
        <w:footnoteReference w:id="601"/>
      </w:r>
      <w:r>
        <w:t xml:space="preserve">  By this definition, records held by non-government bodies, whether of a public or private nature, are not government records.  The effect is that the GRS has essentially no direct control over records management of public bodies at present although advice, training and assistance are provided where necessary. </w:t>
      </w:r>
    </w:p>
    <w:p w:rsidR="00D37010" w:rsidRDefault="00D37010">
      <w:pPr>
        <w:rPr>
          <w:rFonts w:cs="Arial"/>
          <w:b/>
          <w:i/>
        </w:rPr>
      </w:pPr>
    </w:p>
    <w:p w:rsidR="00D37010" w:rsidRDefault="00D37010">
      <w:pPr>
        <w:rPr>
          <w:lang w:eastAsia="zh-HK"/>
        </w:rPr>
      </w:pPr>
      <w:r>
        <w:lastRenderedPageBreak/>
        <w:t>10</w:t>
      </w:r>
      <w:r>
        <w:rPr>
          <w:rFonts w:hint="eastAsia"/>
        </w:rPr>
        <w:t>.</w:t>
      </w:r>
      <w:r>
        <w:t>6</w:t>
      </w:r>
      <w:r>
        <w:tab/>
      </w:r>
      <w:r>
        <w:tab/>
        <w:t xml:space="preserve">The PRAR, which governs access to archival records, contains a relatively wide definition of the term "public records" but that relates only to records kept by the Public Records Office of the GRS:- </w:t>
      </w:r>
    </w:p>
    <w:p w:rsidR="00D37010" w:rsidRPr="009A4F49" w:rsidRDefault="00D37010">
      <w:pPr>
        <w:rPr>
          <w:rFonts w:cs="Arial"/>
          <w:sz w:val="20"/>
          <w:szCs w:val="20"/>
        </w:rPr>
      </w:pPr>
    </w:p>
    <w:p w:rsidR="00D37010" w:rsidRDefault="00D37010">
      <w:pPr>
        <w:pStyle w:val="BlockText"/>
      </w:pPr>
      <w:r w:rsidRPr="00072BDA">
        <w:rPr>
          <w:i w:val="0"/>
        </w:rPr>
        <w:t>"</w:t>
      </w:r>
      <w:r>
        <w:t xml:space="preserve">all record materials of any kind, nature or description which have been made, received or acquired in the course of </w:t>
      </w:r>
      <w:r>
        <w:rPr>
          <w:b/>
        </w:rPr>
        <w:t>legislative, judicial or executive transactions</w:t>
      </w:r>
      <w:r>
        <w:t>, together with all exhibits and other material evidence which form part of or are annexed to or are otherwise related to</w:t>
      </w:r>
      <w:r>
        <w:rPr>
          <w:b/>
        </w:rPr>
        <w:t xml:space="preserve"> any record, which may be transferred to or be acquired by the Public Records Office of the Government Records Service</w:t>
      </w:r>
      <w:r w:rsidRPr="00072BDA">
        <w:rPr>
          <w:i w:val="0"/>
        </w:rPr>
        <w:t>"</w:t>
      </w:r>
      <w:r>
        <w:t xml:space="preserve"> (emphasis added).  </w:t>
      </w:r>
    </w:p>
    <w:p w:rsidR="00D37010" w:rsidRDefault="00D37010">
      <w:pPr>
        <w:rPr>
          <w:rFonts w:cs="Arial"/>
        </w:rPr>
      </w:pPr>
    </w:p>
    <w:p w:rsidR="00D37010" w:rsidRDefault="00D37010">
      <w:pPr>
        <w:rPr>
          <w:rFonts w:cs="Arial"/>
          <w:b/>
        </w:rPr>
      </w:pPr>
    </w:p>
    <w:p w:rsidR="00D37010" w:rsidRDefault="00D37010" w:rsidP="00D86E22">
      <w:pPr>
        <w:pStyle w:val="Heading2"/>
      </w:pPr>
      <w:r>
        <w:t>Comments on the existing regime</w:t>
      </w:r>
    </w:p>
    <w:p w:rsidR="00D37010" w:rsidRDefault="00D37010">
      <w:pPr>
        <w:keepNext/>
        <w:rPr>
          <w:rFonts w:cs="Arial"/>
        </w:rPr>
      </w:pPr>
    </w:p>
    <w:p w:rsidR="00D37010" w:rsidRDefault="00D37010">
      <w:r>
        <w:t>10</w:t>
      </w:r>
      <w:r>
        <w:rPr>
          <w:rFonts w:hint="eastAsia"/>
        </w:rPr>
        <w:t>.</w:t>
      </w:r>
      <w:r>
        <w:t>7</w:t>
      </w:r>
      <w:r>
        <w:tab/>
      </w:r>
      <w:r>
        <w:tab/>
        <w:t>There have been comments that the coverage of the existing records management regime is too limited.  Other than B/Ds, at present only two public bodies in Hong Kong, namely, the Independent Commission Against Corruption and Hong Kong Monetary Authority have followed the mandatory records management requirements promulgated by the Government.</w:t>
      </w:r>
      <w:r w:rsidRPr="008E7488">
        <w:rPr>
          <w:rStyle w:val="FootnoteReference"/>
          <w:rFonts w:cs="Arial"/>
        </w:rPr>
        <w:t xml:space="preserve"> </w:t>
      </w:r>
      <w:r>
        <w:rPr>
          <w:rStyle w:val="FootnoteReference"/>
          <w:rFonts w:cs="Arial"/>
        </w:rPr>
        <w:footnoteReference w:id="602"/>
      </w:r>
      <w:r>
        <w:t xml:space="preserve">  There are, however, some 470 other public bodies (such as the Hospital Authority, Hong Kong Housing Authority, and the Airport Authority) that perform vital public functions. </w:t>
      </w:r>
      <w:r>
        <w:rPr>
          <w:rFonts w:hint="eastAsia"/>
        </w:rPr>
        <w:t xml:space="preserve"> </w:t>
      </w:r>
      <w:r>
        <w:t>The Ombudsman has found this unsatisfactory, in that:-</w:t>
      </w:r>
    </w:p>
    <w:p w:rsidR="00D37010" w:rsidRPr="009A4F49" w:rsidRDefault="00D37010">
      <w:pPr>
        <w:rPr>
          <w:rFonts w:cs="Arial"/>
          <w:sz w:val="20"/>
          <w:szCs w:val="20"/>
        </w:rPr>
      </w:pPr>
    </w:p>
    <w:p w:rsidR="00D37010" w:rsidRDefault="00D37010">
      <w:pPr>
        <w:pStyle w:val="BlockText"/>
      </w:pPr>
      <w:r w:rsidRPr="00072BDA">
        <w:rPr>
          <w:i w:val="0"/>
        </w:rPr>
        <w:t>"</w:t>
      </w:r>
      <w:r>
        <w:t>[while] some of these bodies may be subject to specific laws or stipulations which require them to manage and preserve specific types of their business records for specific periods of time, they are not required to create or manage their records according to GRS' requirements, nor are they required to transfer their records to GRS for appraisal and preservation.</w:t>
      </w:r>
      <w:r w:rsidRPr="00072BDA">
        <w:rPr>
          <w:i w:val="0"/>
        </w:rPr>
        <w:t>"</w:t>
      </w:r>
      <w:r>
        <w:rPr>
          <w:rFonts w:hint="eastAsia"/>
        </w:rPr>
        <w:t xml:space="preserve"> </w:t>
      </w:r>
      <w:r>
        <w:rPr>
          <w:rStyle w:val="FootnoteReference"/>
          <w:rFonts w:cs="Arial"/>
        </w:rPr>
        <w:footnoteReference w:id="603"/>
      </w:r>
      <w:r>
        <w:t xml:space="preserve"> </w:t>
      </w:r>
    </w:p>
    <w:p w:rsidR="00D37010" w:rsidRDefault="00D37010">
      <w:pPr>
        <w:ind w:left="709" w:right="326"/>
        <w:rPr>
          <w:rFonts w:cs="Arial"/>
        </w:rPr>
      </w:pPr>
    </w:p>
    <w:p w:rsidR="00D37010" w:rsidRDefault="00D37010">
      <w:r>
        <w:t>10.8</w:t>
      </w:r>
      <w:r>
        <w:tab/>
      </w:r>
      <w:r>
        <w:tab/>
        <w:t>Voicing a similar concern over the current regime's lack of reach to most public bodies, the Civic Exchange commented:-</w:t>
      </w:r>
    </w:p>
    <w:p w:rsidR="00D37010" w:rsidRDefault="00D37010">
      <w:pPr>
        <w:pStyle w:val="ListParagraph"/>
        <w:ind w:leftChars="413" w:left="991"/>
        <w:rPr>
          <w:rFonts w:cs="Arial"/>
          <w:i/>
        </w:rPr>
      </w:pPr>
    </w:p>
    <w:p w:rsidR="00D37010" w:rsidRDefault="00D37010">
      <w:pPr>
        <w:pStyle w:val="BlockText"/>
      </w:pPr>
      <w:r w:rsidRPr="00072BDA">
        <w:rPr>
          <w:i w:val="0"/>
        </w:rPr>
        <w:t>"</w:t>
      </w:r>
      <w:r>
        <w:t xml:space="preserve">This omission is detrimental to accountability and transparency. </w:t>
      </w:r>
      <w:r>
        <w:rPr>
          <w:rFonts w:hint="eastAsia"/>
        </w:rPr>
        <w:t xml:space="preserve"> </w:t>
      </w:r>
      <w:r>
        <w:t>The activities carried out by the statutory bodies, in most cases, have a significant impact on society and, therefore, they should be subject to public scrutiny.  Such scrutiny is not possible unless adequate records are created and properly maintained.</w:t>
      </w:r>
      <w:r w:rsidRPr="00072BDA">
        <w:rPr>
          <w:i w:val="0"/>
        </w:rPr>
        <w:t>"</w:t>
      </w:r>
      <w:r>
        <w:rPr>
          <w:rFonts w:hint="eastAsia"/>
        </w:rPr>
        <w:t xml:space="preserve"> </w:t>
      </w:r>
      <w:r>
        <w:rPr>
          <w:rStyle w:val="FootnoteReference"/>
          <w:rFonts w:cs="Arial"/>
        </w:rPr>
        <w:footnoteReference w:id="604"/>
      </w:r>
    </w:p>
    <w:p w:rsidR="00D37010" w:rsidRDefault="00D37010">
      <w:pPr>
        <w:ind w:right="326"/>
        <w:rPr>
          <w:rFonts w:cs="Arial"/>
        </w:rPr>
      </w:pPr>
    </w:p>
    <w:p w:rsidR="00D37010" w:rsidRDefault="00D37010">
      <w:r>
        <w:lastRenderedPageBreak/>
        <w:t>10.9</w:t>
      </w:r>
      <w:r>
        <w:tab/>
        <w:t xml:space="preserve"> The Ombudsman recommended that:-</w:t>
      </w:r>
    </w:p>
    <w:p w:rsidR="00D37010" w:rsidRDefault="00D37010">
      <w:pPr>
        <w:pStyle w:val="ListParagraph"/>
        <w:ind w:left="0"/>
        <w:rPr>
          <w:rFonts w:cs="Arial"/>
        </w:rPr>
      </w:pPr>
    </w:p>
    <w:p w:rsidR="00D37010" w:rsidRDefault="00D37010">
      <w:pPr>
        <w:pStyle w:val="BlockText"/>
      </w:pPr>
      <w:r w:rsidRPr="00072BDA">
        <w:rPr>
          <w:i w:val="0"/>
        </w:rPr>
        <w:t>"</w:t>
      </w:r>
      <w:r>
        <w:t>…</w:t>
      </w:r>
      <w:r>
        <w:rPr>
          <w:rFonts w:hint="eastAsia"/>
        </w:rPr>
        <w:t xml:space="preserve"> </w:t>
      </w:r>
      <w:r>
        <w:t xml:space="preserve">[The] Government should, therefore, subject public organisations to its records management guidelines and requirements to ensure that their records are duly created, managed and preserved. </w:t>
      </w:r>
      <w:r>
        <w:rPr>
          <w:rFonts w:hint="eastAsia"/>
        </w:rPr>
        <w:t xml:space="preserve"> </w:t>
      </w:r>
      <w:r>
        <w:t>If this necessitates legislation, Government should consider making such a move.</w:t>
      </w:r>
    </w:p>
    <w:p w:rsidR="00D37010" w:rsidRDefault="00D37010">
      <w:pPr>
        <w:ind w:leftChars="413" w:left="991" w:right="326" w:firstLine="1"/>
        <w:rPr>
          <w:rFonts w:cs="Arial"/>
          <w:i/>
        </w:rPr>
      </w:pPr>
    </w:p>
    <w:p w:rsidR="00D37010" w:rsidRDefault="00D37010">
      <w:pPr>
        <w:pStyle w:val="BlockText"/>
      </w:pPr>
      <w:r>
        <w:t>… Pending the introduction of long-term measures such as legislation, we consider that GRS should, as a matter of priority, strengthen its efforts to urge public organisations to follow its requirements and standards on records management.  Government should also further promote donation of records with archival value from public organisations.</w:t>
      </w:r>
      <w:r w:rsidRPr="00072BDA">
        <w:rPr>
          <w:i w:val="0"/>
        </w:rPr>
        <w:t>"</w:t>
      </w:r>
      <w:r>
        <w:t xml:space="preserve"> </w:t>
      </w:r>
      <w:r>
        <w:rPr>
          <w:rStyle w:val="FootnoteReference"/>
          <w:rFonts w:cs="Arial"/>
        </w:rPr>
        <w:footnoteReference w:id="605"/>
      </w:r>
    </w:p>
    <w:p w:rsidR="00D37010" w:rsidRDefault="00D37010">
      <w:pPr>
        <w:tabs>
          <w:tab w:val="left" w:pos="432"/>
        </w:tabs>
        <w:rPr>
          <w:rFonts w:cs="Arial"/>
        </w:rPr>
      </w:pPr>
    </w:p>
    <w:p w:rsidR="00D37010" w:rsidRDefault="00D37010">
      <w:pPr>
        <w:rPr>
          <w:rFonts w:cs="Arial"/>
        </w:rPr>
      </w:pPr>
    </w:p>
    <w:p w:rsidR="00D37010" w:rsidRDefault="00D37010" w:rsidP="00D86E22">
      <w:pPr>
        <w:pStyle w:val="Heading2"/>
      </w:pPr>
      <w:r>
        <w:t xml:space="preserve">Government's stance and response </w:t>
      </w:r>
    </w:p>
    <w:p w:rsidR="00D37010" w:rsidRDefault="00D37010">
      <w:pPr>
        <w:keepNext/>
        <w:rPr>
          <w:rFonts w:cs="Arial"/>
        </w:rPr>
      </w:pPr>
    </w:p>
    <w:p w:rsidR="00D37010" w:rsidRDefault="00D37010">
      <w:r>
        <w:t>10.10</w:t>
      </w:r>
      <w:r>
        <w:tab/>
      </w:r>
      <w:r>
        <w:tab/>
        <w:t>Various measures have been taken by the GRS to address the foregoing concerns.  Amongst these were the publication of "</w:t>
      </w:r>
      <w:r>
        <w:rPr>
          <w:i/>
        </w:rPr>
        <w:t>Good Records Management Practices</w:t>
      </w:r>
      <w:r>
        <w:t>" for some public bodies in 2011, and the organisation of seminars on records management.  The Government has said that, as an on-going effort, it would continue to provide advice and assistance to such bodies.</w:t>
      </w:r>
      <w:r>
        <w:rPr>
          <w:rStyle w:val="FootnoteReference"/>
          <w:rFonts w:cs="Arial"/>
        </w:rPr>
        <w:footnoteReference w:id="606"/>
      </w:r>
    </w:p>
    <w:p w:rsidR="00D37010" w:rsidRDefault="00D37010">
      <w:pPr>
        <w:rPr>
          <w:rFonts w:cs="Arial"/>
        </w:rPr>
      </w:pPr>
    </w:p>
    <w:p w:rsidR="00D37010" w:rsidRDefault="00D37010">
      <w:pPr>
        <w:rPr>
          <w:lang w:eastAsia="zh-HK"/>
        </w:rPr>
      </w:pPr>
      <w:r>
        <w:rPr>
          <w:lang w:eastAsia="zh-HK"/>
        </w:rPr>
        <w:t>10</w:t>
      </w:r>
      <w:r>
        <w:rPr>
          <w:rFonts w:hint="eastAsia"/>
          <w:lang w:eastAsia="zh-HK"/>
        </w:rPr>
        <w:t>.</w:t>
      </w:r>
      <w:r>
        <w:rPr>
          <w:lang w:eastAsia="zh-HK"/>
        </w:rPr>
        <w:t>11</w:t>
      </w:r>
      <w:r>
        <w:rPr>
          <w:lang w:eastAsia="zh-HK"/>
        </w:rPr>
        <w:tab/>
      </w:r>
      <w:r>
        <w:rPr>
          <w:lang w:eastAsia="zh-HK"/>
        </w:rPr>
        <w:tab/>
        <w:t xml:space="preserve">In October 2014, the Director of Administration issued a letter to Permanent Secretaries and Heads of Departments, urging them to encourage public bodies under their purviews to consider making reference to or adopting the Government's practices in managing their records, and donating records with archival value to the GRS.  </w:t>
      </w:r>
    </w:p>
    <w:p w:rsidR="00D37010" w:rsidRDefault="00D37010">
      <w:pPr>
        <w:pStyle w:val="ListParagraph"/>
        <w:rPr>
          <w:rFonts w:cs="Arial"/>
          <w:lang w:eastAsia="zh-HK"/>
        </w:rPr>
      </w:pPr>
    </w:p>
    <w:p w:rsidR="00D37010" w:rsidRDefault="00D37010">
      <w:pPr>
        <w:rPr>
          <w:lang w:eastAsia="zh-HK"/>
        </w:rPr>
      </w:pPr>
      <w:r>
        <w:rPr>
          <w:lang w:eastAsia="zh-HK"/>
        </w:rPr>
        <w:t>10</w:t>
      </w:r>
      <w:r>
        <w:rPr>
          <w:rFonts w:hint="eastAsia"/>
          <w:lang w:eastAsia="zh-HK"/>
        </w:rPr>
        <w:t>.</w:t>
      </w:r>
      <w:r>
        <w:rPr>
          <w:lang w:eastAsia="zh-HK"/>
        </w:rPr>
        <w:t>12</w:t>
      </w:r>
      <w:r>
        <w:rPr>
          <w:lang w:eastAsia="zh-HK"/>
        </w:rPr>
        <w:tab/>
      </w:r>
      <w:r>
        <w:rPr>
          <w:lang w:eastAsia="zh-HK"/>
        </w:rPr>
        <w:tab/>
        <w:t>In November 201</w:t>
      </w:r>
      <w:r>
        <w:rPr>
          <w:rFonts w:hint="eastAsia"/>
          <w:lang w:eastAsia="zh-HK"/>
        </w:rPr>
        <w:t>7</w:t>
      </w:r>
      <w:r>
        <w:rPr>
          <w:lang w:eastAsia="zh-HK"/>
        </w:rPr>
        <w:t xml:space="preserve">, the GRS conducted its </w:t>
      </w:r>
      <w:r>
        <w:rPr>
          <w:rFonts w:hint="eastAsia"/>
          <w:lang w:eastAsia="zh-HK"/>
        </w:rPr>
        <w:t>fifth</w:t>
      </w:r>
      <w:r>
        <w:rPr>
          <w:lang w:eastAsia="zh-HK"/>
        </w:rPr>
        <w:t xml:space="preserve"> </w:t>
      </w:r>
      <w:r>
        <w:rPr>
          <w:rFonts w:hint="eastAsia"/>
          <w:lang w:eastAsia="zh-HK"/>
        </w:rPr>
        <w:t xml:space="preserve">consecutive </w:t>
      </w:r>
      <w:r>
        <w:rPr>
          <w:lang w:eastAsia="zh-HK"/>
        </w:rPr>
        <w:t xml:space="preserve">annual seminar and extended its invitation to </w:t>
      </w:r>
      <w:r>
        <w:rPr>
          <w:rFonts w:hint="eastAsia"/>
          <w:lang w:eastAsia="zh-HK"/>
        </w:rPr>
        <w:t>86</w:t>
      </w:r>
      <w:r>
        <w:rPr>
          <w:lang w:eastAsia="zh-HK"/>
        </w:rPr>
        <w:t xml:space="preserve"> public bodies (as compared to 49 in 2013), attracting </w:t>
      </w:r>
      <w:r>
        <w:rPr>
          <w:rFonts w:hint="eastAsia"/>
          <w:lang w:eastAsia="zh-HK"/>
        </w:rPr>
        <w:t>over 270</w:t>
      </w:r>
      <w:r>
        <w:rPr>
          <w:lang w:eastAsia="zh-HK"/>
        </w:rPr>
        <w:t xml:space="preserve"> participants to attend.  The GRS has said that it would continue to organise more seminars for such bodies.  </w:t>
      </w:r>
    </w:p>
    <w:p w:rsidR="00D37010" w:rsidRDefault="00D37010">
      <w:pPr>
        <w:rPr>
          <w:rFonts w:cs="Arial"/>
          <w:lang w:eastAsia="zh-HK"/>
        </w:rPr>
      </w:pPr>
    </w:p>
    <w:p w:rsidR="00D37010" w:rsidRDefault="00D37010" w:rsidP="009A4F49">
      <w:pPr>
        <w:widowControl/>
        <w:rPr>
          <w:lang w:eastAsia="zh-HK"/>
        </w:rPr>
      </w:pPr>
      <w:r>
        <w:rPr>
          <w:lang w:eastAsia="zh-HK"/>
        </w:rPr>
        <w:t>10</w:t>
      </w:r>
      <w:r>
        <w:rPr>
          <w:rFonts w:hint="eastAsia"/>
          <w:lang w:eastAsia="zh-HK"/>
        </w:rPr>
        <w:t>.</w:t>
      </w:r>
      <w:r>
        <w:rPr>
          <w:lang w:eastAsia="zh-HK"/>
        </w:rPr>
        <w:t>13</w:t>
      </w:r>
      <w:r>
        <w:rPr>
          <w:lang w:eastAsia="zh-HK"/>
        </w:rPr>
        <w:tab/>
      </w:r>
      <w:r>
        <w:rPr>
          <w:lang w:eastAsia="zh-HK"/>
        </w:rPr>
        <w:tab/>
      </w:r>
      <w:r w:rsidRPr="00BF523D">
        <w:rPr>
          <w:lang w:eastAsia="zh-HK"/>
        </w:rPr>
        <w:t xml:space="preserve">At the invitations of three public organisations, the GRS held </w:t>
      </w:r>
      <w:r>
        <w:rPr>
          <w:lang w:eastAsia="zh-HK"/>
        </w:rPr>
        <w:t>"</w:t>
      </w:r>
      <w:r w:rsidRPr="00BF523D">
        <w:rPr>
          <w:lang w:eastAsia="zh-HK"/>
        </w:rPr>
        <w:t>Train-the-trainer</w:t>
      </w:r>
      <w:r>
        <w:rPr>
          <w:lang w:eastAsia="zh-HK"/>
        </w:rPr>
        <w:t>"</w:t>
      </w:r>
      <w:r w:rsidRPr="00BF523D">
        <w:rPr>
          <w:lang w:eastAsia="zh-HK"/>
        </w:rPr>
        <w:t xml:space="preserve"> programme and records management seminars for their staff</w:t>
      </w:r>
      <w:r>
        <w:rPr>
          <w:rFonts w:hint="eastAsia"/>
          <w:lang w:eastAsia="zh-HK"/>
        </w:rPr>
        <w:t xml:space="preserve">.  </w:t>
      </w:r>
      <w:r w:rsidRPr="00BF523D">
        <w:rPr>
          <w:lang w:eastAsia="zh-HK"/>
        </w:rPr>
        <w:t xml:space="preserve">Furthermore, the GRS shared their training materials on records management standards and practices </w:t>
      </w:r>
      <w:r>
        <w:rPr>
          <w:rFonts w:hint="eastAsia"/>
          <w:lang w:eastAsia="zh-HK"/>
        </w:rPr>
        <w:t>as well as</w:t>
      </w:r>
      <w:r w:rsidRPr="00BF523D">
        <w:rPr>
          <w:lang w:eastAsia="zh-HK"/>
        </w:rPr>
        <w:t xml:space="preserve"> information relating to electronic records management with seven public organisations upon their </w:t>
      </w:r>
      <w:r w:rsidRPr="00BF523D">
        <w:rPr>
          <w:lang w:eastAsia="zh-HK"/>
        </w:rPr>
        <w:lastRenderedPageBreak/>
        <w:t xml:space="preserve">requests.  </w:t>
      </w:r>
      <w:r>
        <w:rPr>
          <w:lang w:eastAsia="zh-HK"/>
        </w:rPr>
        <w:t>The GRS has also been providing advice on records management, archives administration and setting up of an ERKS to public bodies.</w:t>
      </w:r>
      <w:r>
        <w:rPr>
          <w:rStyle w:val="FootnoteReference"/>
          <w:rFonts w:cs="Arial"/>
          <w:lang w:eastAsia="zh-HK"/>
        </w:rPr>
        <w:footnoteReference w:id="607"/>
      </w:r>
      <w:r>
        <w:rPr>
          <w:lang w:eastAsia="zh-HK"/>
        </w:rPr>
        <w:t xml:space="preserve"> </w:t>
      </w:r>
    </w:p>
    <w:p w:rsidR="00D37010" w:rsidRDefault="00D37010"/>
    <w:p w:rsidR="00D37010" w:rsidRDefault="00D37010" w:rsidP="00D86E22">
      <w:pPr>
        <w:pStyle w:val="Heading2"/>
      </w:pPr>
      <w:r>
        <w:t>Other jurisdictions</w:t>
      </w:r>
    </w:p>
    <w:p w:rsidR="00D37010" w:rsidRDefault="00D37010" w:rsidP="00D86E22">
      <w:pPr>
        <w:keepNext/>
        <w:rPr>
          <w:rFonts w:eastAsia="MingLiU" w:cs="Arial"/>
        </w:rPr>
      </w:pPr>
    </w:p>
    <w:p w:rsidR="00D37010" w:rsidRDefault="00D37010" w:rsidP="00D86E22">
      <w:pPr>
        <w:pStyle w:val="Heading3"/>
      </w:pPr>
      <w:r>
        <w:t>Australia</w:t>
      </w:r>
    </w:p>
    <w:p w:rsidR="00D37010" w:rsidRPr="009A4F49" w:rsidRDefault="00D37010" w:rsidP="00D86E22">
      <w:pPr>
        <w:keepNext/>
        <w:rPr>
          <w:rFonts w:eastAsia="MingLiU" w:cs="Arial"/>
          <w:b/>
          <w:sz w:val="20"/>
          <w:szCs w:val="20"/>
        </w:rPr>
      </w:pPr>
    </w:p>
    <w:p w:rsidR="00D37010" w:rsidRDefault="00D37010" w:rsidP="00944E08">
      <w:pPr>
        <w:pStyle w:val="Heading4"/>
        <w:tabs>
          <w:tab w:val="clear" w:pos="1418"/>
          <w:tab w:val="left" w:pos="720"/>
        </w:tabs>
      </w:pPr>
      <w:r>
        <w:t xml:space="preserve">(i) </w:t>
      </w:r>
      <w:r>
        <w:rPr>
          <w:rFonts w:hint="eastAsia"/>
        </w:rPr>
        <w:tab/>
      </w:r>
      <w:r>
        <w:t xml:space="preserve">Scope of public bodies covered </w:t>
      </w:r>
    </w:p>
    <w:p w:rsidR="00D37010" w:rsidRDefault="00D37010" w:rsidP="00D86E22">
      <w:pPr>
        <w:keepNext/>
        <w:rPr>
          <w:rFonts w:eastAsia="MingLiU" w:cs="Arial"/>
          <w:i/>
        </w:rPr>
      </w:pPr>
    </w:p>
    <w:p w:rsidR="00D37010" w:rsidRDefault="00D37010">
      <w:r>
        <w:t>10.14</w:t>
      </w:r>
      <w:r>
        <w:tab/>
      </w:r>
      <w:r>
        <w:tab/>
        <w:t>The 1983 Act imposes record-keeping obligations in respect of "</w:t>
      </w:r>
      <w:r>
        <w:rPr>
          <w:i/>
        </w:rPr>
        <w:t>Commonwealth record</w:t>
      </w:r>
      <w:r>
        <w:t>s" which is defined as:-</w:t>
      </w:r>
    </w:p>
    <w:p w:rsidR="00D37010" w:rsidRPr="009A4F49" w:rsidRDefault="00D37010">
      <w:pPr>
        <w:rPr>
          <w:rFonts w:eastAsia="MingLiU" w:cs="Arial"/>
          <w:sz w:val="20"/>
          <w:szCs w:val="20"/>
        </w:rPr>
      </w:pPr>
    </w:p>
    <w:p w:rsidR="00D37010" w:rsidRDefault="00D37010">
      <w:pPr>
        <w:pStyle w:val="BlockText"/>
        <w:ind w:left="1440" w:hanging="720"/>
      </w:pPr>
      <w:r w:rsidRPr="000E70CB">
        <w:rPr>
          <w:rFonts w:eastAsia="MingLiU"/>
          <w:i w:val="0"/>
        </w:rPr>
        <w:t>"</w:t>
      </w:r>
      <w:r>
        <w:rPr>
          <w:rFonts w:eastAsia="MingLiU"/>
        </w:rPr>
        <w:t xml:space="preserve">(a) </w:t>
      </w:r>
      <w:r>
        <w:rPr>
          <w:rFonts w:eastAsia="MingLiU" w:hint="eastAsia"/>
        </w:rPr>
        <w:tab/>
      </w:r>
      <w:r>
        <w:rPr>
          <w:rFonts w:eastAsia="MingLiU"/>
        </w:rPr>
        <w:t>a record th</w:t>
      </w:r>
      <w:r>
        <w:t xml:space="preserve">at is the property of the Commonwealth or of a </w:t>
      </w:r>
      <w:r w:rsidRPr="00427B0A">
        <w:rPr>
          <w:b/>
        </w:rPr>
        <w:t>Commonwealth institution</w:t>
      </w:r>
      <w:r>
        <w:t>; or</w:t>
      </w:r>
    </w:p>
    <w:p w:rsidR="00D37010" w:rsidRPr="009A4F49" w:rsidRDefault="00D37010">
      <w:pPr>
        <w:pStyle w:val="BlockText"/>
        <w:ind w:left="1440" w:hanging="720"/>
        <w:rPr>
          <w:sz w:val="18"/>
          <w:szCs w:val="18"/>
        </w:rPr>
      </w:pPr>
    </w:p>
    <w:p w:rsidR="00D37010" w:rsidRDefault="00D37010">
      <w:pPr>
        <w:pStyle w:val="BlockText"/>
        <w:ind w:left="1440" w:hanging="720"/>
      </w:pPr>
      <w:r>
        <w:t xml:space="preserve">(b) </w:t>
      </w:r>
      <w:r>
        <w:rPr>
          <w:rFonts w:hint="eastAsia"/>
        </w:rPr>
        <w:tab/>
      </w:r>
      <w:r>
        <w:t>a record that is to be deemed to be a Commonwealth record by virtue of a regulation under subsection (6) or by virtue of section 22;</w:t>
      </w:r>
    </w:p>
    <w:p w:rsidR="00D37010" w:rsidRPr="009A4F49" w:rsidRDefault="00D37010">
      <w:pPr>
        <w:ind w:left="850" w:right="607"/>
        <w:rPr>
          <w:rFonts w:cs="Arial"/>
          <w:i/>
          <w:sz w:val="20"/>
          <w:szCs w:val="20"/>
          <w:lang w:eastAsia="zh-HK"/>
        </w:rPr>
      </w:pPr>
    </w:p>
    <w:p w:rsidR="00D37010" w:rsidRDefault="00D37010">
      <w:pPr>
        <w:pStyle w:val="BlockText"/>
        <w:rPr>
          <w:rFonts w:eastAsia="MingLiU"/>
        </w:rPr>
      </w:pPr>
      <w:r>
        <w:t>but does not include a record that is exempt material or is a register or guid</w:t>
      </w:r>
      <w:r>
        <w:rPr>
          <w:rFonts w:eastAsia="MingLiU"/>
        </w:rPr>
        <w:t>e maintained in accordance with Part VIIl</w:t>
      </w:r>
      <w:r w:rsidRPr="000E70CB">
        <w:rPr>
          <w:rFonts w:eastAsia="MingLiU"/>
          <w:i w:val="0"/>
        </w:rPr>
        <w:t xml:space="preserve">" </w:t>
      </w:r>
      <w:r>
        <w:rPr>
          <w:rFonts w:eastAsia="MingLiU"/>
        </w:rPr>
        <w:t>(emphasis added).</w:t>
      </w:r>
    </w:p>
    <w:p w:rsidR="00D37010" w:rsidRDefault="00D37010">
      <w:pPr>
        <w:ind w:leftChars="354" w:left="850" w:rightChars="253" w:right="607"/>
        <w:rPr>
          <w:rFonts w:eastAsia="MingLiU" w:cs="Arial"/>
        </w:rPr>
      </w:pPr>
    </w:p>
    <w:p w:rsidR="00D37010" w:rsidRDefault="00D37010">
      <w:r>
        <w:t>10.15</w:t>
      </w:r>
      <w:r>
        <w:tab/>
      </w:r>
      <w:r>
        <w:tab/>
        <w:t>"Commonwealth institution" is defined as:</w:t>
      </w:r>
    </w:p>
    <w:p w:rsidR="00D37010" w:rsidRPr="009A4F49" w:rsidRDefault="00D37010">
      <w:pPr>
        <w:ind w:rightChars="253" w:right="607"/>
        <w:rPr>
          <w:rFonts w:eastAsia="MingLiU" w:cs="Arial"/>
          <w:sz w:val="20"/>
          <w:szCs w:val="20"/>
        </w:rPr>
      </w:pPr>
    </w:p>
    <w:p w:rsidR="00D37010" w:rsidRDefault="00D37010">
      <w:pPr>
        <w:pStyle w:val="BlockText"/>
      </w:pPr>
      <w:r w:rsidRPr="000E70CB">
        <w:rPr>
          <w:i w:val="0"/>
        </w:rPr>
        <w:t>"</w:t>
      </w:r>
      <w:r>
        <w:t>(a)</w:t>
      </w:r>
      <w:r>
        <w:tab/>
        <w:t>the official establishment of the Governor-General;</w:t>
      </w:r>
    </w:p>
    <w:p w:rsidR="00D37010" w:rsidRDefault="00D37010">
      <w:pPr>
        <w:pStyle w:val="BlockText"/>
      </w:pPr>
      <w:r>
        <w:t>(b)</w:t>
      </w:r>
      <w:r>
        <w:tab/>
        <w:t>the Executive Council;</w:t>
      </w:r>
    </w:p>
    <w:p w:rsidR="00D37010" w:rsidRDefault="00D37010">
      <w:pPr>
        <w:pStyle w:val="BlockText"/>
      </w:pPr>
      <w:r>
        <w:t>(c)</w:t>
      </w:r>
      <w:r>
        <w:tab/>
        <w:t>the Senate;</w:t>
      </w:r>
    </w:p>
    <w:p w:rsidR="00D37010" w:rsidRDefault="00D37010">
      <w:pPr>
        <w:pStyle w:val="BlockText"/>
      </w:pPr>
      <w:r>
        <w:t>(d)</w:t>
      </w:r>
      <w:r>
        <w:tab/>
        <w:t>the House of Representatives;</w:t>
      </w:r>
    </w:p>
    <w:p w:rsidR="00D37010" w:rsidRDefault="00D37010">
      <w:pPr>
        <w:pStyle w:val="BlockText"/>
      </w:pPr>
      <w:r>
        <w:t>(e)</w:t>
      </w:r>
      <w:r>
        <w:tab/>
        <w:t>a Department;</w:t>
      </w:r>
    </w:p>
    <w:p w:rsidR="00D37010" w:rsidRDefault="00D37010">
      <w:pPr>
        <w:pStyle w:val="BlockText"/>
        <w:ind w:left="1440" w:hanging="720"/>
      </w:pPr>
      <w:r>
        <w:t>(f)</w:t>
      </w:r>
      <w:r>
        <w:tab/>
        <w:t>a Federal court or a court of a Territory other than the Northern Territory or Norfolk Island;</w:t>
      </w:r>
    </w:p>
    <w:p w:rsidR="00D37010" w:rsidRPr="00D70846" w:rsidRDefault="00D37010">
      <w:pPr>
        <w:pStyle w:val="BlockText"/>
      </w:pPr>
      <w:r>
        <w:t>(g)</w:t>
      </w:r>
      <w:r>
        <w:tab/>
      </w:r>
      <w:r>
        <w:rPr>
          <w:b/>
        </w:rPr>
        <w:t>an authority of the Commonwealth;</w:t>
      </w:r>
      <w:r>
        <w:t xml:space="preserve"> or</w:t>
      </w:r>
    </w:p>
    <w:p w:rsidR="00D37010" w:rsidRDefault="00D37010">
      <w:pPr>
        <w:pStyle w:val="BlockText"/>
        <w:ind w:left="1440" w:hanging="720"/>
        <w:rPr>
          <w:lang w:eastAsia="zh-HK"/>
        </w:rPr>
      </w:pPr>
      <w:r>
        <w:t>(h)</w:t>
      </w:r>
      <w:r>
        <w:tab/>
        <w:t>the Administration of an external Territory.</w:t>
      </w:r>
      <w:r w:rsidRPr="000E70CB">
        <w:rPr>
          <w:i w:val="0"/>
        </w:rPr>
        <w:t>"</w:t>
      </w:r>
    </w:p>
    <w:p w:rsidR="00D37010" w:rsidRDefault="00D37010">
      <w:pPr>
        <w:pStyle w:val="BlockText"/>
      </w:pPr>
      <w:r>
        <w:t>(emphasis added)</w:t>
      </w:r>
    </w:p>
    <w:p w:rsidR="00D37010" w:rsidRDefault="00D37010">
      <w:pPr>
        <w:pStyle w:val="ListParagraph"/>
        <w:ind w:left="360"/>
        <w:rPr>
          <w:rFonts w:eastAsia="MingLiU" w:cs="Arial"/>
        </w:rPr>
      </w:pPr>
    </w:p>
    <w:p w:rsidR="00D37010" w:rsidRDefault="00D37010">
      <w:r>
        <w:t>10.16</w:t>
      </w:r>
      <w:r>
        <w:tab/>
      </w:r>
      <w:r>
        <w:tab/>
        <w:t>An "authority of the Commonwealth" means:</w:t>
      </w:r>
    </w:p>
    <w:p w:rsidR="00D37010" w:rsidRPr="009A4F49" w:rsidRDefault="00D37010">
      <w:pPr>
        <w:rPr>
          <w:rFonts w:eastAsia="MingLiU" w:cs="Arial"/>
          <w:sz w:val="20"/>
          <w:szCs w:val="20"/>
        </w:rPr>
      </w:pPr>
    </w:p>
    <w:p w:rsidR="00D37010" w:rsidRDefault="00D37010">
      <w:pPr>
        <w:pStyle w:val="BlockText"/>
        <w:ind w:left="1440" w:hanging="720"/>
      </w:pPr>
      <w:r w:rsidRPr="000E70CB">
        <w:rPr>
          <w:i w:val="0"/>
        </w:rPr>
        <w:t>"</w:t>
      </w:r>
      <w:r>
        <w:t>(a)</w:t>
      </w:r>
      <w:r>
        <w:tab/>
        <w:t>an authority, body, tribunal or organization, whether incorporated or unincorporated, established for a public purpose:</w:t>
      </w:r>
    </w:p>
    <w:p w:rsidR="00D37010" w:rsidRPr="009A4F49" w:rsidRDefault="00D37010">
      <w:pPr>
        <w:pStyle w:val="ListParagraph"/>
        <w:ind w:left="1440"/>
        <w:rPr>
          <w:rFonts w:eastAsia="MingLiU" w:cs="Arial"/>
          <w:i/>
          <w:sz w:val="20"/>
          <w:szCs w:val="20"/>
        </w:rPr>
      </w:pPr>
    </w:p>
    <w:p w:rsidR="00D37010" w:rsidRDefault="00D37010">
      <w:pPr>
        <w:pStyle w:val="Legislationindent2"/>
      </w:pPr>
      <w:r>
        <w:t>(i)</w:t>
      </w:r>
      <w:r>
        <w:tab/>
        <w:t>by, or in accordance with the provisions of, an Act, regulations made under an Act or a law of a Territory other than the Northern Territory;</w:t>
      </w:r>
    </w:p>
    <w:p w:rsidR="00D37010" w:rsidRDefault="00D37010">
      <w:pPr>
        <w:pStyle w:val="Legislationindent2"/>
      </w:pPr>
      <w:r>
        <w:rPr>
          <w:rFonts w:hint="eastAsia"/>
        </w:rPr>
        <w:lastRenderedPageBreak/>
        <w:t>(ii)</w:t>
      </w:r>
      <w:r>
        <w:tab/>
        <w:t>by the Governor-General; or</w:t>
      </w:r>
    </w:p>
    <w:p w:rsidR="00D37010" w:rsidRDefault="00D37010">
      <w:pPr>
        <w:pStyle w:val="Legislationindent2"/>
      </w:pPr>
      <w:r>
        <w:rPr>
          <w:rFonts w:hint="eastAsia"/>
        </w:rPr>
        <w:t>(iii)</w:t>
      </w:r>
      <w:r>
        <w:tab/>
        <w:t>by, or with the approval of, a Minister;</w:t>
      </w:r>
    </w:p>
    <w:p w:rsidR="00D37010" w:rsidRPr="00944E08" w:rsidRDefault="00D37010">
      <w:pPr>
        <w:pStyle w:val="ListParagraph"/>
        <w:ind w:left="2160"/>
        <w:rPr>
          <w:rFonts w:eastAsia="MingLiU" w:cs="Arial"/>
          <w:i/>
          <w:sz w:val="16"/>
          <w:szCs w:val="16"/>
        </w:rPr>
      </w:pPr>
    </w:p>
    <w:p w:rsidR="00D37010" w:rsidRDefault="00D37010">
      <w:pPr>
        <w:pStyle w:val="Legislationindent1"/>
      </w:pPr>
      <w:r>
        <w:rPr>
          <w:rFonts w:hint="eastAsia"/>
        </w:rPr>
        <w:t>(b)</w:t>
      </w:r>
      <w:r>
        <w:tab/>
        <w:t>the holder of a prescribed office under the Commonwealth; or</w:t>
      </w:r>
    </w:p>
    <w:p w:rsidR="00D37010" w:rsidRPr="00944E08" w:rsidRDefault="00D37010">
      <w:pPr>
        <w:pStyle w:val="ListParagraph"/>
        <w:ind w:left="1440"/>
        <w:rPr>
          <w:rFonts w:eastAsia="MingLiU" w:cs="Arial"/>
          <w:i/>
          <w:sz w:val="16"/>
          <w:szCs w:val="16"/>
        </w:rPr>
      </w:pPr>
    </w:p>
    <w:p w:rsidR="00D37010" w:rsidRDefault="00D37010">
      <w:pPr>
        <w:pStyle w:val="Legislationindent1"/>
      </w:pPr>
      <w:r>
        <w:rPr>
          <w:rFonts w:hint="eastAsia"/>
        </w:rPr>
        <w:t>(c)</w:t>
      </w:r>
      <w:r>
        <w:tab/>
        <w:t xml:space="preserve">a </w:t>
      </w:r>
      <w:r>
        <w:rPr>
          <w:b/>
        </w:rPr>
        <w:t>Commonwealth-controlled company or a Commonwealth- controlled association</w:t>
      </w:r>
      <w:r>
        <w:t>;</w:t>
      </w:r>
    </w:p>
    <w:p w:rsidR="00D37010" w:rsidRPr="00944E08" w:rsidRDefault="00D37010">
      <w:pPr>
        <w:pStyle w:val="ListParagraph"/>
        <w:ind w:left="1440"/>
        <w:rPr>
          <w:rFonts w:eastAsia="MingLiU" w:cs="Arial"/>
          <w:i/>
          <w:sz w:val="16"/>
          <w:szCs w:val="16"/>
        </w:rPr>
      </w:pPr>
    </w:p>
    <w:p w:rsidR="00D37010" w:rsidRDefault="00D37010">
      <w:pPr>
        <w:pStyle w:val="BlockText"/>
      </w:pPr>
      <w:r>
        <w:t>but does not include:</w:t>
      </w:r>
    </w:p>
    <w:p w:rsidR="00D37010" w:rsidRPr="00944E08" w:rsidRDefault="00D37010">
      <w:pPr>
        <w:ind w:left="1440" w:hanging="720"/>
        <w:rPr>
          <w:rFonts w:eastAsia="MingLiU" w:cs="Arial"/>
          <w:i/>
          <w:sz w:val="16"/>
          <w:szCs w:val="16"/>
        </w:rPr>
      </w:pPr>
    </w:p>
    <w:p w:rsidR="00D37010" w:rsidRDefault="00D37010">
      <w:pPr>
        <w:pStyle w:val="Legislationindent1"/>
      </w:pPr>
      <w:r>
        <w:rPr>
          <w:rFonts w:hint="eastAsia"/>
        </w:rPr>
        <w:t>(d)</w:t>
      </w:r>
      <w:r>
        <w:tab/>
        <w:t>a court;</w:t>
      </w:r>
    </w:p>
    <w:p w:rsidR="00D37010" w:rsidRDefault="00D37010">
      <w:pPr>
        <w:pStyle w:val="Legislationindent1"/>
      </w:pPr>
      <w:r>
        <w:rPr>
          <w:rFonts w:hint="eastAsia"/>
        </w:rPr>
        <w:t>(e)</w:t>
      </w:r>
      <w:r>
        <w:tab/>
        <w:t>the Australian Capital Territory;</w:t>
      </w:r>
    </w:p>
    <w:p w:rsidR="00D37010" w:rsidRDefault="00D37010">
      <w:pPr>
        <w:pStyle w:val="BlockText"/>
        <w:ind w:left="1440" w:hanging="720"/>
      </w:pPr>
      <w:r>
        <w:rPr>
          <w:rFonts w:hint="eastAsia"/>
        </w:rPr>
        <w:t>(f)</w:t>
      </w:r>
      <w:r>
        <w:tab/>
        <w:t>a body established by or under an enactment within the meaning of the Australian Capital Territory (Self-Government) Act 1988;</w:t>
      </w:r>
    </w:p>
    <w:p w:rsidR="00D37010" w:rsidRDefault="00D37010">
      <w:pPr>
        <w:pStyle w:val="Legislationindent1"/>
      </w:pPr>
      <w:r>
        <w:rPr>
          <w:rFonts w:hint="eastAsia"/>
        </w:rPr>
        <w:t>(g)</w:t>
      </w:r>
      <w:r>
        <w:tab/>
        <w:t>the Northern Territory; or</w:t>
      </w:r>
    </w:p>
    <w:p w:rsidR="00D37010" w:rsidRDefault="00D37010">
      <w:pPr>
        <w:pStyle w:val="Legislationindent1"/>
      </w:pPr>
      <w:r>
        <w:rPr>
          <w:rFonts w:hint="eastAsia"/>
        </w:rPr>
        <w:t>(h)</w:t>
      </w:r>
      <w:r>
        <w:tab/>
        <w:t>the Administration of an external Territory.</w:t>
      </w:r>
      <w:r w:rsidRPr="000E70CB">
        <w:rPr>
          <w:i w:val="0"/>
        </w:rPr>
        <w:t>"</w:t>
      </w:r>
      <w:r>
        <w:t xml:space="preserve"> </w:t>
      </w:r>
    </w:p>
    <w:p w:rsidR="00D37010" w:rsidRDefault="00D37010">
      <w:pPr>
        <w:pStyle w:val="BlockText"/>
      </w:pPr>
      <w:r>
        <w:t>(emphasis added)</w:t>
      </w:r>
    </w:p>
    <w:p w:rsidR="00D37010" w:rsidRDefault="00D37010">
      <w:pPr>
        <w:rPr>
          <w:rFonts w:eastAsia="MingLiU" w:cs="Arial"/>
        </w:rPr>
      </w:pPr>
    </w:p>
    <w:p w:rsidR="00D37010" w:rsidRDefault="00D37010">
      <w:r>
        <w:t>10.17</w:t>
      </w:r>
      <w:r>
        <w:tab/>
      </w:r>
      <w:r>
        <w:tab/>
        <w:t>"</w:t>
      </w:r>
      <w:r>
        <w:rPr>
          <w:i/>
        </w:rPr>
        <w:t>Department</w:t>
      </w:r>
      <w:r>
        <w:t>" means:-</w:t>
      </w:r>
    </w:p>
    <w:p w:rsidR="00D37010" w:rsidRPr="00944E08" w:rsidRDefault="00D37010">
      <w:pPr>
        <w:rPr>
          <w:rFonts w:eastAsia="MingLiU" w:cs="Arial"/>
          <w:sz w:val="16"/>
          <w:szCs w:val="16"/>
        </w:rPr>
      </w:pPr>
    </w:p>
    <w:p w:rsidR="00D37010" w:rsidRDefault="00D37010">
      <w:pPr>
        <w:pStyle w:val="BlockText"/>
        <w:ind w:left="1440" w:hanging="720"/>
        <w:rPr>
          <w:lang w:val="en-AU"/>
        </w:rPr>
      </w:pPr>
      <w:r>
        <w:t>"(a)</w:t>
      </w:r>
      <w:r>
        <w:tab/>
      </w:r>
      <w:r>
        <w:rPr>
          <w:lang w:val="en-AU"/>
        </w:rPr>
        <w:t>a Department of the Australian Public Service that corresponds to a Department of State of the Commonwealth; or</w:t>
      </w:r>
    </w:p>
    <w:p w:rsidR="00D37010" w:rsidRPr="00944E08" w:rsidRDefault="00D37010">
      <w:pPr>
        <w:pStyle w:val="BlockText"/>
        <w:ind w:left="1440" w:hanging="720"/>
        <w:rPr>
          <w:sz w:val="16"/>
          <w:szCs w:val="16"/>
          <w:lang w:val="en-AU"/>
        </w:rPr>
      </w:pPr>
    </w:p>
    <w:p w:rsidR="00D37010" w:rsidRDefault="00D37010">
      <w:pPr>
        <w:pStyle w:val="BlockText"/>
      </w:pPr>
      <w:r>
        <w:t>(b)</w:t>
      </w:r>
      <w:r>
        <w:tab/>
      </w:r>
      <w:r>
        <w:rPr>
          <w:lang w:val="en-AU"/>
        </w:rPr>
        <w:t>a Parliamentary Department."</w:t>
      </w:r>
    </w:p>
    <w:p w:rsidR="00D37010" w:rsidRDefault="00D37010">
      <w:pPr>
        <w:rPr>
          <w:rFonts w:eastAsia="MingLiU" w:cs="Arial"/>
        </w:rPr>
      </w:pPr>
    </w:p>
    <w:p w:rsidR="00D37010" w:rsidRDefault="00D37010">
      <w:pPr>
        <w:rPr>
          <w:lang w:eastAsia="zh-HK"/>
        </w:rPr>
      </w:pPr>
      <w:r>
        <w:t>10.18</w:t>
      </w:r>
      <w:r>
        <w:tab/>
      </w:r>
      <w:r>
        <w:tab/>
        <w:t>A Commonwealth-controlled company (or association) means an incorporated company (or association) over which the Commonwealth is in a position to exercise control, but does not include a company (or an association) that is declared by the regulations not to be a Commonwealth-controlled company (or association).</w:t>
      </w:r>
      <w:r>
        <w:rPr>
          <w:rStyle w:val="FootnoteReference"/>
          <w:rFonts w:eastAsia="MingLiU" w:cs="Arial"/>
        </w:rPr>
        <w:footnoteReference w:id="608"/>
      </w:r>
      <w:r>
        <w:t xml:space="preserve">  </w:t>
      </w:r>
    </w:p>
    <w:p w:rsidR="00D37010" w:rsidRDefault="00D37010">
      <w:pPr>
        <w:rPr>
          <w:rFonts w:eastAsia="MingLiU" w:cs="Arial"/>
        </w:rPr>
      </w:pPr>
    </w:p>
    <w:p w:rsidR="00D37010" w:rsidRDefault="00D37010" w:rsidP="00944E08">
      <w:pPr>
        <w:pStyle w:val="Heading4"/>
        <w:tabs>
          <w:tab w:val="clear" w:pos="1418"/>
          <w:tab w:val="left" w:pos="720"/>
        </w:tabs>
      </w:pPr>
      <w:r>
        <w:t xml:space="preserve">(ii) </w:t>
      </w:r>
      <w:r>
        <w:rPr>
          <w:rFonts w:hint="eastAsia"/>
        </w:rPr>
        <w:tab/>
      </w:r>
      <w:r>
        <w:t xml:space="preserve">Extent of oversight by archival authority  </w:t>
      </w:r>
    </w:p>
    <w:p w:rsidR="00D37010" w:rsidRDefault="00D37010">
      <w:pPr>
        <w:rPr>
          <w:rFonts w:eastAsia="Arial Unicode MS" w:cs="Arial"/>
          <w:lang w:eastAsia="zh-HK"/>
        </w:rPr>
      </w:pPr>
    </w:p>
    <w:p w:rsidR="00D37010" w:rsidRDefault="00D37010">
      <w:pPr>
        <w:rPr>
          <w:lang w:eastAsia="zh-HK"/>
        </w:rPr>
      </w:pPr>
      <w:r>
        <w:rPr>
          <w:lang w:eastAsia="zh-HK"/>
        </w:rPr>
        <w:t>10.19</w:t>
      </w:r>
      <w:r>
        <w:rPr>
          <w:lang w:eastAsia="zh-HK"/>
        </w:rPr>
        <w:tab/>
      </w:r>
      <w:r>
        <w:rPr>
          <w:lang w:eastAsia="zh-HK"/>
        </w:rPr>
        <w:tab/>
        <w:t>Generally speaking, the NAA oversees Commonwealth institutions' records management</w:t>
      </w:r>
      <w:r>
        <w:rPr>
          <w:rStyle w:val="FootnoteReference"/>
          <w:lang w:eastAsia="zh-HK"/>
        </w:rPr>
        <w:footnoteReference w:id="609"/>
      </w:r>
      <w:r>
        <w:rPr>
          <w:lang w:eastAsia="zh-HK"/>
        </w:rPr>
        <w:t xml:space="preserve"> in various ways, including, appraising their records,</w:t>
      </w:r>
      <w:r>
        <w:rPr>
          <w:rStyle w:val="FootnoteReference"/>
          <w:rFonts w:eastAsia="Arial Unicode MS" w:cs="Arial"/>
          <w:lang w:eastAsia="zh-HK"/>
        </w:rPr>
        <w:footnoteReference w:id="610"/>
      </w:r>
      <w:r>
        <w:rPr>
          <w:lang w:eastAsia="zh-HK"/>
        </w:rPr>
        <w:t xml:space="preserve"> working with them to develop "records authority",</w:t>
      </w:r>
      <w:r>
        <w:rPr>
          <w:rStyle w:val="FootnoteReference"/>
          <w:rFonts w:eastAsia="Arial Unicode MS" w:cs="Arial"/>
          <w:lang w:eastAsia="zh-HK"/>
        </w:rPr>
        <w:footnoteReference w:id="611"/>
      </w:r>
      <w:r>
        <w:rPr>
          <w:lang w:eastAsia="zh-HK"/>
        </w:rPr>
        <w:t xml:space="preserve"> approving or disapproving their practices in dealings with records</w:t>
      </w:r>
      <w:r>
        <w:rPr>
          <w:rStyle w:val="FootnoteReference"/>
          <w:rFonts w:eastAsia="Arial Unicode MS" w:cs="Arial"/>
          <w:lang w:eastAsia="zh-HK"/>
        </w:rPr>
        <w:footnoteReference w:id="612"/>
      </w:r>
      <w:r>
        <w:rPr>
          <w:lang w:eastAsia="zh-HK"/>
        </w:rPr>
        <w:t xml:space="preserve"> and training of their staff </w:t>
      </w:r>
      <w:r>
        <w:rPr>
          <w:lang w:eastAsia="zh-HK"/>
        </w:rPr>
        <w:lastRenderedPageBreak/>
        <w:t>members</w:t>
      </w:r>
      <w:r w:rsidRPr="004201D5">
        <w:rPr>
          <w:spacing w:val="-30"/>
          <w:lang w:eastAsia="zh-HK"/>
        </w:rPr>
        <w:t>.</w:t>
      </w:r>
      <w:r>
        <w:rPr>
          <w:rStyle w:val="FootnoteReference"/>
          <w:rFonts w:eastAsia="Arial Unicode MS" w:cs="Arial"/>
          <w:lang w:eastAsia="zh-HK"/>
        </w:rPr>
        <w:footnoteReference w:id="613"/>
      </w:r>
      <w:r>
        <w:rPr>
          <w:lang w:eastAsia="zh-HK"/>
        </w:rPr>
        <w:t xml:space="preserve">  </w:t>
      </w:r>
      <w:r w:rsidRPr="003C01F9" w:rsidDel="00ED587D">
        <w:rPr>
          <w:lang w:eastAsia="zh-HK"/>
        </w:rPr>
        <w:t xml:space="preserve">If a public body falls within the above definition of </w:t>
      </w:r>
      <w:r>
        <w:rPr>
          <w:rFonts w:eastAsia="MingLiU"/>
        </w:rPr>
        <w:t>"</w:t>
      </w:r>
      <w:r w:rsidRPr="003C01F9" w:rsidDel="00ED587D">
        <w:rPr>
          <w:rFonts w:eastAsia="MingLiU"/>
          <w:i/>
        </w:rPr>
        <w:t>Commonwealth institution</w:t>
      </w:r>
      <w:r>
        <w:rPr>
          <w:rFonts w:eastAsia="MingLiU"/>
        </w:rPr>
        <w:t>"</w:t>
      </w:r>
      <w:r w:rsidRPr="003C01F9" w:rsidDel="00ED587D">
        <w:rPr>
          <w:rFonts w:eastAsia="MingLiU"/>
        </w:rPr>
        <w:t xml:space="preserve">, it appears that the discussion on Australia in other </w:t>
      </w:r>
      <w:r>
        <w:rPr>
          <w:rFonts w:eastAsia="MingLiU"/>
        </w:rPr>
        <w:t>c</w:t>
      </w:r>
      <w:r w:rsidRPr="003C01F9" w:rsidDel="00ED587D">
        <w:rPr>
          <w:rFonts w:eastAsia="MingLiU"/>
        </w:rPr>
        <w:t xml:space="preserve">hapters would </w:t>
      </w:r>
      <w:r w:rsidRPr="00BF1613">
        <w:rPr>
          <w:rFonts w:eastAsia="MingLiU"/>
        </w:rPr>
        <w:t xml:space="preserve">by and large </w:t>
      </w:r>
      <w:r w:rsidRPr="003C01F9" w:rsidDel="00ED587D">
        <w:rPr>
          <w:rFonts w:eastAsia="MingLiU"/>
        </w:rPr>
        <w:t>also apply to such body</w:t>
      </w:r>
      <w:r w:rsidRPr="00BF1613">
        <w:rPr>
          <w:rFonts w:eastAsia="MingLiU"/>
        </w:rPr>
        <w:t>, subject to some exceptions.</w:t>
      </w:r>
      <w:r w:rsidRPr="00BF1613">
        <w:rPr>
          <w:rStyle w:val="FootnoteReference"/>
          <w:rFonts w:eastAsia="MingLiU"/>
        </w:rPr>
        <w:footnoteReference w:id="614"/>
      </w:r>
      <w:r w:rsidRPr="003C01F9" w:rsidDel="00ED587D">
        <w:rPr>
          <w:rFonts w:eastAsia="MingLiU"/>
        </w:rPr>
        <w:t xml:space="preserve">  It is, however, useful to highlight some special features below.</w:t>
      </w:r>
      <w:r w:rsidDel="00ED587D">
        <w:rPr>
          <w:lang w:eastAsia="zh-HK"/>
        </w:rPr>
        <w:t xml:space="preserve"> </w:t>
      </w:r>
      <w:r>
        <w:rPr>
          <w:lang w:eastAsia="zh-HK"/>
        </w:rPr>
        <w:t xml:space="preserve">  </w:t>
      </w:r>
    </w:p>
    <w:p w:rsidR="00D37010" w:rsidRDefault="00D37010">
      <w:pPr>
        <w:rPr>
          <w:rFonts w:eastAsia="Arial Unicode MS" w:cs="Arial"/>
          <w:i/>
          <w:color w:val="FF0000"/>
          <w:lang w:eastAsia="zh-HK"/>
        </w:rPr>
      </w:pPr>
    </w:p>
    <w:p w:rsidR="00D37010" w:rsidRDefault="00D37010">
      <w:pPr>
        <w:rPr>
          <w:rFonts w:eastAsia="Arial Unicode MS" w:cs="Arial"/>
          <w:lang w:eastAsia="zh-HK"/>
        </w:rPr>
      </w:pPr>
      <w:r>
        <w:rPr>
          <w:rFonts w:eastAsia="Arial Unicode MS" w:cs="Arial"/>
          <w:lang w:eastAsia="zh-HK"/>
        </w:rPr>
        <w:t>10.20</w:t>
      </w:r>
      <w:r>
        <w:rPr>
          <w:rFonts w:eastAsia="Arial Unicode MS" w:cs="Arial"/>
          <w:lang w:eastAsia="zh-HK"/>
        </w:rPr>
        <w:tab/>
      </w:r>
      <w:r>
        <w:rPr>
          <w:rFonts w:eastAsia="Arial Unicode MS" w:cs="Arial"/>
          <w:lang w:eastAsia="zh-HK"/>
        </w:rPr>
        <w:tab/>
        <w:t>The 1983 Act gives the NAA the right to, subject to exemptions, seek "</w:t>
      </w:r>
      <w:r>
        <w:rPr>
          <w:rFonts w:eastAsia="Arial Unicode MS" w:cs="Arial"/>
          <w:i/>
          <w:lang w:eastAsia="zh-HK"/>
        </w:rPr>
        <w:t>full and free access, at all reasonable times, to all Commonwealth records in the custody of a Commonwealth institution other than the Archives</w:t>
      </w:r>
      <w:r>
        <w:rPr>
          <w:rFonts w:eastAsia="Arial Unicode MS" w:cs="Arial"/>
          <w:lang w:eastAsia="zh-HK"/>
        </w:rPr>
        <w:t>".</w:t>
      </w:r>
      <w:r>
        <w:rPr>
          <w:rStyle w:val="FootnoteReference"/>
          <w:rFonts w:eastAsia="Arial Unicode MS" w:cs="Arial"/>
          <w:lang w:eastAsia="zh-HK"/>
        </w:rPr>
        <w:footnoteReference w:id="615"/>
      </w:r>
      <w:r>
        <w:rPr>
          <w:rFonts w:eastAsia="Arial Unicode MS" w:cs="Arial"/>
          <w:lang w:eastAsia="zh-HK"/>
        </w:rPr>
        <w:t xml:space="preserve">  Based on the NAA's website, however, it does not appear to be a usual practice of the NAA to freely access Commonwealth records in carrying out its duty to oversee Commonwealth institution's records management. </w:t>
      </w:r>
    </w:p>
    <w:p w:rsidR="00D37010" w:rsidRDefault="00D37010">
      <w:pPr>
        <w:rPr>
          <w:rFonts w:eastAsia="Arial Unicode MS" w:cs="Arial"/>
          <w:lang w:val="en-US" w:eastAsia="zh-HK"/>
        </w:rPr>
      </w:pPr>
    </w:p>
    <w:p w:rsidR="00D37010" w:rsidRPr="0073588F" w:rsidRDefault="00D37010">
      <w:pPr>
        <w:rPr>
          <w:rFonts w:eastAsia="Arial Unicode MS" w:cs="Arial"/>
          <w:lang w:val="en-US" w:eastAsia="zh-HK"/>
        </w:rPr>
      </w:pPr>
    </w:p>
    <w:p w:rsidR="00D37010" w:rsidRDefault="00D37010" w:rsidP="00D86E22">
      <w:pPr>
        <w:pStyle w:val="Heading3"/>
      </w:pPr>
      <w:r>
        <w:t>England</w:t>
      </w:r>
    </w:p>
    <w:p w:rsidR="00D37010" w:rsidRPr="009A4F49" w:rsidRDefault="00D37010" w:rsidP="00D86E22">
      <w:pPr>
        <w:keepNext/>
        <w:rPr>
          <w:rFonts w:eastAsia="MingLiU" w:cs="Arial"/>
          <w:b/>
          <w:sz w:val="20"/>
          <w:szCs w:val="20"/>
        </w:rPr>
      </w:pPr>
    </w:p>
    <w:p w:rsidR="00D37010" w:rsidRDefault="00D37010" w:rsidP="00944E08">
      <w:pPr>
        <w:pStyle w:val="Heading4"/>
        <w:tabs>
          <w:tab w:val="clear" w:pos="1418"/>
          <w:tab w:val="left" w:pos="720"/>
        </w:tabs>
      </w:pPr>
      <w:r>
        <w:t xml:space="preserve">(i) </w:t>
      </w:r>
      <w:r>
        <w:rPr>
          <w:rFonts w:hint="eastAsia"/>
        </w:rPr>
        <w:tab/>
      </w:r>
      <w:r>
        <w:t>Scope of public bodies covered</w:t>
      </w:r>
    </w:p>
    <w:p w:rsidR="00D37010" w:rsidRDefault="00D37010" w:rsidP="00D86E22">
      <w:pPr>
        <w:keepNext/>
        <w:rPr>
          <w:rFonts w:eastAsia="MingLiU" w:cs="Arial"/>
          <w:b/>
        </w:rPr>
      </w:pPr>
    </w:p>
    <w:p w:rsidR="00D37010" w:rsidRDefault="00D37010" w:rsidP="00D86E22">
      <w:pPr>
        <w:rPr>
          <w:i/>
        </w:rPr>
      </w:pPr>
      <w:r>
        <w:t>10.21</w:t>
      </w:r>
      <w:r>
        <w:tab/>
      </w:r>
      <w:r>
        <w:tab/>
        <w:t>Under the First Schedule to the 1958 Act, "</w:t>
      </w:r>
      <w:r>
        <w:rPr>
          <w:i/>
        </w:rPr>
        <w:t>public records</w:t>
      </w:r>
      <w:r>
        <w:t>"</w:t>
      </w:r>
      <w:r>
        <w:rPr>
          <w:rFonts w:hint="eastAsia"/>
        </w:rPr>
        <w:t>,</w:t>
      </w:r>
      <w:r>
        <w:rPr>
          <w:rStyle w:val="FootnoteReference"/>
          <w:rFonts w:eastAsia="MingLiU" w:cs="Arial"/>
        </w:rPr>
        <w:footnoteReference w:id="616"/>
      </w:r>
      <w:r>
        <w:t xml:space="preserve"> subject to specific exceptions, are:-</w:t>
      </w:r>
      <w:r>
        <w:rPr>
          <w:i/>
        </w:rPr>
        <w:t xml:space="preserve"> </w:t>
      </w:r>
    </w:p>
    <w:p w:rsidR="00D37010" w:rsidRPr="009A4F49" w:rsidRDefault="00D37010" w:rsidP="00D86E22">
      <w:pPr>
        <w:rPr>
          <w:rFonts w:eastAsia="MingLiU" w:cs="Arial"/>
          <w:i/>
          <w:sz w:val="20"/>
          <w:szCs w:val="20"/>
        </w:rPr>
      </w:pPr>
    </w:p>
    <w:p w:rsidR="00D37010" w:rsidRPr="00D86E22" w:rsidRDefault="00D37010" w:rsidP="00D86E22">
      <w:pPr>
        <w:pStyle w:val="legclearfix2"/>
        <w:adjustRightInd w:val="0"/>
        <w:spacing w:after="0" w:line="240" w:lineRule="auto"/>
        <w:ind w:left="1440" w:right="720" w:hanging="720"/>
        <w:rPr>
          <w:rStyle w:val="legds2"/>
          <w:rFonts w:ascii="Arial" w:eastAsia="PMingLiU" w:hAnsi="Arial" w:cs="Arial"/>
          <w:i/>
          <w:sz w:val="24"/>
          <w:szCs w:val="24"/>
          <w:lang w:val="en"/>
          <w:specVanish w:val="0"/>
        </w:rPr>
      </w:pPr>
      <w:r w:rsidRPr="00901078">
        <w:rPr>
          <w:rStyle w:val="legds2"/>
          <w:rFonts w:ascii="Arial" w:hAnsi="Arial" w:cs="Arial"/>
          <w:sz w:val="24"/>
          <w:szCs w:val="24"/>
          <w:lang w:val="en"/>
        </w:rPr>
        <w:t>"</w:t>
      </w:r>
      <w:r>
        <w:rPr>
          <w:rStyle w:val="legds2"/>
          <w:rFonts w:ascii="Arial" w:hAnsi="Arial" w:cs="Arial"/>
          <w:i/>
          <w:sz w:val="24"/>
          <w:szCs w:val="24"/>
          <w:lang w:val="en"/>
        </w:rPr>
        <w:t>(1)</w:t>
      </w:r>
      <w:r w:rsidRPr="00D86E22">
        <w:rPr>
          <w:rStyle w:val="legds2"/>
          <w:rFonts w:ascii="Arial" w:eastAsia="PMingLiU" w:hAnsi="Arial" w:cs="Arial"/>
          <w:i/>
          <w:sz w:val="24"/>
          <w:szCs w:val="24"/>
          <w:lang w:val="en"/>
        </w:rPr>
        <w:tab/>
        <w:t>…</w:t>
      </w:r>
      <w:r w:rsidRPr="00D86E22">
        <w:rPr>
          <w:rStyle w:val="legds2"/>
          <w:rFonts w:ascii="Arial" w:eastAsia="PMingLiU" w:hAnsi="Arial" w:cs="Arial" w:hint="eastAsia"/>
          <w:i/>
          <w:sz w:val="24"/>
          <w:szCs w:val="24"/>
          <w:lang w:val="en"/>
        </w:rPr>
        <w:t xml:space="preserve"> </w:t>
      </w:r>
      <w:r>
        <w:rPr>
          <w:rStyle w:val="legds2"/>
          <w:rFonts w:ascii="Arial" w:hAnsi="Arial" w:cs="Arial"/>
          <w:i/>
          <w:sz w:val="24"/>
          <w:szCs w:val="24"/>
          <w:lang w:val="en"/>
        </w:rPr>
        <w:t>administrative and departmental records belonging to Her Majesty, whether in the United Kingdom or elsewhere, in right of Her Majesty's Government in the United Kingdom and, in particular,—</w:t>
      </w:r>
    </w:p>
    <w:p w:rsidR="00D37010" w:rsidRPr="009A4F49" w:rsidRDefault="00D37010" w:rsidP="00D86E22">
      <w:pPr>
        <w:pStyle w:val="legclearfix2"/>
        <w:adjustRightInd w:val="0"/>
        <w:spacing w:after="0" w:line="240" w:lineRule="auto"/>
        <w:ind w:left="1440" w:right="720" w:hanging="720"/>
        <w:rPr>
          <w:rFonts w:ascii="Arial" w:eastAsia="PMingLiU" w:hAnsi="Arial" w:cs="Arial"/>
          <w:i/>
          <w:sz w:val="20"/>
          <w:szCs w:val="20"/>
          <w:lang w:val="en"/>
        </w:rPr>
      </w:pPr>
    </w:p>
    <w:p w:rsidR="00D37010" w:rsidRPr="00D86E22" w:rsidRDefault="00D37010" w:rsidP="00D86E22">
      <w:pPr>
        <w:pStyle w:val="legclearfix2"/>
        <w:adjustRightInd w:val="0"/>
        <w:spacing w:after="0" w:line="240" w:lineRule="auto"/>
        <w:ind w:left="2160" w:right="720" w:hanging="720"/>
        <w:rPr>
          <w:rFonts w:ascii="Arial" w:eastAsia="PMingLiU" w:hAnsi="Arial" w:cs="Arial"/>
          <w:i/>
          <w:sz w:val="24"/>
          <w:szCs w:val="24"/>
          <w:lang w:val="en"/>
        </w:rPr>
      </w:pPr>
      <w:r>
        <w:rPr>
          <w:rStyle w:val="legds2"/>
          <w:rFonts w:ascii="Arial" w:hAnsi="Arial" w:cs="Arial"/>
          <w:i/>
          <w:sz w:val="24"/>
          <w:szCs w:val="24"/>
          <w:lang w:val="en"/>
        </w:rPr>
        <w:t>(a)</w:t>
      </w:r>
      <w:r w:rsidRPr="00D86E22">
        <w:rPr>
          <w:rStyle w:val="legds2"/>
          <w:rFonts w:ascii="Arial" w:eastAsia="PMingLiU" w:hAnsi="Arial" w:cs="Arial"/>
          <w:i/>
          <w:sz w:val="24"/>
          <w:szCs w:val="24"/>
          <w:lang w:val="en"/>
        </w:rPr>
        <w:tab/>
      </w:r>
      <w:r>
        <w:rPr>
          <w:rFonts w:ascii="Arial" w:hAnsi="Arial" w:cs="Arial"/>
          <w:i/>
          <w:sz w:val="24"/>
          <w:szCs w:val="24"/>
          <w:lang w:val="en"/>
        </w:rPr>
        <w:t>records of, or held in, any department of Her Majesty's Government in the United Kingdom, or</w:t>
      </w:r>
    </w:p>
    <w:p w:rsidR="00D37010" w:rsidRPr="009A4F49" w:rsidRDefault="00D37010" w:rsidP="00D86E22">
      <w:pPr>
        <w:pStyle w:val="legclearfix2"/>
        <w:adjustRightInd w:val="0"/>
        <w:spacing w:after="0" w:line="240" w:lineRule="auto"/>
        <w:ind w:left="2160" w:right="720" w:hanging="720"/>
        <w:rPr>
          <w:rFonts w:ascii="Arial" w:eastAsia="PMingLiU" w:hAnsi="Arial" w:cs="Arial"/>
          <w:i/>
          <w:sz w:val="20"/>
          <w:szCs w:val="20"/>
          <w:lang w:val="en"/>
        </w:rPr>
      </w:pPr>
    </w:p>
    <w:p w:rsidR="00D37010" w:rsidRPr="00D86E22" w:rsidRDefault="00D37010" w:rsidP="00D86E22">
      <w:pPr>
        <w:pStyle w:val="legclearfix2"/>
        <w:adjustRightInd w:val="0"/>
        <w:spacing w:after="0" w:line="240" w:lineRule="auto"/>
        <w:ind w:left="2160" w:right="720" w:hanging="720"/>
        <w:rPr>
          <w:rFonts w:ascii="Arial" w:eastAsia="PMingLiU" w:hAnsi="Arial" w:cs="Arial"/>
          <w:i/>
          <w:sz w:val="24"/>
          <w:szCs w:val="24"/>
          <w:lang w:val="en"/>
        </w:rPr>
      </w:pPr>
      <w:r>
        <w:rPr>
          <w:rFonts w:ascii="Arial" w:hAnsi="Arial" w:cs="Arial"/>
          <w:i/>
          <w:sz w:val="24"/>
          <w:szCs w:val="24"/>
          <w:lang w:val="en"/>
        </w:rPr>
        <w:t>(b)</w:t>
      </w:r>
      <w:r w:rsidRPr="00D86E22">
        <w:rPr>
          <w:rFonts w:ascii="Arial" w:eastAsia="PMingLiU" w:hAnsi="Arial" w:cs="Arial"/>
          <w:i/>
          <w:sz w:val="24"/>
          <w:szCs w:val="24"/>
          <w:lang w:val="en"/>
        </w:rPr>
        <w:tab/>
      </w:r>
      <w:r>
        <w:rPr>
          <w:rFonts w:ascii="Arial" w:hAnsi="Arial" w:cs="Arial"/>
          <w:i/>
          <w:sz w:val="24"/>
          <w:szCs w:val="24"/>
          <w:lang w:val="en"/>
        </w:rPr>
        <w:t>records of any office, commission or other body or establishment whatsoever under Her Majesty's Government in the United Kingdom, … .</w:t>
      </w:r>
      <w:r w:rsidRPr="00901078">
        <w:rPr>
          <w:rFonts w:ascii="Arial" w:hAnsi="Arial" w:cs="Arial"/>
          <w:sz w:val="24"/>
          <w:szCs w:val="24"/>
          <w:lang w:val="en"/>
        </w:rPr>
        <w:t>"</w:t>
      </w:r>
      <w:r w:rsidRPr="00D86E22">
        <w:rPr>
          <w:rFonts w:ascii="PMingLiU" w:eastAsia="PMingLiU" w:hAnsi="PMingLiU" w:cs="Arial" w:hint="eastAsia"/>
          <w:i/>
          <w:spacing w:val="-20"/>
          <w:sz w:val="24"/>
          <w:szCs w:val="24"/>
          <w:lang w:val="en"/>
        </w:rPr>
        <w:t xml:space="preserve"> </w:t>
      </w:r>
      <w:r>
        <w:rPr>
          <w:rStyle w:val="FootnoteReference"/>
          <w:rFonts w:cs="Arial"/>
          <w:lang w:val="en"/>
        </w:rPr>
        <w:footnoteReference w:id="617"/>
      </w:r>
    </w:p>
    <w:p w:rsidR="00D37010" w:rsidRPr="00D86E22" w:rsidRDefault="00D37010" w:rsidP="00D86E22">
      <w:pPr>
        <w:pStyle w:val="legclearfix2"/>
        <w:adjustRightInd w:val="0"/>
        <w:spacing w:after="0" w:line="240" w:lineRule="auto"/>
        <w:rPr>
          <w:rStyle w:val="legaddition5"/>
          <w:rFonts w:ascii="Arial" w:eastAsia="PMingLiU" w:hAnsi="Arial" w:cs="Arial"/>
          <w:sz w:val="24"/>
          <w:szCs w:val="24"/>
          <w:lang w:val="en"/>
        </w:rPr>
      </w:pPr>
    </w:p>
    <w:p w:rsidR="00D37010" w:rsidRPr="00D86E22" w:rsidRDefault="00D37010" w:rsidP="00D86E22">
      <w:pPr>
        <w:rPr>
          <w:rStyle w:val="legaddition5"/>
          <w:rFonts w:cs="Arial"/>
          <w:lang w:val="en"/>
        </w:rPr>
      </w:pPr>
      <w:r w:rsidRPr="00D86E22">
        <w:rPr>
          <w:rStyle w:val="legaddition5"/>
          <w:rFonts w:cs="Arial"/>
          <w:lang w:val="en"/>
        </w:rPr>
        <w:t>10.22</w:t>
      </w:r>
      <w:r w:rsidRPr="00D86E22">
        <w:rPr>
          <w:rStyle w:val="legaddition5"/>
          <w:rFonts w:cs="Arial"/>
          <w:lang w:val="en"/>
        </w:rPr>
        <w:tab/>
      </w:r>
      <w:r w:rsidRPr="00D86E22">
        <w:rPr>
          <w:rStyle w:val="legaddition5"/>
          <w:rFonts w:cs="Arial"/>
          <w:lang w:val="en"/>
        </w:rPr>
        <w:tab/>
        <w:t xml:space="preserve">Paragraph 3 of the </w:t>
      </w:r>
      <w:r>
        <w:rPr>
          <w:rStyle w:val="legaddition5"/>
          <w:rFonts w:cs="Arial"/>
          <w:lang w:val="en"/>
        </w:rPr>
        <w:t>First Schedule further provides:</w:t>
      </w:r>
    </w:p>
    <w:p w:rsidR="00D37010" w:rsidRPr="00D86E22" w:rsidRDefault="00D37010" w:rsidP="00D86E22">
      <w:pPr>
        <w:pStyle w:val="legclearfix2"/>
        <w:adjustRightInd w:val="0"/>
        <w:spacing w:after="0" w:line="240" w:lineRule="auto"/>
        <w:rPr>
          <w:rStyle w:val="legaddition5"/>
          <w:rFonts w:ascii="Arial" w:eastAsia="PMingLiU" w:hAnsi="Arial" w:cs="Arial"/>
          <w:sz w:val="24"/>
          <w:szCs w:val="24"/>
          <w:lang w:val="en"/>
        </w:rPr>
      </w:pPr>
    </w:p>
    <w:p w:rsidR="00D37010" w:rsidRPr="00D86E22" w:rsidRDefault="00D37010" w:rsidP="00D86E22">
      <w:pPr>
        <w:pStyle w:val="legclearfix2"/>
        <w:adjustRightInd w:val="0"/>
        <w:spacing w:after="0" w:line="240" w:lineRule="auto"/>
        <w:ind w:left="1440" w:right="720" w:hanging="720"/>
        <w:rPr>
          <w:rStyle w:val="legds2"/>
          <w:rFonts w:ascii="Arial" w:eastAsia="PMingLiU" w:hAnsi="Arial" w:cs="Arial"/>
          <w:i/>
          <w:sz w:val="24"/>
          <w:szCs w:val="24"/>
          <w:lang w:val="en"/>
          <w:specVanish w:val="0"/>
        </w:rPr>
      </w:pPr>
      <w:r w:rsidRPr="00901078">
        <w:rPr>
          <w:rStyle w:val="legds2"/>
          <w:rFonts w:ascii="Arial" w:hAnsi="Arial" w:cs="Arial"/>
          <w:sz w:val="24"/>
          <w:szCs w:val="24"/>
          <w:lang w:val="en"/>
        </w:rPr>
        <w:t>"</w:t>
      </w:r>
      <w:r>
        <w:rPr>
          <w:rStyle w:val="legds2"/>
          <w:rFonts w:ascii="Arial" w:hAnsi="Arial" w:cs="Arial"/>
          <w:i/>
          <w:sz w:val="24"/>
          <w:szCs w:val="24"/>
          <w:lang w:val="en"/>
        </w:rPr>
        <w:t>(1)</w:t>
      </w:r>
      <w:r w:rsidRPr="00D86E22">
        <w:rPr>
          <w:rStyle w:val="legds2"/>
          <w:rFonts w:ascii="Arial" w:eastAsia="PMingLiU" w:hAnsi="Arial" w:cs="Arial"/>
          <w:i/>
          <w:sz w:val="24"/>
          <w:szCs w:val="24"/>
          <w:lang w:val="en"/>
        </w:rPr>
        <w:tab/>
      </w:r>
      <w:r>
        <w:rPr>
          <w:rStyle w:val="legds2"/>
          <w:rFonts w:ascii="Arial" w:hAnsi="Arial" w:cs="Arial"/>
          <w:i/>
          <w:sz w:val="24"/>
          <w:szCs w:val="24"/>
          <w:lang w:val="en"/>
        </w:rPr>
        <w:t xml:space="preserve">Without prejudice to the generality of sub-paragraph (1) of [paragraph two of the First Schedule], the administrative and departmental records of bodies and establishments </w:t>
      </w:r>
      <w:r>
        <w:rPr>
          <w:rStyle w:val="legds2"/>
          <w:rFonts w:ascii="Arial" w:hAnsi="Arial" w:cs="Arial"/>
          <w:i/>
          <w:sz w:val="24"/>
          <w:szCs w:val="24"/>
          <w:lang w:val="en"/>
        </w:rPr>
        <w:lastRenderedPageBreak/>
        <w:t xml:space="preserve">set out in the </w:t>
      </w:r>
      <w:r>
        <w:rPr>
          <w:rStyle w:val="legds2"/>
          <w:rFonts w:ascii="Arial" w:hAnsi="Arial" w:cs="Arial"/>
          <w:b/>
          <w:i/>
          <w:sz w:val="24"/>
          <w:szCs w:val="24"/>
          <w:lang w:val="en"/>
        </w:rPr>
        <w:t>Table</w:t>
      </w:r>
      <w:r>
        <w:rPr>
          <w:rStyle w:val="legds2"/>
          <w:rFonts w:ascii="Arial" w:hAnsi="Arial" w:cs="Arial"/>
          <w:i/>
          <w:sz w:val="24"/>
          <w:szCs w:val="24"/>
          <w:lang w:val="en"/>
        </w:rPr>
        <w:t xml:space="preserve"> at the end of this paragraph shall be public records, whether or not they are records belonging to Her Majesty … .</w:t>
      </w:r>
      <w:r w:rsidRPr="00901078">
        <w:rPr>
          <w:rStyle w:val="legds2"/>
          <w:rFonts w:ascii="Arial" w:hAnsi="Arial" w:cs="Arial"/>
          <w:sz w:val="24"/>
          <w:szCs w:val="24"/>
          <w:lang w:val="en"/>
        </w:rPr>
        <w:t>"</w:t>
      </w:r>
    </w:p>
    <w:p w:rsidR="00D37010" w:rsidRDefault="00D37010" w:rsidP="00D86E22">
      <w:pPr>
        <w:pStyle w:val="legclearfix2"/>
        <w:adjustRightInd w:val="0"/>
        <w:spacing w:after="0" w:line="240" w:lineRule="auto"/>
        <w:ind w:left="1440" w:right="720" w:hanging="720"/>
        <w:rPr>
          <w:rFonts w:ascii="Arial" w:hAnsi="Arial" w:cs="Arial"/>
          <w:i/>
          <w:sz w:val="24"/>
          <w:szCs w:val="24"/>
          <w:lang w:val="en"/>
        </w:rPr>
      </w:pPr>
      <w:r>
        <w:rPr>
          <w:rStyle w:val="legds2"/>
          <w:rFonts w:ascii="Arial" w:hAnsi="Arial" w:cs="Arial"/>
          <w:i/>
          <w:sz w:val="22"/>
          <w:szCs w:val="24"/>
          <w:lang w:val="en"/>
        </w:rPr>
        <w:tab/>
      </w:r>
      <w:r w:rsidRPr="00944E08">
        <w:rPr>
          <w:rStyle w:val="legchangedelimiter2"/>
          <w:rFonts w:ascii="Arial" w:hAnsi="Arial" w:cs="Arial"/>
          <w:b w:val="0"/>
          <w:sz w:val="24"/>
          <w:szCs w:val="24"/>
          <w:lang w:val="en"/>
        </w:rPr>
        <w:t>(</w:t>
      </w:r>
      <w:r>
        <w:rPr>
          <w:rFonts w:ascii="Arial" w:hAnsi="Arial" w:cs="Arial"/>
          <w:i/>
          <w:sz w:val="24"/>
          <w:szCs w:val="24"/>
          <w:lang w:val="en"/>
        </w:rPr>
        <w:t>emphasis added)</w:t>
      </w:r>
    </w:p>
    <w:p w:rsidR="00D37010" w:rsidRDefault="00D37010" w:rsidP="00D86E22">
      <w:pPr>
        <w:pStyle w:val="legclearfix2"/>
        <w:adjustRightInd w:val="0"/>
        <w:spacing w:after="0" w:line="240" w:lineRule="auto"/>
        <w:ind w:left="1440" w:right="720" w:hanging="720"/>
        <w:rPr>
          <w:rFonts w:ascii="Arial" w:hAnsi="Arial" w:cs="Arial"/>
          <w:i/>
          <w:sz w:val="24"/>
          <w:szCs w:val="24"/>
          <w:lang w:val="en"/>
        </w:rPr>
      </w:pPr>
    </w:p>
    <w:p w:rsidR="00D37010" w:rsidRDefault="00D37010" w:rsidP="00D86E22">
      <w:r>
        <w:t>10.23</w:t>
      </w:r>
      <w:r>
        <w:tab/>
      </w:r>
      <w:r>
        <w:tab/>
        <w:t xml:space="preserve">The Table in paragraph 3 of the First Schedule refers to bodies and establishments under government departments, as well as other establishments and organisations, such as the British Coal Corporation, British Council, Consumer Council for Water, Legal Services Consultative Panel and Olympic Lottery Distributor.  </w:t>
      </w:r>
    </w:p>
    <w:p w:rsidR="00D37010" w:rsidRDefault="00D37010" w:rsidP="00D86E22">
      <w:pPr>
        <w:rPr>
          <w:rFonts w:eastAsia="MingLiU" w:cs="Arial"/>
        </w:rPr>
      </w:pPr>
    </w:p>
    <w:p w:rsidR="00D37010" w:rsidRDefault="00D37010" w:rsidP="00D86E22">
      <w:r>
        <w:t>10.24</w:t>
      </w:r>
      <w:r>
        <w:tab/>
      </w:r>
      <w:r>
        <w:tab/>
        <w:t>Moreover, subject to the relevant provisions, records of various courts and tribunals are included as "</w:t>
      </w:r>
      <w:r>
        <w:rPr>
          <w:i/>
        </w:rPr>
        <w:t>public records</w:t>
      </w:r>
      <w:r>
        <w:t>" for the purposes of the 1958 Act.</w:t>
      </w:r>
      <w:r>
        <w:rPr>
          <w:rStyle w:val="FootnoteReference"/>
          <w:rFonts w:eastAsia="MingLiU" w:cs="Arial"/>
        </w:rPr>
        <w:footnoteReference w:id="618"/>
      </w:r>
      <w:r>
        <w:t xml:space="preserve">  Her Majesty may by Order in Council direct that any other description of records shall be treated as public records for the purposes of the Act if a draft of the Order has been laid before Parliament and approved by resolution of each House of Parliament.</w:t>
      </w:r>
      <w:r>
        <w:rPr>
          <w:rStyle w:val="FootnoteReference"/>
          <w:rFonts w:eastAsia="MingLiU" w:cs="Arial"/>
        </w:rPr>
        <w:footnoteReference w:id="619"/>
      </w:r>
    </w:p>
    <w:p w:rsidR="00D37010" w:rsidRDefault="00D37010" w:rsidP="00D86E22">
      <w:pPr>
        <w:rPr>
          <w:rFonts w:eastAsia="MingLiU" w:cs="Arial"/>
          <w:b/>
        </w:rPr>
      </w:pPr>
    </w:p>
    <w:p w:rsidR="00D37010" w:rsidRDefault="00D37010" w:rsidP="00944E08">
      <w:pPr>
        <w:pStyle w:val="Heading4"/>
        <w:tabs>
          <w:tab w:val="clear" w:pos="1418"/>
          <w:tab w:val="left" w:pos="720"/>
        </w:tabs>
        <w:rPr>
          <w:lang w:val="en-NZ"/>
        </w:rPr>
      </w:pPr>
      <w:r>
        <w:rPr>
          <w:lang w:val="en-NZ"/>
        </w:rPr>
        <w:t xml:space="preserve">(ii) </w:t>
      </w:r>
      <w:r>
        <w:rPr>
          <w:lang w:val="en-NZ"/>
        </w:rPr>
        <w:tab/>
        <w:t xml:space="preserve">Extent of oversight by archival authority </w:t>
      </w:r>
    </w:p>
    <w:p w:rsidR="00D37010" w:rsidRDefault="00D37010" w:rsidP="00D86E22">
      <w:pPr>
        <w:rPr>
          <w:rFonts w:eastAsia="MingLiU" w:cs="Arial"/>
          <w:b/>
          <w:i/>
        </w:rPr>
      </w:pPr>
    </w:p>
    <w:p w:rsidR="00D37010" w:rsidRDefault="00D37010" w:rsidP="00D86E22">
      <w:pPr>
        <w:rPr>
          <w:rFonts w:eastAsia="MingLiU"/>
        </w:rPr>
      </w:pPr>
      <w:r>
        <w:rPr>
          <w:rFonts w:eastAsia="MingLiU"/>
        </w:rPr>
        <w:t>10.25</w:t>
      </w:r>
      <w:r>
        <w:rPr>
          <w:rFonts w:eastAsia="MingLiU"/>
        </w:rPr>
        <w:tab/>
      </w:r>
      <w:r>
        <w:rPr>
          <w:rFonts w:eastAsia="MingLiU"/>
        </w:rPr>
        <w:tab/>
      </w:r>
      <w:r>
        <w:t xml:space="preserve">The 1958 Act imposes a duty upon every person responsible for public records to make arrangements for the selection of records for permanent preservation and for their safe-keeping </w:t>
      </w:r>
      <w:r>
        <w:rPr>
          <w:i/>
        </w:rPr>
        <w:t>under the guidance</w:t>
      </w:r>
      <w:r>
        <w:t xml:space="preserve"> of the Keeper (ie Keeper of Public Records).</w:t>
      </w:r>
      <w:r>
        <w:rPr>
          <w:rStyle w:val="FootnoteReference"/>
          <w:rFonts w:eastAsia="Arial Unicode MS" w:cs="Arial"/>
        </w:rPr>
        <w:footnoteReference w:id="620"/>
      </w:r>
      <w:r>
        <w:t xml:space="preserve">  Apparently, if a public body falls within the "bodies and establishments" in the First Schedule to the 1958 Act, provisions of the Act relating to "public records" discussed in other chapters would apply also to the records of such body.  </w:t>
      </w:r>
    </w:p>
    <w:p w:rsidR="00D37010" w:rsidRDefault="00D37010" w:rsidP="00D86E22">
      <w:pPr>
        <w:rPr>
          <w:rFonts w:eastAsia="MingLiU" w:cs="Arial"/>
        </w:rPr>
      </w:pPr>
    </w:p>
    <w:p w:rsidR="00D37010" w:rsidRDefault="00D37010" w:rsidP="00944E08">
      <w:pPr>
        <w:widowControl/>
        <w:rPr>
          <w:lang w:eastAsia="zh-HK"/>
        </w:rPr>
      </w:pPr>
      <w:r>
        <w:rPr>
          <w:rFonts w:eastAsia="MingLiU"/>
        </w:rPr>
        <w:t>10.26</w:t>
      </w:r>
      <w:r>
        <w:rPr>
          <w:rFonts w:eastAsia="MingLiU"/>
        </w:rPr>
        <w:tab/>
      </w:r>
      <w:r>
        <w:rPr>
          <w:rFonts w:eastAsia="MingLiU"/>
        </w:rPr>
        <w:tab/>
      </w:r>
      <w:r>
        <w:t xml:space="preserve">In addition, </w:t>
      </w:r>
      <w:r>
        <w:rPr>
          <w:lang w:eastAsia="zh-HK"/>
        </w:rPr>
        <w:t xml:space="preserve">TNA has </w:t>
      </w:r>
      <w:r>
        <w:t>been running the Information Management Assessment programme since 2008 to assess how well participating public bodies</w:t>
      </w:r>
      <w:r>
        <w:rPr>
          <w:lang w:eastAsia="zh-HK"/>
        </w:rPr>
        <w:t xml:space="preserve"> are in fulfilling their duties under the 1958 Act.</w:t>
      </w:r>
      <w:r>
        <w:rPr>
          <w:rStyle w:val="FootnoteReference"/>
          <w:rFonts w:eastAsia="Arial Unicode MS" w:cs="Arial"/>
          <w:lang w:eastAsia="zh-HK"/>
        </w:rPr>
        <w:footnoteReference w:id="621"/>
      </w:r>
      <w:r>
        <w:rPr>
          <w:lang w:eastAsia="zh-HK"/>
        </w:rPr>
        <w:t xml:space="preserve">  The Information Management Self-Assessment Tool has been developed as part of the programme to assist such bodies in self-assessing the effectiveness of their approach to records management.</w:t>
      </w:r>
      <w:r>
        <w:rPr>
          <w:rStyle w:val="FootnoteReference"/>
          <w:rFonts w:eastAsia="Arial Unicode MS" w:cs="Arial"/>
          <w:lang w:eastAsia="zh-HK"/>
        </w:rPr>
        <w:footnoteReference w:id="622"/>
      </w:r>
      <w:r>
        <w:rPr>
          <w:lang w:eastAsia="zh-HK"/>
        </w:rPr>
        <w:t xml:space="preserve"> </w:t>
      </w:r>
      <w:r>
        <w:rPr>
          <w:rFonts w:hint="eastAsia"/>
          <w:lang w:eastAsia="zh-HK"/>
        </w:rPr>
        <w:t xml:space="preserve"> </w:t>
      </w:r>
      <w:r>
        <w:rPr>
          <w:lang w:eastAsia="zh-HK"/>
        </w:rPr>
        <w:t xml:space="preserve">The outcome of the programme is a report by TNA published on its website that highlights what is working well in the body concerned, together with recommendations to be taken forward in an </w:t>
      </w:r>
      <w:r>
        <w:rPr>
          <w:lang w:eastAsia="zh-HK"/>
        </w:rPr>
        <w:lastRenderedPageBreak/>
        <w:t>action plan.</w:t>
      </w:r>
      <w:r>
        <w:rPr>
          <w:rStyle w:val="FootnoteReference"/>
          <w:rFonts w:eastAsia="Arial Unicode MS" w:cs="Arial"/>
          <w:lang w:eastAsia="zh-HK"/>
        </w:rPr>
        <w:footnoteReference w:id="623"/>
      </w:r>
      <w:r>
        <w:rPr>
          <w:lang w:eastAsia="zh-HK"/>
        </w:rPr>
        <w:t xml:space="preserve">  TNA conducts progress reviews of the implementation of the action plan a year after the publication of the said report.</w:t>
      </w:r>
      <w:r>
        <w:rPr>
          <w:rStyle w:val="FootnoteReference"/>
          <w:rFonts w:eastAsia="Arial Unicode MS" w:cs="Arial"/>
          <w:lang w:eastAsia="zh-HK"/>
        </w:rPr>
        <w:footnoteReference w:id="624"/>
      </w:r>
    </w:p>
    <w:p w:rsidR="00D37010" w:rsidRPr="00A358B0" w:rsidRDefault="00D37010">
      <w:pPr>
        <w:rPr>
          <w:rFonts w:eastAsia="Arial Unicode MS" w:cs="Arial"/>
          <w:lang w:eastAsia="zh-HK"/>
        </w:rPr>
      </w:pPr>
    </w:p>
    <w:p w:rsidR="00D37010" w:rsidRDefault="00D37010" w:rsidP="00D86E22">
      <w:pPr>
        <w:pStyle w:val="Heading3"/>
      </w:pPr>
      <w:r>
        <w:t>Ireland</w:t>
      </w:r>
    </w:p>
    <w:p w:rsidR="00D37010" w:rsidRDefault="00D37010">
      <w:pPr>
        <w:rPr>
          <w:rFonts w:eastAsia="MingLiU" w:cs="Arial"/>
        </w:rPr>
      </w:pPr>
    </w:p>
    <w:p w:rsidR="00D37010" w:rsidRDefault="00D37010" w:rsidP="00D86E22">
      <w:pPr>
        <w:pStyle w:val="Heading4"/>
      </w:pPr>
      <w:r>
        <w:t xml:space="preserve">(i) </w:t>
      </w:r>
      <w:r>
        <w:rPr>
          <w:rFonts w:hint="eastAsia"/>
        </w:rPr>
        <w:tab/>
      </w:r>
      <w:r>
        <w:t>Scope of public bodies covered</w:t>
      </w:r>
    </w:p>
    <w:p w:rsidR="00D37010" w:rsidRDefault="00D37010">
      <w:pPr>
        <w:rPr>
          <w:rFonts w:eastAsia="MingLiU" w:cs="Arial"/>
        </w:rPr>
      </w:pPr>
    </w:p>
    <w:p w:rsidR="00D37010" w:rsidRDefault="00D37010">
      <w:r>
        <w:t>10.27</w:t>
      </w:r>
      <w:r>
        <w:tab/>
      </w:r>
      <w:r>
        <w:tab/>
        <w:t>Under the 1986 Act, "</w:t>
      </w:r>
      <w:r>
        <w:rPr>
          <w:i/>
        </w:rPr>
        <w:t>archives</w:t>
      </w:r>
      <w:r>
        <w:t>" includes departmental records transferred to and accepted for preservation by the NAI.  "</w:t>
      </w:r>
      <w:r>
        <w:rPr>
          <w:i/>
        </w:rPr>
        <w:t>Departmental records</w:t>
      </w:r>
      <w:r>
        <w:t xml:space="preserve">" means records and material in different forms made or received,  and held in the course of its business, by a </w:t>
      </w:r>
      <w:r>
        <w:rPr>
          <w:i/>
        </w:rPr>
        <w:t>Department of State</w:t>
      </w:r>
      <w:r>
        <w:t xml:space="preserve"> or any body which is a committee, commission or tribunal of enquiry appointed by the Government or the Attorney General (subject to some limited exceptions).</w:t>
      </w:r>
    </w:p>
    <w:p w:rsidR="00D37010" w:rsidRDefault="00D37010">
      <w:pPr>
        <w:rPr>
          <w:rFonts w:eastAsia="MingLiU" w:cs="Arial"/>
        </w:rPr>
      </w:pPr>
    </w:p>
    <w:p w:rsidR="00D37010" w:rsidRDefault="00D37010">
      <w:pPr>
        <w:rPr>
          <w:b/>
        </w:rPr>
      </w:pPr>
      <w:r>
        <w:t>10.28</w:t>
      </w:r>
      <w:r>
        <w:tab/>
      </w:r>
      <w:r>
        <w:tab/>
        <w:t>References to a "</w:t>
      </w:r>
      <w:r>
        <w:rPr>
          <w:i/>
        </w:rPr>
        <w:t>Department of State</w:t>
      </w:r>
      <w:r>
        <w:t>" include, where appropriate, references to a court and a "</w:t>
      </w:r>
      <w:r>
        <w:rPr>
          <w:i/>
        </w:rPr>
        <w:t>scheduled body</w:t>
      </w:r>
      <w:r>
        <w:t>", ie a body, institution, office, commission or committee referred to in the Schedule to the 1986 Act.  This Schedule sets out a list of various bodies, councils, commissions, boards, including the Censorship of Publications Board, National Prices Commission, Office of the Director of Consumer Affairs, National Consumer Advisory Council and Motor Insurance Advisory Board.</w:t>
      </w:r>
      <w:r>
        <w:rPr>
          <w:rStyle w:val="FootnoteReference"/>
          <w:rFonts w:eastAsia="MingLiU" w:cs="Arial"/>
        </w:rPr>
        <w:footnoteReference w:id="625"/>
      </w:r>
    </w:p>
    <w:p w:rsidR="00D37010" w:rsidRDefault="00D37010">
      <w:pPr>
        <w:rPr>
          <w:rFonts w:eastAsia="MingLiU" w:cs="Arial"/>
          <w:b/>
        </w:rPr>
      </w:pPr>
    </w:p>
    <w:p w:rsidR="00D37010" w:rsidRDefault="00D37010">
      <w:r>
        <w:t>10.29</w:t>
      </w:r>
      <w:r>
        <w:tab/>
      </w:r>
      <w:r>
        <w:rPr>
          <w:b/>
        </w:rPr>
        <w:tab/>
      </w:r>
      <w:r>
        <w:t>In addition, the Taoiseach may, at the request of a public service organisation, declare the records or documents of that organisation to be "Departmental records".</w:t>
      </w:r>
      <w:r>
        <w:rPr>
          <w:rStyle w:val="FootnoteReference"/>
          <w:rFonts w:eastAsia="MingLiU" w:cs="Arial"/>
        </w:rPr>
        <w:footnoteReference w:id="626"/>
      </w:r>
    </w:p>
    <w:p w:rsidR="00D37010" w:rsidRDefault="00D37010">
      <w:pPr>
        <w:rPr>
          <w:rFonts w:eastAsia="MingLiU" w:cs="Arial"/>
          <w:b/>
        </w:rPr>
      </w:pPr>
    </w:p>
    <w:p w:rsidR="00D37010" w:rsidRDefault="00D37010">
      <w:pPr>
        <w:pStyle w:val="Heading4"/>
      </w:pPr>
      <w:r>
        <w:t xml:space="preserve">(ii) </w:t>
      </w:r>
      <w:r>
        <w:rPr>
          <w:rFonts w:hint="eastAsia"/>
        </w:rPr>
        <w:tab/>
      </w:r>
      <w:r>
        <w:t xml:space="preserve">Extent of oversight by archival authority </w:t>
      </w:r>
    </w:p>
    <w:p w:rsidR="00D37010" w:rsidRDefault="00D37010" w:rsidP="00D86E22">
      <w:pPr>
        <w:keepNext/>
        <w:rPr>
          <w:rFonts w:eastAsia="MingLiU" w:cs="Arial"/>
          <w:b/>
        </w:rPr>
      </w:pPr>
    </w:p>
    <w:p w:rsidR="00D37010" w:rsidRDefault="00D37010">
      <w:pPr>
        <w:rPr>
          <w:rFonts w:eastAsia="Arial Unicode MS"/>
          <w:lang w:eastAsia="zh-HK"/>
        </w:rPr>
      </w:pPr>
      <w:r>
        <w:t>10.30</w:t>
      </w:r>
      <w:r>
        <w:tab/>
      </w:r>
      <w:r>
        <w:tab/>
        <w:t xml:space="preserve">Different bodies are subject to different degrees of control under the 1986 Act. </w:t>
      </w:r>
      <w:r>
        <w:rPr>
          <w:rFonts w:hint="eastAsia"/>
        </w:rPr>
        <w:t xml:space="preserve"> </w:t>
      </w:r>
      <w:r>
        <w:t xml:space="preserve">Departments of State, which by definition includes courts and scheduled bodies as outlined above, are the institutions that are most regulated by the NAI.  It appears that, if </w:t>
      </w:r>
      <w:r>
        <w:rPr>
          <w:rFonts w:eastAsia="Arial Unicode MS"/>
          <w:lang w:eastAsia="zh-HK"/>
        </w:rPr>
        <w:t xml:space="preserve">a public body falls within the above definition of </w:t>
      </w:r>
      <w:r>
        <w:t>"</w:t>
      </w:r>
      <w:r>
        <w:rPr>
          <w:i/>
        </w:rPr>
        <w:t>Departments of State</w:t>
      </w:r>
      <w:r>
        <w:t>", the discussion on "Departmental records" in Ireland in other chapters would also apply to such body.  Public service organisations, on the other hand, are subject to a lesser degree of control.</w:t>
      </w:r>
      <w:r>
        <w:rPr>
          <w:rStyle w:val="FootnoteReference"/>
          <w:rFonts w:eastAsia="MingLiU" w:cs="Arial"/>
        </w:rPr>
        <w:footnoteReference w:id="627"/>
      </w:r>
      <w:r>
        <w:t xml:space="preserve">  </w:t>
      </w:r>
      <w:r>
        <w:rPr>
          <w:rFonts w:eastAsia="Arial Unicode MS"/>
          <w:lang w:eastAsia="zh-HK"/>
        </w:rPr>
        <w:lastRenderedPageBreak/>
        <w:t>The role played by the NAI is apparently smaller in relation to public service organisations, and is mainly to give advice on the management, preservation and reproduction of records under the latter's control.</w:t>
      </w:r>
      <w:r>
        <w:rPr>
          <w:rStyle w:val="FootnoteReference"/>
          <w:rFonts w:eastAsia="Arial Unicode MS" w:cs="Arial"/>
          <w:lang w:eastAsia="zh-HK"/>
        </w:rPr>
        <w:footnoteReference w:id="628"/>
      </w:r>
      <w:r>
        <w:rPr>
          <w:rFonts w:eastAsia="Arial Unicode MS"/>
          <w:lang w:eastAsia="zh-HK"/>
        </w:rPr>
        <w:t xml:space="preserve"> </w:t>
      </w:r>
    </w:p>
    <w:p w:rsidR="00D37010" w:rsidRPr="00944E08" w:rsidRDefault="00D37010">
      <w:pPr>
        <w:rPr>
          <w:rFonts w:eastAsia="Arial Unicode MS" w:cs="Arial"/>
          <w:sz w:val="22"/>
          <w:szCs w:val="22"/>
          <w:lang w:eastAsia="zh-HK"/>
        </w:rPr>
      </w:pPr>
    </w:p>
    <w:p w:rsidR="00D37010" w:rsidRPr="00944E08" w:rsidRDefault="00D37010">
      <w:pPr>
        <w:rPr>
          <w:rFonts w:eastAsia="MingLiU" w:cs="Arial"/>
          <w:b/>
          <w:sz w:val="22"/>
          <w:szCs w:val="22"/>
        </w:rPr>
      </w:pPr>
    </w:p>
    <w:p w:rsidR="00D37010" w:rsidRDefault="00D37010">
      <w:pPr>
        <w:pStyle w:val="Heading3"/>
      </w:pPr>
      <w:r>
        <w:t>New Zealand</w:t>
      </w:r>
    </w:p>
    <w:p w:rsidR="00D37010" w:rsidRPr="00944E08" w:rsidRDefault="00D37010">
      <w:pPr>
        <w:rPr>
          <w:rFonts w:eastAsia="MingLiU" w:cs="Arial"/>
          <w:sz w:val="22"/>
          <w:szCs w:val="22"/>
        </w:rPr>
      </w:pPr>
    </w:p>
    <w:p w:rsidR="00D37010" w:rsidRDefault="00D37010" w:rsidP="00944E08">
      <w:pPr>
        <w:pStyle w:val="Heading4"/>
        <w:tabs>
          <w:tab w:val="clear" w:pos="1418"/>
          <w:tab w:val="left" w:pos="720"/>
        </w:tabs>
      </w:pPr>
      <w:r>
        <w:t xml:space="preserve">(i) </w:t>
      </w:r>
      <w:r>
        <w:rPr>
          <w:rFonts w:hint="eastAsia"/>
        </w:rPr>
        <w:tab/>
      </w:r>
      <w:r>
        <w:t>Scope of public bodies covered</w:t>
      </w:r>
    </w:p>
    <w:p w:rsidR="00D37010" w:rsidRDefault="00D37010">
      <w:pPr>
        <w:rPr>
          <w:rFonts w:eastAsia="MingLiU" w:cs="Arial"/>
        </w:rPr>
      </w:pPr>
    </w:p>
    <w:p w:rsidR="00D37010" w:rsidRDefault="00D37010">
      <w:r>
        <w:rPr>
          <w:rFonts w:eastAsia="MingLiU"/>
        </w:rPr>
        <w:t>10.31</w:t>
      </w:r>
      <w:r>
        <w:rPr>
          <w:rFonts w:eastAsia="MingLiU"/>
        </w:rPr>
        <w:tab/>
      </w:r>
      <w:r>
        <w:rPr>
          <w:rFonts w:eastAsia="MingLiU"/>
        </w:rPr>
        <w:tab/>
      </w:r>
      <w:r>
        <w:t xml:space="preserve">The </w:t>
      </w:r>
      <w:r w:rsidRPr="00D86E22">
        <w:rPr>
          <w:shd w:val="clear" w:color="auto" w:fill="FFFFFF"/>
        </w:rPr>
        <w:t xml:space="preserve">2005 Act </w:t>
      </w:r>
      <w:r>
        <w:t>defines "</w:t>
      </w:r>
      <w:r>
        <w:rPr>
          <w:i/>
        </w:rPr>
        <w:t>public</w:t>
      </w:r>
      <w:r>
        <w:rPr>
          <w:rStyle w:val="HTMLDefinition"/>
          <w:rFonts w:cs="Arial"/>
          <w:bCs/>
          <w:lang w:val="en-NZ"/>
        </w:rPr>
        <w:t xml:space="preserve"> record"</w:t>
      </w:r>
      <w:r>
        <w:rPr>
          <w:rStyle w:val="HTMLDefinition"/>
          <w:rFonts w:cs="Arial"/>
          <w:b/>
          <w:bCs/>
          <w:lang w:val="en-NZ"/>
        </w:rPr>
        <w:t xml:space="preserve"> </w:t>
      </w:r>
      <w:r>
        <w:rPr>
          <w:rStyle w:val="spc1"/>
          <w:rFonts w:cs="Arial"/>
          <w:lang w:val="en-NZ"/>
        </w:rPr>
        <w:t xml:space="preserve">as </w:t>
      </w:r>
      <w:r>
        <w:rPr>
          <w:lang w:val="en-NZ"/>
        </w:rPr>
        <w:t>a record or a class of records, in any form, in whole or in part, created or received by a public office in the conduct of its affairs.  The definition of "</w:t>
      </w:r>
      <w:r>
        <w:rPr>
          <w:i/>
          <w:lang w:val="en-NZ"/>
        </w:rPr>
        <w:t>public office</w:t>
      </w:r>
      <w:r>
        <w:rPr>
          <w:lang w:val="en-NZ"/>
        </w:rPr>
        <w:t>" is as follows</w:t>
      </w:r>
      <w:r>
        <w:t>:</w:t>
      </w:r>
    </w:p>
    <w:p w:rsidR="00D37010" w:rsidRPr="001E567A" w:rsidRDefault="00D37010">
      <w:pPr>
        <w:pStyle w:val="Standard"/>
        <w:snapToGrid w:val="0"/>
        <w:spacing w:after="0" w:line="240" w:lineRule="auto"/>
        <w:rPr>
          <w:sz w:val="16"/>
          <w:szCs w:val="16"/>
          <w:lang w:eastAsia="zh-TW"/>
        </w:rPr>
      </w:pPr>
    </w:p>
    <w:p w:rsidR="00D37010" w:rsidRDefault="00D37010">
      <w:pPr>
        <w:pStyle w:val="BlockText"/>
        <w:ind w:left="1440" w:hanging="720"/>
      </w:pPr>
      <w:r w:rsidRPr="000E70CB">
        <w:rPr>
          <w:i w:val="0"/>
        </w:rPr>
        <w:t>"</w:t>
      </w:r>
      <w:r>
        <w:t>(a)</w:t>
      </w:r>
      <w:r>
        <w:tab/>
        <w:t>means the legislative, executive, and judicial branches of the Government of New Zealand; and</w:t>
      </w:r>
    </w:p>
    <w:p w:rsidR="00D37010" w:rsidRPr="001E567A" w:rsidRDefault="00D37010">
      <w:pPr>
        <w:pStyle w:val="Standard"/>
        <w:snapToGrid w:val="0"/>
        <w:spacing w:after="0" w:line="240" w:lineRule="auto"/>
        <w:ind w:left="1440" w:hanging="720"/>
        <w:rPr>
          <w:i/>
          <w:sz w:val="16"/>
          <w:szCs w:val="16"/>
          <w:lang w:eastAsia="zh-TW"/>
        </w:rPr>
      </w:pPr>
    </w:p>
    <w:p w:rsidR="00D37010" w:rsidRDefault="00D37010">
      <w:pPr>
        <w:pStyle w:val="BlockText"/>
        <w:ind w:left="1440" w:hanging="720"/>
      </w:pPr>
      <w:r>
        <w:t>(b)</w:t>
      </w:r>
      <w:r>
        <w:tab/>
        <w:t>means the agencies or instruments of those branches of government; and</w:t>
      </w:r>
    </w:p>
    <w:p w:rsidR="00D37010" w:rsidRPr="001E567A" w:rsidRDefault="00D37010">
      <w:pPr>
        <w:pStyle w:val="Standard"/>
        <w:snapToGrid w:val="0"/>
        <w:spacing w:after="0" w:line="240" w:lineRule="auto"/>
        <w:ind w:left="1440" w:hanging="720"/>
        <w:rPr>
          <w:i/>
          <w:sz w:val="16"/>
          <w:szCs w:val="16"/>
          <w:lang w:eastAsia="zh-TW"/>
        </w:rPr>
      </w:pPr>
    </w:p>
    <w:p w:rsidR="00D37010" w:rsidRDefault="00D37010">
      <w:pPr>
        <w:pStyle w:val="BlockText"/>
      </w:pPr>
      <w:r>
        <w:t xml:space="preserve">(c) </w:t>
      </w:r>
      <w:r>
        <w:tab/>
        <w:t>includes …</w:t>
      </w:r>
    </w:p>
    <w:p w:rsidR="00D37010" w:rsidRPr="001E567A" w:rsidRDefault="00D37010">
      <w:pPr>
        <w:pStyle w:val="Standard"/>
        <w:snapToGrid w:val="0"/>
        <w:spacing w:after="0" w:line="240" w:lineRule="auto"/>
        <w:ind w:left="1440" w:hanging="720"/>
        <w:rPr>
          <w:i/>
          <w:sz w:val="16"/>
          <w:szCs w:val="16"/>
        </w:rPr>
      </w:pPr>
    </w:p>
    <w:p w:rsidR="00D37010" w:rsidRDefault="00D37010" w:rsidP="00944E08">
      <w:pPr>
        <w:pStyle w:val="Legislationindent1"/>
        <w:ind w:left="2160"/>
        <w:rPr>
          <w:i w:val="0"/>
        </w:rPr>
      </w:pPr>
      <w:r>
        <w:t xml:space="preserve">(xi) </w:t>
      </w:r>
      <w:r>
        <w:tab/>
        <w:t>any person or class of persons declared by an Order in Council made under section 5(1)(a)(i) to be a public office for the purposes of this Act.</w:t>
      </w:r>
      <w:r>
        <w:rPr>
          <w:i w:val="0"/>
        </w:rPr>
        <w:t>"</w:t>
      </w:r>
      <w:r>
        <w:rPr>
          <w:rStyle w:val="FootnoteReference"/>
        </w:rPr>
        <w:footnoteReference w:id="629"/>
      </w:r>
    </w:p>
    <w:p w:rsidR="00944E08" w:rsidRPr="00944E08" w:rsidRDefault="00944E08" w:rsidP="00944E08">
      <w:pPr>
        <w:pStyle w:val="Legislationindent1"/>
        <w:ind w:left="2160"/>
      </w:pPr>
    </w:p>
    <w:p w:rsidR="00D37010" w:rsidRDefault="00D37010">
      <w:pPr>
        <w:rPr>
          <w:rFonts w:eastAsia="MingLiU"/>
        </w:rPr>
      </w:pPr>
      <w:r>
        <w:t>10.32</w:t>
      </w:r>
      <w:r>
        <w:tab/>
      </w:r>
      <w:r>
        <w:tab/>
        <w:t>Apart from listing various public offices currently subject to the 2005 Act,</w:t>
      </w:r>
      <w:r>
        <w:rPr>
          <w:rStyle w:val="FootnoteReference"/>
          <w:rFonts w:cs="Arial"/>
        </w:rPr>
        <w:footnoteReference w:id="630"/>
      </w:r>
      <w:r>
        <w:t xml:space="preserve"> the ANZ has developed a policy document</w:t>
      </w:r>
      <w:r>
        <w:rPr>
          <w:rStyle w:val="FootnoteReference"/>
          <w:rFonts w:eastAsia="MingLiU" w:cs="Arial"/>
        </w:rPr>
        <w:footnoteReference w:id="631"/>
      </w:r>
      <w:r>
        <w:t xml:space="preserve"> setting out a number of factors</w:t>
      </w:r>
      <w:r>
        <w:rPr>
          <w:rStyle w:val="FootnoteReference"/>
          <w:rFonts w:cs="Arial"/>
        </w:rPr>
        <w:footnoteReference w:id="632"/>
      </w:r>
      <w:r>
        <w:t xml:space="preserve"> for </w:t>
      </w:r>
      <w:r>
        <w:rPr>
          <w:rFonts w:eastAsia="MingLiU"/>
        </w:rPr>
        <w:t xml:space="preserve">assessing the </w:t>
      </w:r>
      <w:r>
        <w:t xml:space="preserve">nature and degree of control that the executive government (eg by a Minister or Ministers of the Crown) could lawfully exercise over a particular body, which are relevant to </w:t>
      </w:r>
      <w:r>
        <w:rPr>
          <w:rFonts w:eastAsia="MingLiU"/>
        </w:rPr>
        <w:t xml:space="preserve">deciding </w:t>
      </w:r>
      <w:r>
        <w:t>whether the body is a public office and therefore subject to the 2005 Act.</w:t>
      </w:r>
    </w:p>
    <w:p w:rsidR="00D37010" w:rsidRDefault="00D37010" w:rsidP="001E567A">
      <w:pPr>
        <w:pStyle w:val="BodyText"/>
        <w:numPr>
          <w:ilvl w:val="0"/>
          <w:numId w:val="0"/>
        </w:numPr>
        <w:ind w:left="720"/>
        <w:rPr>
          <w:rFonts w:eastAsia="MingLiU" w:cs="Arial"/>
        </w:rPr>
      </w:pPr>
    </w:p>
    <w:p w:rsidR="00D37010" w:rsidRDefault="00D37010" w:rsidP="001E567A">
      <w:pPr>
        <w:widowControl/>
      </w:pPr>
      <w:r>
        <w:t>10.33</w:t>
      </w:r>
      <w:r>
        <w:tab/>
      </w:r>
      <w:r>
        <w:tab/>
        <w:t xml:space="preserve">Examples of these factors include whether the Minister(s) can direct the organisation in respect of its substantial decisions, whether the organisation is fundamentally a commercial business, whether the Minister can comment on the organisation's statement of interest or review the </w:t>
      </w:r>
      <w:r>
        <w:lastRenderedPageBreak/>
        <w:t xml:space="preserve">organisation's operations and performance, and whether the organisation is audited by the Auditor General or not.  </w:t>
      </w:r>
    </w:p>
    <w:p w:rsidR="00D37010" w:rsidRDefault="00D37010" w:rsidP="001E567A">
      <w:pPr>
        <w:pStyle w:val="BodyText"/>
        <w:numPr>
          <w:ilvl w:val="0"/>
          <w:numId w:val="0"/>
        </w:numPr>
        <w:ind w:left="720" w:hanging="720"/>
        <w:rPr>
          <w:rFonts w:eastAsia="MingLiU" w:cs="Arial"/>
        </w:rPr>
      </w:pPr>
    </w:p>
    <w:p w:rsidR="00D37010" w:rsidRDefault="00D37010" w:rsidP="001E567A">
      <w:pPr>
        <w:pStyle w:val="Heading4"/>
        <w:tabs>
          <w:tab w:val="clear" w:pos="1418"/>
          <w:tab w:val="left" w:pos="720"/>
        </w:tabs>
        <w:rPr>
          <w:lang w:val="en-NZ"/>
        </w:rPr>
      </w:pPr>
      <w:r>
        <w:rPr>
          <w:lang w:val="en-NZ"/>
        </w:rPr>
        <w:t xml:space="preserve">(ii) </w:t>
      </w:r>
      <w:r>
        <w:rPr>
          <w:lang w:val="en-NZ"/>
        </w:rPr>
        <w:tab/>
        <w:t xml:space="preserve">Extent of oversight by archival authority </w:t>
      </w:r>
    </w:p>
    <w:p w:rsidR="00D37010" w:rsidRDefault="00D37010">
      <w:pPr>
        <w:pStyle w:val="text1"/>
        <w:keepNext/>
        <w:shd w:val="clear" w:color="auto" w:fill="FFFFFF"/>
        <w:adjustRightInd w:val="0"/>
        <w:spacing w:line="240" w:lineRule="auto"/>
        <w:rPr>
          <w:rFonts w:ascii="Arial" w:eastAsia="MingLiU" w:hAnsi="Arial" w:cs="Arial"/>
          <w:lang w:val="en-NZ"/>
        </w:rPr>
      </w:pPr>
    </w:p>
    <w:p w:rsidR="00D37010" w:rsidRDefault="00D37010">
      <w:r>
        <w:t>10.34</w:t>
      </w:r>
      <w:r>
        <w:tab/>
      </w:r>
      <w:r>
        <w:tab/>
      </w:r>
      <w:r>
        <w:rPr>
          <w:rFonts w:eastAsia="Arial Unicode MS"/>
          <w:lang w:eastAsia="zh-HK"/>
        </w:rPr>
        <w:t xml:space="preserve">If a public body falls within the above definition of </w:t>
      </w:r>
      <w:r>
        <w:t>"</w:t>
      </w:r>
      <w:r>
        <w:rPr>
          <w:i/>
        </w:rPr>
        <w:t>public office</w:t>
      </w:r>
      <w:r>
        <w:t>", it appears that the discussion on New Zealand in other chapters would also apply to such body.  It is, however, useful to highlight some special features below.</w:t>
      </w:r>
    </w:p>
    <w:p w:rsidR="00D37010" w:rsidRDefault="00D37010">
      <w:pPr>
        <w:pStyle w:val="text1"/>
        <w:shd w:val="clear" w:color="auto" w:fill="FFFFFF"/>
        <w:spacing w:line="240" w:lineRule="auto"/>
        <w:rPr>
          <w:rFonts w:ascii="Arial" w:eastAsia="MingLiU" w:hAnsi="Arial" w:cs="Arial"/>
        </w:rPr>
      </w:pPr>
    </w:p>
    <w:p w:rsidR="00D37010" w:rsidRDefault="00D37010">
      <w:pPr>
        <w:rPr>
          <w:rFonts w:eastAsia="MingLiU"/>
        </w:rPr>
      </w:pPr>
      <w:r>
        <w:rPr>
          <w:rFonts w:eastAsia="MingLiU"/>
        </w:rPr>
        <w:t xml:space="preserve">10.35 </w:t>
      </w:r>
      <w:r>
        <w:rPr>
          <w:rFonts w:eastAsia="MingLiU"/>
        </w:rPr>
        <w:tab/>
      </w:r>
      <w:r>
        <w:rPr>
          <w:lang w:eastAsia="zh-HK"/>
        </w:rPr>
        <w:t>The Chief Archivist may inspect</w:t>
      </w:r>
      <w:r>
        <w:rPr>
          <w:b/>
          <w:lang w:eastAsia="zh-HK"/>
        </w:rPr>
        <w:t xml:space="preserve"> </w:t>
      </w:r>
      <w:r>
        <w:rPr>
          <w:lang w:eastAsia="zh-HK"/>
        </w:rPr>
        <w:t>records under the control of a public office or local authority, and view their recordkeeping system and the storage conditions.  However, he is not permitted to inspect records that carry security classifications or are restricted by other legislation without consent of the controlling public offices or local authorities.</w:t>
      </w:r>
      <w:r>
        <w:rPr>
          <w:rStyle w:val="FootnoteReference"/>
          <w:rFonts w:eastAsia="Arial Unicode MS" w:cs="Arial"/>
          <w:lang w:eastAsia="zh-HK"/>
        </w:rPr>
        <w:footnoteReference w:id="633"/>
      </w:r>
      <w:r>
        <w:rPr>
          <w:lang w:eastAsia="zh-HK"/>
        </w:rPr>
        <w:t xml:space="preserve">  </w:t>
      </w:r>
    </w:p>
    <w:p w:rsidR="00D37010" w:rsidRDefault="00D37010">
      <w:pPr>
        <w:pStyle w:val="ListParagraph"/>
        <w:rPr>
          <w:rFonts w:eastAsia="Arial Unicode MS" w:cs="Arial"/>
          <w:lang w:eastAsia="zh-HK"/>
        </w:rPr>
      </w:pPr>
    </w:p>
    <w:p w:rsidR="00D37010" w:rsidRDefault="00D37010">
      <w:pPr>
        <w:rPr>
          <w:lang w:eastAsia="zh-HK"/>
        </w:rPr>
      </w:pPr>
      <w:r>
        <w:t>10.36</w:t>
      </w:r>
      <w:r>
        <w:rPr>
          <w:lang w:eastAsia="zh-HK"/>
        </w:rPr>
        <w:tab/>
      </w:r>
      <w:r>
        <w:rPr>
          <w:lang w:eastAsia="zh-HK"/>
        </w:rPr>
        <w:tab/>
        <w:t>Public offices are responsible for measuring and monitoring the performance of their own records management. In cases of non-compliant or ineffective records management, the ANZ may follow up with them.  Non-compliant public offices may be required to report on their self-monitoring activities and respective corrective actions.</w:t>
      </w:r>
      <w:r>
        <w:rPr>
          <w:rStyle w:val="FootnoteReference"/>
          <w:rFonts w:eastAsia="Arial Unicode MS" w:cs="Arial"/>
          <w:lang w:eastAsia="zh-HK"/>
        </w:rPr>
        <w:footnoteReference w:id="634"/>
      </w:r>
      <w:r>
        <w:rPr>
          <w:lang w:eastAsia="zh-HK"/>
        </w:rPr>
        <w:t xml:space="preserve">  </w:t>
      </w:r>
    </w:p>
    <w:p w:rsidR="00D37010" w:rsidRDefault="00D37010">
      <w:pPr>
        <w:spacing w:line="240" w:lineRule="exact"/>
        <w:rPr>
          <w:rFonts w:eastAsia="Arial Unicode MS" w:cs="Arial"/>
          <w:lang w:eastAsia="zh-HK"/>
        </w:rPr>
      </w:pPr>
    </w:p>
    <w:p w:rsidR="00D37010" w:rsidRDefault="00D37010">
      <w:pPr>
        <w:rPr>
          <w:lang w:eastAsia="zh-HK"/>
        </w:rPr>
      </w:pPr>
      <w:r>
        <w:rPr>
          <w:lang w:eastAsia="zh-HK"/>
        </w:rPr>
        <w:t>10.37</w:t>
      </w:r>
      <w:r>
        <w:rPr>
          <w:lang w:eastAsia="zh-HK"/>
        </w:rPr>
        <w:tab/>
      </w:r>
      <w:r>
        <w:rPr>
          <w:lang w:eastAsia="zh-HK"/>
        </w:rPr>
        <w:tab/>
        <w:t xml:space="preserve">As discussed in chapter 8, wilful or negligent damage, disposal or destruction of public record </w:t>
      </w:r>
      <w:r w:rsidRPr="00343DD3">
        <w:rPr>
          <w:lang w:eastAsia="zh-HK"/>
        </w:rPr>
        <w:t xml:space="preserve">otherwise than in accordance with the </w:t>
      </w:r>
      <w:r>
        <w:rPr>
          <w:lang w:eastAsia="zh-HK"/>
        </w:rPr>
        <w:t xml:space="preserve">2005 </w:t>
      </w:r>
      <w:r w:rsidRPr="00343DD3">
        <w:rPr>
          <w:lang w:eastAsia="zh-HK"/>
        </w:rPr>
        <w:t xml:space="preserve">Act </w:t>
      </w:r>
      <w:r>
        <w:rPr>
          <w:lang w:eastAsia="zh-HK"/>
        </w:rPr>
        <w:t>or contravention of any provision of the 2005 Act is a criminal offence.</w:t>
      </w:r>
      <w:r>
        <w:rPr>
          <w:rStyle w:val="FootnoteReference"/>
          <w:rFonts w:eastAsia="Arial Unicode MS" w:cs="Arial"/>
          <w:lang w:eastAsia="zh-HK"/>
        </w:rPr>
        <w:footnoteReference w:id="635"/>
      </w:r>
      <w:r>
        <w:rPr>
          <w:lang w:eastAsia="zh-HK"/>
        </w:rPr>
        <w:t xml:space="preserve">   </w:t>
      </w:r>
    </w:p>
    <w:p w:rsidR="00D37010" w:rsidRDefault="00D37010">
      <w:pPr>
        <w:rPr>
          <w:rFonts w:eastAsia="MingLiU" w:cs="Arial"/>
          <w:b/>
          <w:i/>
          <w:lang w:val="en-US"/>
        </w:rPr>
      </w:pPr>
    </w:p>
    <w:p w:rsidR="00D37010" w:rsidRPr="00A358B0" w:rsidRDefault="00D37010">
      <w:pPr>
        <w:rPr>
          <w:rFonts w:eastAsia="MingLiU" w:cs="Arial"/>
          <w:b/>
          <w:i/>
          <w:lang w:val="en-US"/>
        </w:rPr>
      </w:pPr>
    </w:p>
    <w:p w:rsidR="00D37010" w:rsidRDefault="00D37010">
      <w:pPr>
        <w:pStyle w:val="Heading3"/>
      </w:pPr>
      <w:r>
        <w:t>Singapore</w:t>
      </w:r>
    </w:p>
    <w:p w:rsidR="00D37010" w:rsidRDefault="00D37010">
      <w:pPr>
        <w:rPr>
          <w:rFonts w:eastAsia="MingLiU" w:cs="Arial"/>
        </w:rPr>
      </w:pPr>
    </w:p>
    <w:p w:rsidR="00D37010" w:rsidRDefault="00D37010" w:rsidP="001E567A">
      <w:pPr>
        <w:pStyle w:val="Heading4"/>
        <w:tabs>
          <w:tab w:val="clear" w:pos="1418"/>
          <w:tab w:val="left" w:pos="720"/>
        </w:tabs>
      </w:pPr>
      <w:r>
        <w:t xml:space="preserve">(i) </w:t>
      </w:r>
      <w:r>
        <w:rPr>
          <w:rFonts w:hint="eastAsia"/>
        </w:rPr>
        <w:tab/>
      </w:r>
      <w:r>
        <w:t>Scope of public bodies covered</w:t>
      </w:r>
    </w:p>
    <w:p w:rsidR="00D37010" w:rsidRDefault="00D37010">
      <w:pPr>
        <w:rPr>
          <w:rFonts w:eastAsia="MingLiU" w:cs="Arial"/>
        </w:rPr>
      </w:pPr>
    </w:p>
    <w:p w:rsidR="00D37010" w:rsidRDefault="00D37010">
      <w:r>
        <w:t>10.38</w:t>
      </w:r>
      <w:r>
        <w:tab/>
      </w:r>
      <w:r>
        <w:tab/>
        <w:t>"</w:t>
      </w:r>
      <w:r>
        <w:rPr>
          <w:i/>
        </w:rPr>
        <w:t>Public records</w:t>
      </w:r>
      <w:r>
        <w:t xml:space="preserve">" is defined under the NLBA to mean, </w:t>
      </w:r>
      <w:r>
        <w:rPr>
          <w:i/>
        </w:rPr>
        <w:t>inter alia</w:t>
      </w:r>
      <w:r>
        <w:t xml:space="preserve">, papers, documents, records, films, sound recordings and other form of records of any kind whatsoever that are produced or received by any public office in the transaction of official business, or by any officer in the course of his official duties, and includes public archives.  </w:t>
      </w:r>
    </w:p>
    <w:p w:rsidR="00D37010" w:rsidRDefault="00D37010">
      <w:pPr>
        <w:rPr>
          <w:rFonts w:eastAsia="MingLiU" w:cs="Arial"/>
        </w:rPr>
      </w:pPr>
    </w:p>
    <w:p w:rsidR="00D37010" w:rsidRDefault="00D37010">
      <w:r>
        <w:t>10.39</w:t>
      </w:r>
      <w:r>
        <w:tab/>
      </w:r>
      <w:r>
        <w:tab/>
        <w:t>The definition of "</w:t>
      </w:r>
      <w:r>
        <w:rPr>
          <w:i/>
        </w:rPr>
        <w:t>public office</w:t>
      </w:r>
      <w:r>
        <w:t xml:space="preserve">" is rather open-ended.  It means, </w:t>
      </w:r>
      <w:r>
        <w:rPr>
          <w:i/>
        </w:rPr>
        <w:t>inter alia</w:t>
      </w:r>
      <w:r>
        <w:t xml:space="preserve">, any department, office, board, or statutory body or any other office of the Government, as well as any other body that </w:t>
      </w:r>
      <w:r>
        <w:rPr>
          <w:i/>
        </w:rPr>
        <w:t xml:space="preserve">the President may, by </w:t>
      </w:r>
      <w:r>
        <w:rPr>
          <w:i/>
        </w:rPr>
        <w:lastRenderedPageBreak/>
        <w:t>notification in the Gazette, declare to be a public office</w:t>
      </w:r>
      <w:r>
        <w:t>.</w:t>
      </w:r>
      <w:r>
        <w:rPr>
          <w:rStyle w:val="FootnoteReference"/>
          <w:rFonts w:eastAsia="MingLiU" w:cs="Arial"/>
        </w:rPr>
        <w:footnoteReference w:id="636"/>
      </w:r>
      <w:r>
        <w:t xml:space="preserve">  All o</w:t>
      </w:r>
      <w:r>
        <w:rPr>
          <w:rFonts w:eastAsia="Arial Unicode MS"/>
          <w:lang w:eastAsia="zh-HK"/>
        </w:rPr>
        <w:t>fficers from public offices are obliged to comply with the recordkeeping obligations under the NLBA.</w:t>
      </w:r>
    </w:p>
    <w:p w:rsidR="00D37010" w:rsidRDefault="00D37010">
      <w:pPr>
        <w:rPr>
          <w:rFonts w:eastAsia="MingLiU" w:cs="Arial"/>
        </w:rPr>
      </w:pPr>
    </w:p>
    <w:p w:rsidR="00D37010" w:rsidRDefault="00D37010" w:rsidP="001E567A">
      <w:pPr>
        <w:pStyle w:val="Heading4"/>
        <w:tabs>
          <w:tab w:val="clear" w:pos="1418"/>
          <w:tab w:val="left" w:pos="720"/>
        </w:tabs>
        <w:rPr>
          <w:lang w:val="en-NZ"/>
        </w:rPr>
      </w:pPr>
      <w:r>
        <w:rPr>
          <w:lang w:val="en-NZ"/>
        </w:rPr>
        <w:t xml:space="preserve">(ii) </w:t>
      </w:r>
      <w:r>
        <w:rPr>
          <w:lang w:val="en-NZ"/>
        </w:rPr>
        <w:tab/>
        <w:t>Extent of oversight by archival authority</w:t>
      </w:r>
    </w:p>
    <w:p w:rsidR="00D37010" w:rsidRDefault="00D37010">
      <w:pPr>
        <w:rPr>
          <w:rFonts w:eastAsia="MingLiU" w:cs="Arial"/>
          <w:b/>
          <w:i/>
        </w:rPr>
      </w:pPr>
    </w:p>
    <w:p w:rsidR="00D37010" w:rsidRDefault="00D37010">
      <w:pPr>
        <w:rPr>
          <w:lang w:eastAsia="zh-HK"/>
        </w:rPr>
      </w:pPr>
      <w:r>
        <w:rPr>
          <w:rFonts w:eastAsia="MingLiU"/>
        </w:rPr>
        <w:t>10.40</w:t>
      </w:r>
      <w:r>
        <w:rPr>
          <w:rFonts w:eastAsia="MingLiU"/>
        </w:rPr>
        <w:tab/>
      </w:r>
      <w:r>
        <w:rPr>
          <w:rFonts w:eastAsia="MingLiU"/>
        </w:rPr>
        <w:tab/>
        <w:t xml:space="preserve">The NLB, </w:t>
      </w:r>
      <w:r>
        <w:rPr>
          <w:lang w:eastAsia="zh-HK"/>
        </w:rPr>
        <w:t xml:space="preserve">established under the NLBA, has a wide power to oversee public offices' records management by identifying archives, regulating and providing guidance. </w:t>
      </w:r>
      <w:r>
        <w:rPr>
          <w:rFonts w:hint="eastAsia"/>
          <w:lang w:eastAsia="zh-HK"/>
        </w:rPr>
        <w:t xml:space="preserve"> </w:t>
      </w:r>
      <w:r>
        <w:rPr>
          <w:lang w:eastAsia="zh-HK"/>
        </w:rPr>
        <w:t xml:space="preserve">For example, it has the duty to examine the public records in any public office and advise that office as to their care and custody.  </w:t>
      </w:r>
      <w:r>
        <w:t>If a public body falls within the definition of "public office" in NLBA, it appears that the discussion on "public records" in Singapore in other chapters would also apply to such body.</w:t>
      </w:r>
      <w:r>
        <w:rPr>
          <w:lang w:eastAsia="zh-HK"/>
        </w:rPr>
        <w:t xml:space="preserve">   </w:t>
      </w:r>
    </w:p>
    <w:p w:rsidR="00D37010" w:rsidRPr="00901078" w:rsidRDefault="00D37010" w:rsidP="00D86E22">
      <w:pPr>
        <w:rPr>
          <w:rFonts w:eastAsia="Arial Unicode MS" w:cs="Arial"/>
          <w:lang w:val="en-US" w:eastAsia="zh-HK"/>
        </w:rPr>
      </w:pPr>
    </w:p>
    <w:p w:rsidR="00D37010" w:rsidRDefault="00D37010">
      <w:pPr>
        <w:rPr>
          <w:rFonts w:eastAsia="MingLiU" w:cs="Arial"/>
          <w:b/>
          <w:sz w:val="28"/>
          <w:szCs w:val="28"/>
        </w:rPr>
      </w:pPr>
    </w:p>
    <w:p w:rsidR="00D37010" w:rsidRDefault="00D37010" w:rsidP="00D86E22">
      <w:pPr>
        <w:pStyle w:val="Heading2"/>
      </w:pPr>
      <w:r>
        <w:t xml:space="preserve">Public </w:t>
      </w:r>
      <w:r>
        <w:rPr>
          <w:rFonts w:hint="eastAsia"/>
        </w:rPr>
        <w:t>b</w:t>
      </w:r>
      <w:r>
        <w:t xml:space="preserve">odies' </w:t>
      </w:r>
      <w:r>
        <w:rPr>
          <w:rFonts w:hint="eastAsia"/>
        </w:rPr>
        <w:t>r</w:t>
      </w:r>
      <w:r>
        <w:t xml:space="preserve">eadiness and </w:t>
      </w:r>
      <w:r>
        <w:rPr>
          <w:rFonts w:hint="eastAsia"/>
        </w:rPr>
        <w:t>w</w:t>
      </w:r>
      <w:r>
        <w:t xml:space="preserve">illingness for </w:t>
      </w:r>
      <w:r>
        <w:rPr>
          <w:rFonts w:hint="eastAsia"/>
        </w:rPr>
        <w:t>c</w:t>
      </w:r>
      <w:r>
        <w:t>overage</w:t>
      </w:r>
    </w:p>
    <w:p w:rsidR="00D37010" w:rsidRDefault="00D37010">
      <w:pPr>
        <w:keepNext/>
        <w:rPr>
          <w:rFonts w:cs="Arial"/>
        </w:rPr>
      </w:pPr>
    </w:p>
    <w:p w:rsidR="00D37010" w:rsidRDefault="00D37010">
      <w:r>
        <w:t>10.41</w:t>
      </w:r>
      <w:r>
        <w:tab/>
      </w:r>
      <w:r>
        <w:tab/>
        <w:t>Apart from the difficulty in deciding the scope of "public bodies" to be covered, the fact that there is a lack of reliable information about the record management systems and practices of public bodies in Hong Kong also obscures the matter, with the result that it is unclear how many public bodies have adopted the GRS' rules and guidelines</w:t>
      </w:r>
      <w:r>
        <w:rPr>
          <w:rFonts w:eastAsia="MingLiU"/>
        </w:rPr>
        <w:t xml:space="preserve"> and the extent (for those who have done so) of their adoption.</w:t>
      </w:r>
      <w:r>
        <w:t xml:space="preserve">  More importantly, it is not easy to gauge how ready and willing public bodies are to abide by a set of mandatory records management requirements, and hence how feasible it is to extend the public records management regime to them.  </w:t>
      </w:r>
    </w:p>
    <w:p w:rsidR="00D37010" w:rsidRDefault="00D37010">
      <w:pPr>
        <w:rPr>
          <w:rFonts w:cs="Arial"/>
        </w:rPr>
      </w:pPr>
    </w:p>
    <w:p w:rsidR="00D37010" w:rsidRDefault="00D37010">
      <w:pPr>
        <w:rPr>
          <w:rFonts w:cs="Arial"/>
        </w:rPr>
      </w:pPr>
    </w:p>
    <w:p w:rsidR="00D37010" w:rsidRDefault="00D37010" w:rsidP="00D86E22">
      <w:pPr>
        <w:pStyle w:val="Heading3"/>
      </w:pPr>
      <w:r>
        <w:t>Survey</w:t>
      </w:r>
    </w:p>
    <w:p w:rsidR="00D37010" w:rsidRDefault="00D37010">
      <w:pPr>
        <w:rPr>
          <w:rFonts w:cs="Arial"/>
        </w:rPr>
      </w:pPr>
    </w:p>
    <w:p w:rsidR="00D37010" w:rsidRDefault="00D37010">
      <w:r>
        <w:t>10.42</w:t>
      </w:r>
      <w:r>
        <w:tab/>
      </w:r>
      <w:r>
        <w:tab/>
        <w:t>In view of this obscurity, this Sub-committee conducted two rounds of survey (in June 2016 ("1</w:t>
      </w:r>
      <w:r>
        <w:rPr>
          <w:vertAlign w:val="superscript"/>
        </w:rPr>
        <w:t xml:space="preserve">st </w:t>
      </w:r>
      <w:r>
        <w:t>round survey") and February 2017 ("2</w:t>
      </w:r>
      <w:r>
        <w:rPr>
          <w:vertAlign w:val="superscript"/>
        </w:rPr>
        <w:t>nd</w:t>
      </w:r>
      <w:r>
        <w:t xml:space="preserve"> round survey")) to (a) obtain information about the records management system and practices of public bodies in Hong Kong; and (b) assess their willingness and readiness to adopt a set of mandatory records and archives management requirements.</w:t>
      </w:r>
      <w:r>
        <w:rPr>
          <w:rStyle w:val="FootnoteReference"/>
          <w:rFonts w:cs="Arial"/>
        </w:rPr>
        <w:footnoteReference w:id="637"/>
      </w:r>
      <w:r>
        <w:t xml:space="preserve">  A brief summary of the survey results is in </w:t>
      </w:r>
      <w:r w:rsidRPr="00A2691F">
        <w:rPr>
          <w:b/>
        </w:rPr>
        <w:t>Annex III</w:t>
      </w:r>
      <w:r w:rsidRPr="00A2691F">
        <w:t>.</w:t>
      </w:r>
    </w:p>
    <w:p w:rsidR="00D37010" w:rsidRDefault="00D37010">
      <w:pPr>
        <w:rPr>
          <w:rFonts w:cs="Arial"/>
        </w:rPr>
      </w:pPr>
    </w:p>
    <w:p w:rsidR="00D37010" w:rsidRDefault="00D37010">
      <w:r>
        <w:t>10.43</w:t>
      </w:r>
      <w:r>
        <w:tab/>
      </w:r>
      <w:r>
        <w:tab/>
        <w:t>The 1</w:t>
      </w:r>
      <w:r>
        <w:rPr>
          <w:vertAlign w:val="superscript"/>
        </w:rPr>
        <w:t>st</w:t>
      </w:r>
      <w:r>
        <w:t xml:space="preserve"> round survey covered the 71 public bodies which had been invited to seminars organised by the GRS on records management, archives administration and the setting up of electronic recordkeeping systems between 2013 and 2015.</w:t>
      </w:r>
    </w:p>
    <w:p w:rsidR="00D37010" w:rsidRDefault="00D37010">
      <w:pPr>
        <w:rPr>
          <w:rFonts w:cs="Arial"/>
        </w:rPr>
      </w:pPr>
    </w:p>
    <w:p w:rsidR="00D37010" w:rsidRDefault="00D37010">
      <w:r>
        <w:t>10.44</w:t>
      </w:r>
      <w:r>
        <w:tab/>
      </w:r>
      <w:r>
        <w:tab/>
        <w:t xml:space="preserve">The survey results show that while the majority of the bodies which responded have established a records management programme in line </w:t>
      </w:r>
      <w:r>
        <w:lastRenderedPageBreak/>
        <w:t>with the GRMP</w:t>
      </w:r>
      <w:r>
        <w:rPr>
          <w:rFonts w:hint="eastAsia"/>
        </w:rPr>
        <w:t>,</w:t>
      </w:r>
      <w:r>
        <w:rPr>
          <w:rStyle w:val="FootnoteReference"/>
          <w:rFonts w:cs="Arial"/>
        </w:rPr>
        <w:footnoteReference w:id="638"/>
      </w:r>
      <w:r>
        <w:t xml:space="preserve"> most of them either have extended it to only part of their records (or only to some departments), or have only covered certain aspects of their records management.  Over half of these bodies have also identified problems or needs for improvement in their records management, mainly in relation to resources, expertise, technical and training support, as well as staff awareness and incentive.  </w:t>
      </w:r>
    </w:p>
    <w:p w:rsidR="00D37010" w:rsidRDefault="00D37010">
      <w:pPr>
        <w:rPr>
          <w:rFonts w:cs="Arial"/>
        </w:rPr>
      </w:pPr>
    </w:p>
    <w:p w:rsidR="00D37010" w:rsidRDefault="00D37010">
      <w:r>
        <w:t>10.45</w:t>
      </w:r>
      <w:r>
        <w:tab/>
      </w:r>
      <w:r>
        <w:tab/>
        <w:t>Most of the bodies which responded considered that their recordkeeping systems were capable of managing both electronic and non-electronic records.  However, when six more sizeable and resourceful ones amongst these bodies were invited for the 2</w:t>
      </w:r>
      <w:r>
        <w:rPr>
          <w:vertAlign w:val="superscript"/>
        </w:rPr>
        <w:t>nd</w:t>
      </w:r>
      <w:r>
        <w:t xml:space="preserve"> round survey, the results show that for the five which responded, none of their systems possess all the necessary features and functionality found in a typical ERKS as described in the GRMP. </w:t>
      </w:r>
    </w:p>
    <w:p w:rsidR="00D37010" w:rsidRDefault="00D37010">
      <w:pPr>
        <w:rPr>
          <w:rFonts w:cs="Arial"/>
        </w:rPr>
      </w:pPr>
    </w:p>
    <w:p w:rsidR="00D37010" w:rsidRDefault="00D37010">
      <w:r>
        <w:t>10.46</w:t>
      </w:r>
      <w:r>
        <w:tab/>
      </w:r>
      <w:r>
        <w:tab/>
        <w:t>Some of those bodies which did not consider that their systems could handle both electronic and non-electronic records were also selected for the 2</w:t>
      </w:r>
      <w:r>
        <w:rPr>
          <w:vertAlign w:val="superscript"/>
        </w:rPr>
        <w:t>nd</w:t>
      </w:r>
      <w:r>
        <w:t xml:space="preserve"> round survey.  The majority of those responded considered that their current records management practices worked well for their practical circumstances, and hence did not see the need of applying a mandatory records management system to them.   </w:t>
      </w:r>
    </w:p>
    <w:p w:rsidR="00D37010" w:rsidRDefault="00D37010">
      <w:pPr>
        <w:rPr>
          <w:rFonts w:cs="Arial"/>
        </w:rPr>
      </w:pPr>
    </w:p>
    <w:p w:rsidR="00D37010" w:rsidRPr="004D46B5" w:rsidRDefault="00D37010">
      <w:pPr>
        <w:rPr>
          <w:rFonts w:cs="Arial"/>
        </w:rPr>
      </w:pPr>
    </w:p>
    <w:p w:rsidR="00D37010" w:rsidRDefault="00D37010" w:rsidP="00D86E22">
      <w:pPr>
        <w:pStyle w:val="Heading2"/>
      </w:pPr>
      <w:r>
        <w:t xml:space="preserve">Our </w:t>
      </w:r>
      <w:r>
        <w:rPr>
          <w:rFonts w:hint="eastAsia"/>
        </w:rPr>
        <w:t>c</w:t>
      </w:r>
      <w:r>
        <w:t>onsideration</w:t>
      </w:r>
    </w:p>
    <w:p w:rsidR="00D37010" w:rsidRDefault="00D37010">
      <w:pPr>
        <w:rPr>
          <w:rFonts w:cs="Arial"/>
        </w:rPr>
      </w:pPr>
    </w:p>
    <w:p w:rsidR="00D37010" w:rsidRDefault="00D37010" w:rsidP="001E567A">
      <w:pPr>
        <w:pStyle w:val="Heading3"/>
        <w:tabs>
          <w:tab w:val="clear" w:pos="1418"/>
          <w:tab w:val="left" w:pos="720"/>
        </w:tabs>
      </w:pPr>
      <w:r>
        <w:t xml:space="preserve">(i) </w:t>
      </w:r>
      <w:r>
        <w:rPr>
          <w:rFonts w:hint="eastAsia"/>
        </w:rPr>
        <w:tab/>
      </w:r>
      <w:r>
        <w:t>Scope of public bodies covered</w:t>
      </w:r>
    </w:p>
    <w:p w:rsidR="00D37010" w:rsidRDefault="00D37010">
      <w:pPr>
        <w:rPr>
          <w:rFonts w:cs="Arial"/>
        </w:rPr>
      </w:pPr>
    </w:p>
    <w:p w:rsidR="00D37010" w:rsidRPr="003C01F9" w:rsidRDefault="00D37010">
      <w:r>
        <w:t>10.47</w:t>
      </w:r>
      <w:r w:rsidRPr="003C01F9">
        <w:tab/>
      </w:r>
      <w:r w:rsidRPr="003C01F9">
        <w:tab/>
        <w:t xml:space="preserve">The above discussion of the overseas jurisdictions shows that there is no universal approach on the definition of public bodies.  Similarly, no underlying rationale or criteria can be readily discerned except that a list of factors has been drawn up for deciding whether a body is a </w:t>
      </w:r>
      <w:r>
        <w:t>"</w:t>
      </w:r>
      <w:r w:rsidRPr="003C01F9">
        <w:t>public office</w:t>
      </w:r>
      <w:r>
        <w:t>"</w:t>
      </w:r>
      <w:r w:rsidRPr="003C01F9">
        <w:t xml:space="preserve"> in New Zealand.  These observations largely accord with the views expressed in the RAMP study:</w:t>
      </w:r>
    </w:p>
    <w:p w:rsidR="00D37010" w:rsidRPr="001E567A" w:rsidRDefault="00D37010">
      <w:pPr>
        <w:ind w:leftChars="59" w:left="142"/>
        <w:rPr>
          <w:rFonts w:eastAsia="MingLiU" w:cs="Arial"/>
          <w:sz w:val="16"/>
          <w:szCs w:val="16"/>
        </w:rPr>
      </w:pPr>
      <w:r w:rsidRPr="003C01F9">
        <w:rPr>
          <w:rFonts w:eastAsia="MingLiU" w:cs="Arial"/>
        </w:rPr>
        <w:t xml:space="preserve"> </w:t>
      </w:r>
    </w:p>
    <w:p w:rsidR="00D37010" w:rsidRPr="003C01F9" w:rsidRDefault="00D37010">
      <w:pPr>
        <w:pStyle w:val="BlockText"/>
      </w:pPr>
      <w:r w:rsidRPr="00901078">
        <w:rPr>
          <w:i w:val="0"/>
        </w:rPr>
        <w:t>"</w:t>
      </w:r>
      <w:r w:rsidRPr="003C01F9">
        <w:t>Current legislation tends to define public records/archives by reference</w:t>
      </w:r>
    </w:p>
    <w:p w:rsidR="00D37010" w:rsidRPr="001E567A" w:rsidRDefault="00D37010">
      <w:pPr>
        <w:ind w:left="720" w:right="720"/>
        <w:rPr>
          <w:rFonts w:eastAsia="MingLiU" w:cs="Arial"/>
          <w:i/>
          <w:sz w:val="16"/>
          <w:szCs w:val="16"/>
        </w:rPr>
      </w:pPr>
    </w:p>
    <w:p w:rsidR="00D37010" w:rsidRPr="003C01F9" w:rsidRDefault="00D37010">
      <w:pPr>
        <w:pStyle w:val="Legislationindent1"/>
      </w:pPr>
      <w:r w:rsidRPr="003C01F9">
        <w:rPr>
          <w:rFonts w:hint="eastAsia"/>
        </w:rPr>
        <w:t>(i)</w:t>
      </w:r>
      <w:r w:rsidRPr="003C01F9">
        <w:tab/>
        <w:t>to the origin of the records/archives,</w:t>
      </w:r>
      <w:r w:rsidRPr="003C01F9">
        <w:rPr>
          <w:rFonts w:hint="eastAsia"/>
        </w:rPr>
        <w:t xml:space="preserve"> </w:t>
      </w:r>
      <w:r w:rsidRPr="003C01F9">
        <w:t>[(]for example, records which have been created in, or received</w:t>
      </w:r>
      <w:r>
        <w:t xml:space="preserve"> by</w:t>
      </w:r>
      <w:r w:rsidRPr="003C01F9">
        <w:t>, any public office), or</w:t>
      </w:r>
    </w:p>
    <w:p w:rsidR="00D37010" w:rsidRPr="003C01F9" w:rsidRDefault="00D37010">
      <w:pPr>
        <w:pStyle w:val="Legislationindent1"/>
      </w:pPr>
      <w:r w:rsidRPr="003C01F9">
        <w:rPr>
          <w:rFonts w:hint="eastAsia"/>
        </w:rPr>
        <w:t>(ii)</w:t>
      </w:r>
      <w:r w:rsidRPr="003C01F9">
        <w:tab/>
        <w:t xml:space="preserve">to ownership/custody (for example, records/archives which are the property of the State or of government). </w:t>
      </w:r>
    </w:p>
    <w:p w:rsidR="00D37010" w:rsidRPr="001E567A" w:rsidRDefault="00D37010">
      <w:pPr>
        <w:pStyle w:val="ListParagraph"/>
        <w:ind w:leftChars="590" w:left="1416"/>
        <w:rPr>
          <w:rFonts w:eastAsia="MingLiU" w:cs="Arial"/>
          <w:i/>
          <w:sz w:val="16"/>
          <w:szCs w:val="16"/>
        </w:rPr>
      </w:pPr>
    </w:p>
    <w:p w:rsidR="00D37010" w:rsidRPr="003C01F9" w:rsidRDefault="00D37010">
      <w:pPr>
        <w:pStyle w:val="BlockText"/>
      </w:pPr>
      <w:r w:rsidRPr="003C01F9">
        <w:t>In legislation of both types, public bodies are either</w:t>
      </w:r>
    </w:p>
    <w:p w:rsidR="00D37010" w:rsidRPr="001E567A" w:rsidRDefault="00D37010">
      <w:pPr>
        <w:ind w:left="720"/>
        <w:rPr>
          <w:rFonts w:eastAsia="MingLiU" w:cs="Arial"/>
          <w:i/>
          <w:sz w:val="16"/>
          <w:szCs w:val="16"/>
        </w:rPr>
      </w:pPr>
    </w:p>
    <w:p w:rsidR="00D37010" w:rsidRPr="003C01F9" w:rsidRDefault="00D37010">
      <w:pPr>
        <w:pStyle w:val="Legislationindent1"/>
      </w:pPr>
      <w:r w:rsidRPr="003C01F9">
        <w:t>(a)</w:t>
      </w:r>
      <w:r w:rsidRPr="003C01F9">
        <w:tab/>
        <w:t>generally defined, with or without example</w:t>
      </w:r>
      <w:r>
        <w:t>s</w:t>
      </w:r>
      <w:r w:rsidRPr="003C01F9">
        <w:t xml:space="preserve">, or </w:t>
      </w:r>
    </w:p>
    <w:p w:rsidR="00D37010" w:rsidRPr="003C01F9" w:rsidRDefault="00D37010">
      <w:pPr>
        <w:pStyle w:val="BlockText"/>
        <w:ind w:left="1440" w:hanging="720"/>
      </w:pPr>
      <w:r w:rsidRPr="003C01F9">
        <w:lastRenderedPageBreak/>
        <w:t>(b)</w:t>
      </w:r>
      <w:r w:rsidRPr="003C01F9">
        <w:tab/>
        <w:t xml:space="preserve">generally defined with a provision for application of the general definition to specific institutions, or </w:t>
      </w:r>
    </w:p>
    <w:p w:rsidR="00D37010" w:rsidRPr="003C01F9" w:rsidRDefault="00D37010">
      <w:pPr>
        <w:pStyle w:val="BlockText"/>
      </w:pPr>
      <w:r w:rsidRPr="003C01F9">
        <w:t>(c)</w:t>
      </w:r>
      <w:r w:rsidRPr="003C01F9">
        <w:tab/>
        <w:t>enumerated.</w:t>
      </w:r>
      <w:r w:rsidRPr="00901078">
        <w:rPr>
          <w:i w:val="0"/>
        </w:rPr>
        <w:t>"</w:t>
      </w:r>
      <w:r w:rsidRPr="003C01F9">
        <w:t xml:space="preserve"> </w:t>
      </w:r>
      <w:r w:rsidRPr="003C01F9">
        <w:rPr>
          <w:rStyle w:val="FootnoteReference"/>
          <w:rFonts w:eastAsia="MingLiU" w:cs="Arial"/>
        </w:rPr>
        <w:footnoteReference w:id="639"/>
      </w:r>
    </w:p>
    <w:p w:rsidR="00D37010" w:rsidRPr="003C01F9" w:rsidRDefault="00D37010">
      <w:pPr>
        <w:rPr>
          <w:rFonts w:eastAsia="MingLiU" w:cs="Arial"/>
        </w:rPr>
      </w:pPr>
    </w:p>
    <w:p w:rsidR="00D37010" w:rsidRPr="003C01F9" w:rsidRDefault="00D37010">
      <w:r>
        <w:t>10.48</w:t>
      </w:r>
      <w:r w:rsidRPr="003C01F9">
        <w:tab/>
      </w:r>
      <w:r w:rsidRPr="003C01F9">
        <w:tab/>
        <w:t xml:space="preserve">The nature, functions, structure, powers, sizes and resources of the </w:t>
      </w:r>
      <w:r>
        <w:t>"</w:t>
      </w:r>
      <w:r w:rsidRPr="003C01F9">
        <w:t>public bodies</w:t>
      </w:r>
      <w:r>
        <w:t>"</w:t>
      </w:r>
      <w:r w:rsidRPr="003C01F9">
        <w:t xml:space="preserve"> in Hong Kong are very diverse.  It may be suggested that </w:t>
      </w:r>
      <w:r w:rsidRPr="00BF1613">
        <w:t xml:space="preserve">a possible way to define </w:t>
      </w:r>
      <w:r>
        <w:t>"</w:t>
      </w:r>
      <w:r w:rsidRPr="00BF1613">
        <w:t>public body</w:t>
      </w:r>
      <w:r>
        <w:t>"</w:t>
      </w:r>
      <w:r w:rsidRPr="00BF1613">
        <w:t xml:space="preserve"> is to cover all those bodies which use public funding.</w:t>
      </w:r>
      <w:r w:rsidRPr="00BF1613">
        <w:rPr>
          <w:rStyle w:val="FootnoteReference"/>
          <w:rFonts w:cs="Arial"/>
        </w:rPr>
        <w:footnoteReference w:id="640"/>
      </w:r>
      <w:r w:rsidRPr="003C01F9">
        <w:t xml:space="preserve">  However, it is noted that some bodies only receive government support in the form of </w:t>
      </w:r>
      <w:r>
        <w:t>"</w:t>
      </w:r>
      <w:r w:rsidRPr="003C01F9">
        <w:t>benefits in kind</w:t>
      </w:r>
      <w:r>
        <w:t>"</w:t>
      </w:r>
      <w:r w:rsidRPr="003C01F9">
        <w:t>.  As pointed out by the Hong Kong Institute of Certified Public Accountants:-</w:t>
      </w:r>
    </w:p>
    <w:p w:rsidR="00D37010" w:rsidRPr="001E567A" w:rsidRDefault="00D37010">
      <w:pPr>
        <w:rPr>
          <w:rFonts w:cs="Arial"/>
          <w:sz w:val="16"/>
          <w:szCs w:val="16"/>
        </w:rPr>
      </w:pPr>
    </w:p>
    <w:p w:rsidR="00D37010" w:rsidRPr="003C01F9" w:rsidRDefault="00D37010">
      <w:pPr>
        <w:pStyle w:val="BlockText"/>
      </w:pPr>
      <w:r w:rsidRPr="00901078">
        <w:rPr>
          <w:i w:val="0"/>
        </w:rPr>
        <w:t>"</w:t>
      </w:r>
      <w:r w:rsidRPr="003C01F9">
        <w:t xml:space="preserve">Terms such as </w:t>
      </w:r>
      <w:r>
        <w:t>'</w:t>
      </w:r>
      <w:r w:rsidRPr="003C01F9">
        <w:t>public sector organisations</w:t>
      </w:r>
      <w:r>
        <w:t>'</w:t>
      </w:r>
      <w:r w:rsidRPr="003C01F9">
        <w:t xml:space="preserve"> or </w:t>
      </w:r>
      <w:r>
        <w:t>'</w:t>
      </w:r>
      <w:r w:rsidRPr="003C01F9">
        <w:t>public sector bodies</w:t>
      </w:r>
      <w:r>
        <w:t>'</w:t>
      </w:r>
      <w:r w:rsidRPr="003C01F9">
        <w:t xml:space="preserve"> can encompass a diverse range of entities including </w:t>
      </w:r>
      <w:r>
        <w:t>'</w:t>
      </w:r>
      <w:r w:rsidRPr="003C01F9">
        <w:t>quasi-profit-orientated</w:t>
      </w:r>
      <w:r>
        <w:t>'</w:t>
      </w:r>
      <w:r w:rsidRPr="003C01F9">
        <w:t>, largely or fully self-funding and subvented bodies.</w:t>
      </w:r>
    </w:p>
    <w:p w:rsidR="00D37010" w:rsidRPr="001E567A" w:rsidRDefault="00D37010">
      <w:pPr>
        <w:ind w:left="1134" w:right="751"/>
        <w:rPr>
          <w:rFonts w:cs="Arial"/>
          <w:i/>
          <w:sz w:val="16"/>
          <w:szCs w:val="16"/>
        </w:rPr>
      </w:pPr>
    </w:p>
    <w:p w:rsidR="00D37010" w:rsidRPr="003C01F9" w:rsidRDefault="00D37010">
      <w:pPr>
        <w:pStyle w:val="BlockText"/>
      </w:pPr>
      <w:r w:rsidRPr="003C01F9">
        <w:t xml:space="preserve">In addition, there are other entities, which may serve a public purpose, eg the promotion of recreation or art, that are in receipt of </w:t>
      </w:r>
      <w:r>
        <w:t>'</w:t>
      </w:r>
      <w:r w:rsidRPr="003C01F9">
        <w:t>benefits in kind</w:t>
      </w:r>
      <w:r>
        <w:t>'</w:t>
      </w:r>
      <w:r w:rsidRPr="003C01F9">
        <w:t>, such as concessionary land or nominal rentals.  While there is a public interest element in the functions they perform, and for this reason they receive government support, they cannot be properly regarded as public sector organisations</w:t>
      </w:r>
      <w:r>
        <w:t xml:space="preserve"> </w:t>
      </w:r>
      <w:r w:rsidRPr="003C01F9">
        <w:t>…</w:t>
      </w:r>
      <w:r>
        <w:t xml:space="preserve"> </w:t>
      </w:r>
      <w:r w:rsidRPr="003C01F9">
        <w:t>.</w:t>
      </w:r>
      <w:r w:rsidRPr="00901078">
        <w:rPr>
          <w:i w:val="0"/>
        </w:rPr>
        <w:t>"</w:t>
      </w:r>
      <w:r w:rsidRPr="003C01F9">
        <w:t xml:space="preserve"> </w:t>
      </w:r>
      <w:r w:rsidRPr="003C01F9">
        <w:rPr>
          <w:rStyle w:val="FootnoteReference"/>
          <w:rFonts w:cs="Arial"/>
        </w:rPr>
        <w:footnoteReference w:id="641"/>
      </w:r>
      <w:r w:rsidRPr="003C01F9">
        <w:t xml:space="preserve"> </w:t>
      </w:r>
    </w:p>
    <w:p w:rsidR="00D37010" w:rsidRDefault="00D37010">
      <w:pPr>
        <w:ind w:left="1134" w:right="751"/>
        <w:rPr>
          <w:rFonts w:cs="Arial"/>
          <w:i/>
          <w:highlight w:val="yellow"/>
        </w:rPr>
      </w:pPr>
    </w:p>
    <w:p w:rsidR="00D37010" w:rsidRPr="00B9409E" w:rsidRDefault="00D37010">
      <w:r>
        <w:t>10.49</w:t>
      </w:r>
      <w:r w:rsidRPr="00B9409E">
        <w:tab/>
      </w:r>
      <w:r w:rsidRPr="00B9409E">
        <w:tab/>
        <w:t xml:space="preserve">Instead of trying to devise a definition of </w:t>
      </w:r>
      <w:r>
        <w:t>"</w:t>
      </w:r>
      <w:r w:rsidRPr="00B9409E">
        <w:t>public body</w:t>
      </w:r>
      <w:r>
        <w:t>"</w:t>
      </w:r>
      <w:r w:rsidRPr="00B9409E">
        <w:t xml:space="preserve"> that could capture the broad and diverse range of bodies, it may be more advisable to follow the approach in England, Ireland, New Zealand and Singapore, ie enumerating from time to time specific bodies that should be subject to the </w:t>
      </w:r>
      <w:r>
        <w:t xml:space="preserve">public </w:t>
      </w:r>
      <w:r w:rsidRPr="00B9409E">
        <w:t>records management regime.</w:t>
      </w:r>
    </w:p>
    <w:p w:rsidR="00D37010" w:rsidRDefault="00D37010">
      <w:pPr>
        <w:rPr>
          <w:rFonts w:eastAsia="MingLiU" w:cs="Arial"/>
          <w:highlight w:val="yellow"/>
        </w:rPr>
      </w:pPr>
    </w:p>
    <w:p w:rsidR="00D37010" w:rsidRDefault="00D37010">
      <w:pPr>
        <w:rPr>
          <w:rFonts w:eastAsia="MingLiU" w:cs="Arial"/>
          <w:highlight w:val="yellow"/>
        </w:rPr>
      </w:pPr>
    </w:p>
    <w:p w:rsidR="00D37010" w:rsidRPr="00A531B9" w:rsidRDefault="00D37010" w:rsidP="001E567A">
      <w:pPr>
        <w:pStyle w:val="Heading3"/>
        <w:tabs>
          <w:tab w:val="clear" w:pos="1418"/>
          <w:tab w:val="left" w:pos="720"/>
        </w:tabs>
      </w:pPr>
      <w:r w:rsidRPr="00A531B9">
        <w:rPr>
          <w:lang w:val="en-NZ"/>
        </w:rPr>
        <w:t xml:space="preserve">(ii) </w:t>
      </w:r>
      <w:r w:rsidRPr="00A531B9">
        <w:rPr>
          <w:lang w:val="en-NZ"/>
        </w:rPr>
        <w:tab/>
        <w:t>Oversight by archival authority</w:t>
      </w:r>
    </w:p>
    <w:p w:rsidR="00D37010" w:rsidRPr="00A531B9" w:rsidRDefault="00D37010">
      <w:pPr>
        <w:keepNext/>
        <w:rPr>
          <w:rFonts w:eastAsia="MingLiU" w:cs="Arial"/>
        </w:rPr>
      </w:pPr>
    </w:p>
    <w:p w:rsidR="00D37010" w:rsidRPr="00A531B9" w:rsidRDefault="00D37010">
      <w:r>
        <w:t>10.50</w:t>
      </w:r>
      <w:r w:rsidRPr="00A531B9">
        <w:tab/>
      </w:r>
      <w:r w:rsidRPr="00A531B9">
        <w:tab/>
        <w:t>The above discussion of the overseas jurisdictions also shows that the extent of oversight by archival authorities over the records management of public bodies varies between jurisdictions.</w:t>
      </w:r>
    </w:p>
    <w:p w:rsidR="00D37010" w:rsidRPr="00A531B9" w:rsidRDefault="00D37010">
      <w:pPr>
        <w:rPr>
          <w:rFonts w:cs="Arial"/>
        </w:rPr>
      </w:pPr>
    </w:p>
    <w:p w:rsidR="00D37010" w:rsidRPr="00A531B9" w:rsidRDefault="00D37010">
      <w:r>
        <w:lastRenderedPageBreak/>
        <w:t>10.51</w:t>
      </w:r>
      <w:r w:rsidRPr="00A531B9">
        <w:tab/>
      </w:r>
      <w:r w:rsidRPr="00A531B9">
        <w:tab/>
        <w:t xml:space="preserve">Besides, the foregoing survey findings cast real doubts, at least for now, on whether public bodies in Hong Kong are generally ready and willing to be covered by a uniform mandatory records management regime as suggested by The Ombudsman.  Especially in the light of the diverse nature, functions, structure, powers, sizes and resources of public bodies, their individual circumstances must be carefully considered (with prior consultation or dialogue if need be), before imposing on them any uniform mandatory records management regime, whether under the current administrative regime or by way of legislation.  Such consideration of individual circumstances of public bodies should entail, for example, ascertaining if the existing obligations under their governing legislation (in the case of statutory bodies) would be incompatible with any records-related obligations sought to be imposed.  </w:t>
      </w:r>
      <w:r w:rsidRPr="00D86E22">
        <w:rPr>
          <w:shd w:val="clear" w:color="auto" w:fill="FFFFFF"/>
        </w:rPr>
        <w:t>For any reform to succeed, the understanding and co-operation of the relevant stakeholders are vital.  Therefore, public bodies that may be brought within the regime must be apprised of the possible oversight to which they may be subjected.</w:t>
      </w:r>
    </w:p>
    <w:p w:rsidR="00D37010" w:rsidRDefault="00D37010">
      <w:pPr>
        <w:rPr>
          <w:rFonts w:cs="Arial"/>
          <w:highlight w:val="yellow"/>
        </w:rPr>
      </w:pPr>
    </w:p>
    <w:p w:rsidR="00D37010" w:rsidRPr="003B59A2" w:rsidRDefault="00D37010">
      <w:r>
        <w:t>10.52</w:t>
      </w:r>
      <w:r w:rsidRPr="003B59A2">
        <w:tab/>
      </w:r>
      <w:r w:rsidRPr="003B59A2">
        <w:tab/>
        <w:t xml:space="preserve">In any event, the current lack of qualified professional archivists in Hong Kong may pose a particular challenge.  A functional archives needs to be manned by </w:t>
      </w:r>
      <w:r w:rsidRPr="003B59A2">
        <w:rPr>
          <w:rFonts w:hint="eastAsia"/>
        </w:rPr>
        <w:t>a team of information management professionals, including but not limited to</w:t>
      </w:r>
      <w:r w:rsidRPr="003B59A2">
        <w:t xml:space="preserve"> professional archivists and records managers to undertake all the highly specialised tasks involved.  At present, apart from HKU SPACE which provides a Master of Information Studies programme (in collaboration with the Charles Sturt University in Australia)</w:t>
      </w:r>
      <w:r w:rsidRPr="003B59A2">
        <w:rPr>
          <w:rFonts w:hint="eastAsia"/>
        </w:rPr>
        <w:t>,</w:t>
      </w:r>
      <w:r w:rsidRPr="003B59A2">
        <w:rPr>
          <w:rStyle w:val="FootnoteReference"/>
          <w:rFonts w:cs="Arial"/>
        </w:rPr>
        <w:footnoteReference w:id="642"/>
      </w:r>
      <w:r w:rsidRPr="003B59A2">
        <w:t xml:space="preserve"> there does not appear to be any local post-secondary institution that offers degree programmes in archival science, although an archives </w:t>
      </w:r>
      <w:r>
        <w:t xml:space="preserve">and records management </w:t>
      </w:r>
      <w:r w:rsidRPr="003B59A2">
        <w:t>stream in the Master of Science in Library and Information Management, a programme offered by the Faculty of Education at the University of Hong Kong,</w:t>
      </w:r>
      <w:r w:rsidRPr="003B59A2">
        <w:rPr>
          <w:rStyle w:val="FootnoteReference"/>
        </w:rPr>
        <w:footnoteReference w:id="643"/>
      </w:r>
      <w:r w:rsidRPr="003B59A2">
        <w:t xml:space="preserve"> has been available for three years.  This tends to limit the supply of the much-needed professional archivists who are trained to appraise the historical value of the relevant records should public bodies be brought within a uniform records management regime in Hong Kong.</w:t>
      </w:r>
      <w:r w:rsidRPr="003B59A2">
        <w:rPr>
          <w:rStyle w:val="FootnoteReference"/>
          <w:rFonts w:cs="Arial"/>
        </w:rPr>
        <w:footnoteReference w:id="644"/>
      </w:r>
      <w:r w:rsidRPr="003B59A2">
        <w:t xml:space="preserve">  </w:t>
      </w:r>
    </w:p>
    <w:p w:rsidR="00D37010" w:rsidRDefault="00D37010">
      <w:pPr>
        <w:rPr>
          <w:rFonts w:cs="Arial"/>
          <w:highlight w:val="yellow"/>
        </w:rPr>
      </w:pPr>
    </w:p>
    <w:p w:rsidR="00D37010" w:rsidRPr="003B59A2" w:rsidRDefault="00D37010">
      <w:r>
        <w:t>10.53</w:t>
      </w:r>
      <w:r w:rsidRPr="003B59A2">
        <w:tab/>
      </w:r>
      <w:r w:rsidRPr="003B59A2">
        <w:tab/>
        <w:t xml:space="preserve">Professional support aside, public bodies will surely need time to catch up with the standards and requirements to be imposed by the regime.  Likewise, the archival authority would also require time to build up its capacity to process the additional work brought by the influx of such new bodies.  Additional training, manpower, resources and technological support would clearly be needed.  All in all and realistically, the expansion of the regime to cover public bodies, cannot take place overnight. </w:t>
      </w:r>
    </w:p>
    <w:p w:rsidR="00D37010" w:rsidRDefault="00D37010">
      <w:pPr>
        <w:rPr>
          <w:rFonts w:cs="Arial"/>
          <w:highlight w:val="yellow"/>
        </w:rPr>
      </w:pPr>
    </w:p>
    <w:p w:rsidR="00D37010" w:rsidRPr="007F6A32" w:rsidRDefault="00D37010">
      <w:r>
        <w:t>10.54</w:t>
      </w:r>
      <w:r w:rsidRPr="007F6A32">
        <w:tab/>
      </w:r>
      <w:r w:rsidRPr="007F6A32">
        <w:tab/>
        <w:t xml:space="preserve">If it is decided to cover a particular public body under the </w:t>
      </w:r>
      <w:r>
        <w:t xml:space="preserve">public </w:t>
      </w:r>
      <w:r w:rsidRPr="007F6A32">
        <w:t>records management regime, the next question is the archival authority</w:t>
      </w:r>
      <w:r>
        <w:t>'</w:t>
      </w:r>
      <w:r w:rsidRPr="007F6A32">
        <w:t>s</w:t>
      </w:r>
      <w:r w:rsidRPr="007F6A32">
        <w:rPr>
          <w:i/>
        </w:rPr>
        <w:t xml:space="preserve"> </w:t>
      </w:r>
      <w:r w:rsidRPr="007F6A32">
        <w:rPr>
          <w:i/>
        </w:rPr>
        <w:lastRenderedPageBreak/>
        <w:t>extent</w:t>
      </w:r>
      <w:r w:rsidRPr="007F6A32">
        <w:t xml:space="preserve"> </w:t>
      </w:r>
      <w:r w:rsidRPr="007F6A32">
        <w:rPr>
          <w:i/>
        </w:rPr>
        <w:t>of oversight</w:t>
      </w:r>
      <w:r w:rsidRPr="007F6A32">
        <w:t xml:space="preserve">.  We reiterate that a careful consideration of the individual circumstances of that body is called for, in the light of its nature, functions, structure, powers, size and resources.  A blanket expansion would only be inapt, counter-productive, resource-demanding and cost-ineffective. </w:t>
      </w:r>
    </w:p>
    <w:p w:rsidR="00D37010" w:rsidRDefault="00D37010">
      <w:pPr>
        <w:rPr>
          <w:rFonts w:cs="Arial"/>
          <w:highlight w:val="yellow"/>
        </w:rPr>
      </w:pPr>
    </w:p>
    <w:p w:rsidR="00D37010" w:rsidRPr="007F6A32" w:rsidRDefault="00D37010">
      <w:r>
        <w:t>10.55</w:t>
      </w:r>
      <w:r w:rsidRPr="007F6A32">
        <w:tab/>
      </w:r>
      <w:r w:rsidRPr="007F6A32">
        <w:tab/>
        <w:t xml:space="preserve">This </w:t>
      </w:r>
      <w:r>
        <w:t>"</w:t>
      </w:r>
      <w:r w:rsidRPr="007F6A32">
        <w:t>bespoke</w:t>
      </w:r>
      <w:r>
        <w:t>"</w:t>
      </w:r>
      <w:r w:rsidRPr="007F6A32">
        <w:t xml:space="preserve"> approach finds certain echo in Ireland, where Departments of States and public service organisations are respectively subjected to greater and lesser control.  We therefore consider that a </w:t>
      </w:r>
      <w:r>
        <w:t>"</w:t>
      </w:r>
      <w:r w:rsidRPr="007F6A32">
        <w:t>bespoke</w:t>
      </w:r>
      <w:r>
        <w:t>"</w:t>
      </w:r>
      <w:r w:rsidRPr="007F6A32">
        <w:t xml:space="preserve"> approach is more appropriate. </w:t>
      </w:r>
    </w:p>
    <w:p w:rsidR="00D37010" w:rsidRDefault="00D37010">
      <w:pPr>
        <w:rPr>
          <w:rFonts w:cs="Arial"/>
          <w:highlight w:val="yellow"/>
        </w:rPr>
      </w:pPr>
    </w:p>
    <w:p w:rsidR="00D37010" w:rsidRPr="00BF1613" w:rsidRDefault="00D37010">
      <w:r>
        <w:t>10.56</w:t>
      </w:r>
      <w:r w:rsidRPr="007F6A32">
        <w:tab/>
      </w:r>
      <w:r w:rsidRPr="007F6A32">
        <w:tab/>
        <w:t>With all these in mind, we are acutely aware that many public bodies indeed perform important public functions and the community has a legitimate expectation for them to be accountable, including their records management practices.</w:t>
      </w:r>
      <w:r w:rsidRPr="00BF1613">
        <w:rPr>
          <w:rStyle w:val="FootnoteReference"/>
          <w:rFonts w:cs="Arial"/>
        </w:rPr>
        <w:footnoteReference w:id="645"/>
      </w:r>
      <w:r w:rsidRPr="00BF1613">
        <w:t xml:space="preserve">  Laudable though the suggestion of extending </w:t>
      </w:r>
      <w:r>
        <w:t xml:space="preserve">public </w:t>
      </w:r>
      <w:r w:rsidRPr="00BF1613">
        <w:t xml:space="preserve">records management regime to public bodies is, it may not bear fruit if various considerations underscored above are not heeded. </w:t>
      </w:r>
    </w:p>
    <w:p w:rsidR="00D37010" w:rsidRDefault="00D37010">
      <w:pPr>
        <w:rPr>
          <w:rFonts w:cs="Arial"/>
          <w:highlight w:val="green"/>
        </w:rPr>
      </w:pPr>
    </w:p>
    <w:p w:rsidR="00D37010" w:rsidRDefault="00D37010">
      <w:pPr>
        <w:rPr>
          <w:rFonts w:cs="Arial"/>
          <w:b/>
          <w:sz w:val="28"/>
          <w:szCs w:val="28"/>
          <w:lang w:val="en-US"/>
        </w:rPr>
      </w:pPr>
    </w:p>
    <w:p w:rsidR="00D37010" w:rsidRPr="00BF1613" w:rsidRDefault="00D37010">
      <w:pPr>
        <w:rPr>
          <w:rFonts w:cs="Arial"/>
          <w:b/>
          <w:sz w:val="28"/>
          <w:szCs w:val="28"/>
          <w:lang w:val="en-US"/>
        </w:rPr>
      </w:pPr>
      <w:r w:rsidRPr="00BF1613">
        <w:rPr>
          <w:rFonts w:cs="Arial"/>
          <w:b/>
          <w:sz w:val="28"/>
          <w:szCs w:val="28"/>
          <w:lang w:val="en-US"/>
        </w:rPr>
        <w:t xml:space="preserve">Our </w:t>
      </w:r>
      <w:r>
        <w:rPr>
          <w:rFonts w:cs="Arial" w:hint="eastAsia"/>
          <w:b/>
          <w:sz w:val="28"/>
          <w:szCs w:val="28"/>
          <w:lang w:val="en-US"/>
        </w:rPr>
        <w:t>p</w:t>
      </w:r>
      <w:r w:rsidRPr="00BF1613">
        <w:rPr>
          <w:rFonts w:cs="Arial"/>
          <w:b/>
          <w:sz w:val="28"/>
          <w:szCs w:val="28"/>
          <w:lang w:val="en-US"/>
        </w:rPr>
        <w:t xml:space="preserve">rovisional </w:t>
      </w:r>
      <w:r>
        <w:rPr>
          <w:rFonts w:cs="Arial" w:hint="eastAsia"/>
          <w:b/>
          <w:sz w:val="28"/>
          <w:szCs w:val="28"/>
          <w:lang w:val="en-US"/>
        </w:rPr>
        <w:t>v</w:t>
      </w:r>
      <w:r w:rsidRPr="00BF1613">
        <w:rPr>
          <w:rFonts w:cs="Arial"/>
          <w:b/>
          <w:sz w:val="28"/>
          <w:szCs w:val="28"/>
          <w:lang w:val="en-US"/>
        </w:rPr>
        <w:t>iew</w:t>
      </w:r>
      <w:r w:rsidRPr="007F6A32">
        <w:rPr>
          <w:rFonts w:cs="Arial"/>
          <w:b/>
          <w:sz w:val="28"/>
          <w:szCs w:val="28"/>
          <w:lang w:val="en-US"/>
        </w:rPr>
        <w:t>s</w:t>
      </w:r>
    </w:p>
    <w:p w:rsidR="00D37010" w:rsidRPr="00BF1613" w:rsidRDefault="00D37010">
      <w:pPr>
        <w:rPr>
          <w:rFonts w:cs="Arial"/>
          <w:b/>
          <w:sz w:val="28"/>
          <w:szCs w:val="28"/>
          <w:highlight w:val="yellow"/>
          <w:lang w:val="en-US"/>
        </w:rPr>
      </w:pPr>
    </w:p>
    <w:p w:rsidR="00D37010" w:rsidRPr="00BF1613" w:rsidRDefault="00D37010">
      <w:pPr>
        <w:rPr>
          <w:rFonts w:cs="Arial"/>
          <w:lang w:val="en-US"/>
        </w:rPr>
      </w:pPr>
      <w:r>
        <w:rPr>
          <w:rFonts w:cs="Arial"/>
          <w:lang w:val="en-US"/>
        </w:rPr>
        <w:t>10.57</w:t>
      </w:r>
      <w:r w:rsidRPr="003D480E">
        <w:rPr>
          <w:rFonts w:cs="Arial"/>
          <w:lang w:val="en-US"/>
        </w:rPr>
        <w:tab/>
      </w:r>
      <w:r>
        <w:rPr>
          <w:rFonts w:cs="Arial"/>
          <w:lang w:val="en-US"/>
        </w:rPr>
        <w:tab/>
      </w:r>
      <w:r w:rsidRPr="00A604F5">
        <w:rPr>
          <w:rFonts w:cs="Arial"/>
          <w:b/>
          <w:lang w:val="en-US"/>
        </w:rPr>
        <w:t>As regards the scope of public bodies to be covered, our provisional view</w:t>
      </w:r>
      <w:r>
        <w:rPr>
          <w:rFonts w:cs="Arial"/>
          <w:b/>
          <w:lang w:val="en-US"/>
        </w:rPr>
        <w:t>s</w:t>
      </w:r>
      <w:r w:rsidRPr="005E74CA">
        <w:rPr>
          <w:rFonts w:cs="Arial"/>
          <w:b/>
          <w:lang w:val="en-US"/>
        </w:rPr>
        <w:t xml:space="preserve"> </w:t>
      </w:r>
      <w:r>
        <w:rPr>
          <w:rFonts w:cs="Arial"/>
          <w:b/>
          <w:lang w:val="en-US"/>
        </w:rPr>
        <w:t>are</w:t>
      </w:r>
      <w:r w:rsidRPr="00A604F5">
        <w:rPr>
          <w:rFonts w:cs="Arial"/>
          <w:b/>
          <w:lang w:val="en-US"/>
        </w:rPr>
        <w:t xml:space="preserve"> that it is more advisable to follow the approach in England, Ireland, New Zealand and Singapore, ie enumerating from time to time specific bodies that should be subject to the </w:t>
      </w:r>
      <w:r>
        <w:rPr>
          <w:rFonts w:cs="Arial"/>
          <w:b/>
          <w:lang w:val="en-US"/>
        </w:rPr>
        <w:t xml:space="preserve">public </w:t>
      </w:r>
      <w:r w:rsidRPr="00A604F5">
        <w:rPr>
          <w:rFonts w:cs="Arial"/>
          <w:b/>
          <w:lang w:val="en-US"/>
        </w:rPr>
        <w:t>records management regime.  In respect of the extent of oversight by the archival authority, we consider that a "bespoke" approach is more appropriate.</w:t>
      </w:r>
      <w:r>
        <w:rPr>
          <w:rFonts w:cs="Arial"/>
          <w:lang w:val="en-US"/>
        </w:rPr>
        <w:t xml:space="preserve"> </w:t>
      </w:r>
    </w:p>
    <w:p w:rsidR="00D37010" w:rsidRPr="00BF1613" w:rsidRDefault="00D37010">
      <w:pPr>
        <w:rPr>
          <w:rFonts w:cs="Arial"/>
        </w:rPr>
      </w:pPr>
    </w:p>
    <w:p w:rsidR="00D37010" w:rsidRPr="00BF1613" w:rsidRDefault="00D37010">
      <w:pPr>
        <w:rPr>
          <w:rFonts w:cs="Arial"/>
        </w:rPr>
      </w:pPr>
    </w:p>
    <w:p w:rsidR="00D37010" w:rsidRDefault="00D37010">
      <w:pPr>
        <w:pBdr>
          <w:top w:val="single" w:sz="4" w:space="8" w:color="auto"/>
          <w:left w:val="single" w:sz="4" w:space="8" w:color="auto"/>
          <w:bottom w:val="single" w:sz="4" w:space="8" w:color="auto"/>
          <w:right w:val="single" w:sz="4" w:space="8" w:color="auto"/>
        </w:pBdr>
        <w:ind w:left="1440" w:right="720" w:hanging="720"/>
        <w:rPr>
          <w:rFonts w:cs="Arial"/>
          <w:b/>
        </w:rPr>
      </w:pPr>
      <w:r>
        <w:rPr>
          <w:rFonts w:cs="Arial"/>
          <w:b/>
        </w:rPr>
        <w:t>Consultation Questions 12</w:t>
      </w:r>
    </w:p>
    <w:p w:rsidR="00D37010" w:rsidRPr="00BF1613" w:rsidRDefault="00D37010">
      <w:pPr>
        <w:pBdr>
          <w:top w:val="single" w:sz="4" w:space="8" w:color="auto"/>
          <w:left w:val="single" w:sz="4" w:space="8" w:color="auto"/>
          <w:bottom w:val="single" w:sz="4" w:space="8" w:color="auto"/>
          <w:right w:val="single" w:sz="4" w:space="8" w:color="auto"/>
        </w:pBdr>
        <w:ind w:left="1440" w:right="720" w:hanging="720"/>
        <w:rPr>
          <w:rFonts w:cs="Arial"/>
          <w:b/>
          <w:lang w:val="en-US"/>
        </w:rPr>
      </w:pPr>
    </w:p>
    <w:p w:rsidR="00D37010" w:rsidRPr="00BF1613" w:rsidRDefault="00D37010" w:rsidP="00D86E22">
      <w:pPr>
        <w:pStyle w:val="ListParagraph"/>
        <w:widowControl/>
        <w:numPr>
          <w:ilvl w:val="0"/>
          <w:numId w:val="51"/>
        </w:numPr>
        <w:pBdr>
          <w:top w:val="single" w:sz="4" w:space="8" w:color="auto"/>
          <w:left w:val="single" w:sz="4" w:space="8" w:color="auto"/>
          <w:bottom w:val="single" w:sz="4" w:space="8" w:color="auto"/>
          <w:right w:val="single" w:sz="4" w:space="8" w:color="auto"/>
        </w:pBdr>
        <w:ind w:left="1440" w:right="720" w:hanging="720"/>
        <w:contextualSpacing w:val="0"/>
        <w:rPr>
          <w:rFonts w:cs="Arial"/>
          <w:b/>
        </w:rPr>
      </w:pPr>
      <w:r w:rsidRPr="00BF1613">
        <w:rPr>
          <w:rFonts w:cs="Arial"/>
          <w:b/>
        </w:rPr>
        <w:t>Do you agree with our provisional views?</w:t>
      </w:r>
    </w:p>
    <w:p w:rsidR="00D37010" w:rsidRDefault="00D37010" w:rsidP="00D86E22">
      <w:pPr>
        <w:pBdr>
          <w:top w:val="single" w:sz="4" w:space="8" w:color="auto"/>
          <w:left w:val="single" w:sz="4" w:space="8" w:color="auto"/>
          <w:bottom w:val="single" w:sz="4" w:space="8" w:color="auto"/>
          <w:right w:val="single" w:sz="4" w:space="8" w:color="auto"/>
        </w:pBdr>
        <w:ind w:left="1440" w:right="720" w:hanging="720"/>
        <w:rPr>
          <w:rFonts w:cs="Arial"/>
          <w:b/>
        </w:rPr>
      </w:pPr>
    </w:p>
    <w:p w:rsidR="00D37010" w:rsidRPr="00BF1613" w:rsidRDefault="00D37010" w:rsidP="00D86E22">
      <w:pPr>
        <w:pStyle w:val="ListParagraph"/>
        <w:widowControl/>
        <w:numPr>
          <w:ilvl w:val="0"/>
          <w:numId w:val="51"/>
        </w:numPr>
        <w:pBdr>
          <w:top w:val="single" w:sz="4" w:space="8" w:color="auto"/>
          <w:left w:val="single" w:sz="4" w:space="8" w:color="auto"/>
          <w:bottom w:val="single" w:sz="4" w:space="8" w:color="auto"/>
          <w:right w:val="single" w:sz="4" w:space="8" w:color="auto"/>
        </w:pBdr>
        <w:ind w:left="1440" w:right="720" w:hanging="720"/>
        <w:contextualSpacing w:val="0"/>
        <w:rPr>
          <w:rFonts w:cs="Arial"/>
          <w:b/>
          <w:lang w:eastAsia="zh-HK"/>
        </w:rPr>
      </w:pPr>
      <w:r w:rsidRPr="00BF1613">
        <w:rPr>
          <w:rFonts w:cs="Arial"/>
          <w:b/>
        </w:rPr>
        <w:t xml:space="preserve">If your answer to </w:t>
      </w:r>
      <w:r>
        <w:rPr>
          <w:rFonts w:cs="Arial"/>
          <w:b/>
        </w:rPr>
        <w:t xml:space="preserve">(i) </w:t>
      </w:r>
      <w:r w:rsidRPr="00BF1613">
        <w:rPr>
          <w:rFonts w:cs="Arial"/>
          <w:b/>
        </w:rPr>
        <w:t>is in the negative, what are your reasons?</w:t>
      </w:r>
    </w:p>
    <w:p w:rsidR="00D37010" w:rsidRDefault="00D37010">
      <w:pPr>
        <w:rPr>
          <w:rFonts w:eastAsia="MingLiU" w:cs="Arial"/>
          <w:i/>
          <w:sz w:val="20"/>
        </w:rPr>
      </w:pPr>
    </w:p>
    <w:p w:rsidR="00D37010" w:rsidRDefault="00D37010">
      <w:pPr>
        <w:rPr>
          <w:rFonts w:eastAsia="MingLiU" w:cs="Arial"/>
          <w:i/>
          <w:sz w:val="20"/>
        </w:rPr>
      </w:pPr>
    </w:p>
    <w:p w:rsidR="00D37010" w:rsidRDefault="00D37010">
      <w:pPr>
        <w:rPr>
          <w:rFonts w:eastAsia="MingLiU" w:cs="Arial"/>
          <w:i/>
          <w:sz w:val="20"/>
        </w:rPr>
      </w:pPr>
    </w:p>
    <w:p w:rsidR="00D37010" w:rsidRDefault="00D37010" w:rsidP="007572E9">
      <w:pPr>
        <w:rPr>
          <w:rFonts w:cs="Arial"/>
          <w:b/>
          <w:sz w:val="20"/>
          <w:szCs w:val="20"/>
        </w:rPr>
        <w:sectPr w:rsidR="00D37010" w:rsidSect="00D86E22">
          <w:footerReference w:type="default" r:id="rId24"/>
          <w:footnotePr>
            <w:numStart w:val="49"/>
            <w:numRestart w:val="eachSect"/>
          </w:footnotePr>
          <w:pgSz w:w="11906" w:h="16838" w:code="9"/>
          <w:pgMar w:top="1440" w:right="1800" w:bottom="1440" w:left="1800" w:header="720" w:footer="720" w:gutter="0"/>
          <w:cols w:space="425"/>
          <w:docGrid w:type="linesAndChars" w:linePitch="360"/>
        </w:sectPr>
      </w:pPr>
    </w:p>
    <w:p w:rsidR="00B27FD2" w:rsidRPr="00544F7F" w:rsidRDefault="00B27FD2" w:rsidP="00D86E22">
      <w:pPr>
        <w:rPr>
          <w:b/>
          <w:sz w:val="36"/>
        </w:rPr>
      </w:pPr>
      <w:r w:rsidRPr="00544F7F">
        <w:rPr>
          <w:rFonts w:hint="eastAsia"/>
          <w:b/>
          <w:sz w:val="36"/>
        </w:rPr>
        <w:lastRenderedPageBreak/>
        <w:t xml:space="preserve">Chapter </w:t>
      </w:r>
      <w:r>
        <w:rPr>
          <w:rFonts w:hint="eastAsia"/>
          <w:b/>
          <w:sz w:val="36"/>
        </w:rPr>
        <w:t>11</w:t>
      </w:r>
    </w:p>
    <w:p w:rsidR="00B27FD2" w:rsidRPr="00544F7F" w:rsidRDefault="00B27FD2" w:rsidP="00D86E22">
      <w:pPr>
        <w:rPr>
          <w:b/>
          <w:sz w:val="36"/>
        </w:rPr>
      </w:pPr>
    </w:p>
    <w:p w:rsidR="00B27FD2" w:rsidRPr="00544F7F" w:rsidRDefault="00B27FD2" w:rsidP="00D86E22">
      <w:pPr>
        <w:rPr>
          <w:b/>
          <w:sz w:val="36"/>
        </w:rPr>
      </w:pPr>
      <w:r>
        <w:rPr>
          <w:b/>
          <w:sz w:val="36"/>
        </w:rPr>
        <w:t xml:space="preserve">List of </w:t>
      </w:r>
      <w:r>
        <w:rPr>
          <w:rFonts w:hint="eastAsia"/>
          <w:b/>
          <w:sz w:val="36"/>
        </w:rPr>
        <w:t>c</w:t>
      </w:r>
      <w:r>
        <w:rPr>
          <w:b/>
          <w:sz w:val="36"/>
        </w:rPr>
        <w:t xml:space="preserve">onsultation </w:t>
      </w:r>
      <w:r>
        <w:rPr>
          <w:rFonts w:hint="eastAsia"/>
          <w:b/>
          <w:sz w:val="36"/>
        </w:rPr>
        <w:t>q</w:t>
      </w:r>
      <w:r>
        <w:rPr>
          <w:b/>
          <w:sz w:val="36"/>
        </w:rPr>
        <w:t>uestions</w:t>
      </w:r>
    </w:p>
    <w:p w:rsidR="00B27FD2" w:rsidRPr="00544F7F" w:rsidRDefault="00B27FD2" w:rsidP="00D86E22">
      <w:pPr>
        <w:rPr>
          <w:b/>
        </w:rPr>
      </w:pPr>
      <w:r>
        <w:rPr>
          <w:rFonts w:hint="eastAsia"/>
          <w:b/>
        </w:rPr>
        <w:t>_______________________________________</w:t>
      </w:r>
    </w:p>
    <w:p w:rsidR="00B27FD2" w:rsidRDefault="00B27FD2" w:rsidP="00D86E22"/>
    <w:p w:rsidR="00B27FD2" w:rsidRDefault="00B27FD2" w:rsidP="00D86E22"/>
    <w:p w:rsidR="00B27FD2" w:rsidRPr="00A536EA" w:rsidRDefault="00B27FD2" w:rsidP="00D86E22"/>
    <w:p w:rsidR="00B27FD2" w:rsidRPr="00312F32" w:rsidRDefault="00B27FD2" w:rsidP="00D86E22">
      <w:pPr>
        <w:rPr>
          <w:rFonts w:cs="Arial"/>
          <w:b/>
          <w:u w:val="single"/>
        </w:rPr>
      </w:pPr>
      <w:r w:rsidRPr="00312F32">
        <w:rPr>
          <w:rFonts w:cs="Arial"/>
          <w:b/>
          <w:u w:val="single"/>
        </w:rPr>
        <w:t>Chapter 4 - Consultation questions 1</w:t>
      </w:r>
    </w:p>
    <w:p w:rsidR="00B27FD2" w:rsidRPr="00312F32" w:rsidRDefault="00B27FD2" w:rsidP="00D86E22">
      <w:pPr>
        <w:rPr>
          <w:rFonts w:cs="Arial"/>
        </w:rPr>
      </w:pPr>
    </w:p>
    <w:p w:rsidR="00B27FD2" w:rsidRPr="00312F32" w:rsidRDefault="00B27FD2" w:rsidP="00D86E22">
      <w:pPr>
        <w:ind w:left="708" w:hangingChars="295" w:hanging="708"/>
        <w:rPr>
          <w:rFonts w:cs="Arial"/>
        </w:rPr>
      </w:pPr>
      <w:r w:rsidRPr="00312F32">
        <w:rPr>
          <w:rFonts w:cs="Arial"/>
        </w:rPr>
        <w:t>(i)</w:t>
      </w:r>
      <w:r w:rsidRPr="00312F32">
        <w:rPr>
          <w:rFonts w:cs="Arial"/>
        </w:rPr>
        <w:tab/>
        <w:t>Should the current placement of GRS within the Government continue?</w:t>
      </w:r>
    </w:p>
    <w:p w:rsidR="00B27FD2" w:rsidRPr="00312F32" w:rsidRDefault="00B27FD2" w:rsidP="00D86E22">
      <w:pPr>
        <w:ind w:left="708" w:hangingChars="295" w:hanging="708"/>
        <w:rPr>
          <w:rFonts w:cs="Arial"/>
        </w:rPr>
      </w:pPr>
    </w:p>
    <w:p w:rsidR="00B27FD2" w:rsidRPr="00312F32" w:rsidRDefault="00B27FD2" w:rsidP="00D86E22">
      <w:pPr>
        <w:ind w:left="708" w:hangingChars="295" w:hanging="708"/>
        <w:rPr>
          <w:rFonts w:cs="Arial"/>
        </w:rPr>
      </w:pPr>
      <w:r w:rsidRPr="00312F32">
        <w:rPr>
          <w:rFonts w:cs="Arial"/>
        </w:rPr>
        <w:t>(ii)</w:t>
      </w:r>
      <w:r w:rsidRPr="00312F32">
        <w:rPr>
          <w:rFonts w:cs="Arial"/>
        </w:rPr>
        <w:tab/>
        <w:t>If the answer to (i) is in the negative, in what way should the GRS' placement be changed, and what are the reasons for your suggestions?</w:t>
      </w:r>
    </w:p>
    <w:p w:rsidR="00B27FD2" w:rsidRPr="00312F32" w:rsidRDefault="00B27FD2" w:rsidP="00D86E22">
      <w:pPr>
        <w:ind w:left="708" w:hangingChars="295" w:hanging="708"/>
        <w:rPr>
          <w:rFonts w:cs="Arial"/>
        </w:rPr>
      </w:pPr>
    </w:p>
    <w:p w:rsidR="00B27FD2" w:rsidRPr="00312F32" w:rsidRDefault="00B27FD2" w:rsidP="00D86E22">
      <w:pPr>
        <w:ind w:left="708" w:hangingChars="295" w:hanging="708"/>
        <w:rPr>
          <w:rFonts w:cs="Arial"/>
        </w:rPr>
      </w:pPr>
      <w:r w:rsidRPr="00312F32">
        <w:rPr>
          <w:rFonts w:cs="Arial"/>
        </w:rPr>
        <w:t>(iii)</w:t>
      </w:r>
      <w:r w:rsidRPr="00312F32">
        <w:rPr>
          <w:rFonts w:cs="Arial"/>
        </w:rPr>
        <w:tab/>
        <w:t>Is there a need for the appointment of an advisory body to provide advice on public records and archives management matters?</w:t>
      </w:r>
    </w:p>
    <w:p w:rsidR="00B27FD2" w:rsidRPr="00312F32" w:rsidRDefault="00B27FD2" w:rsidP="00D86E22">
      <w:pPr>
        <w:ind w:left="708" w:hangingChars="295" w:hanging="708"/>
        <w:rPr>
          <w:rFonts w:cs="Arial"/>
        </w:rPr>
      </w:pPr>
    </w:p>
    <w:p w:rsidR="00B27FD2" w:rsidRPr="00312F32" w:rsidRDefault="00B27FD2" w:rsidP="00D86E22">
      <w:pPr>
        <w:ind w:left="708" w:hangingChars="295" w:hanging="708"/>
        <w:rPr>
          <w:rFonts w:cs="Arial"/>
        </w:rPr>
      </w:pPr>
      <w:r w:rsidRPr="00312F32">
        <w:rPr>
          <w:rFonts w:cs="Arial"/>
        </w:rPr>
        <w:t>(iv)</w:t>
      </w:r>
      <w:r w:rsidRPr="00312F32">
        <w:rPr>
          <w:rFonts w:cs="Arial"/>
        </w:rPr>
        <w:tab/>
        <w:t>If the answer to (iii) is in the affirmative, what should the role, composition and functions of the advisory body be?</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5 - Consultation questions 2</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Are the documents and information currently published on the GRS' website sufficient (paragraph 5.4)?</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If the answer to (i) is in the negative, what other documents and information should the GRS disseminate and 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5 - Consultation questions 3</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Is the current obligation for the creation of public records, which is subject to the civil service general regulations in conjunction with the guidelines on creation and collection, adequate in ensuring the proper creation of records?</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If the answer to (i) is in the negative, in what way can the current obligation be improved and 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5 - Consultation questions 4</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Is the GRS' current guidance to B/Ds on review of records disposal schedules sufficient?</w:t>
      </w:r>
    </w:p>
    <w:p w:rsidR="00B27FD2" w:rsidRPr="00312F32" w:rsidRDefault="00B27FD2" w:rsidP="00D86E22">
      <w:pPr>
        <w:ind w:left="708" w:hangingChars="295" w:hanging="708"/>
        <w:rPr>
          <w:rFonts w:cs="Arial"/>
          <w:shd w:val="clear" w:color="auto" w:fill="FFFFFF"/>
        </w:rPr>
      </w:pPr>
    </w:p>
    <w:p w:rsidR="00B27FD2" w:rsidRPr="00312F32" w:rsidRDefault="00B27FD2" w:rsidP="00312F32">
      <w:pPr>
        <w:widowControl/>
        <w:ind w:left="708" w:hanging="708"/>
        <w:rPr>
          <w:rFonts w:cs="Arial"/>
          <w:shd w:val="clear" w:color="auto" w:fill="FFFFFF"/>
        </w:rPr>
      </w:pPr>
      <w:r w:rsidRPr="00312F32">
        <w:rPr>
          <w:rFonts w:cs="Arial"/>
          <w:shd w:val="clear" w:color="auto" w:fill="FFFFFF"/>
        </w:rPr>
        <w:lastRenderedPageBreak/>
        <w:t>(ii)</w:t>
      </w:r>
      <w:r w:rsidRPr="00312F32">
        <w:rPr>
          <w:rFonts w:cs="Arial"/>
          <w:shd w:val="clear" w:color="auto" w:fill="FFFFFF"/>
        </w:rPr>
        <w:tab/>
        <w:t>If the answer to (i) is in the negative, what other assistance should be provided to enable B/Ds to properly review their records disposal schedules and 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5 - Consultation questions 5</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Is the current mechanism for transfer of government records to the Public Records Office for appraisal appropriate?</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If the answer to (i) is in the negative, in what way should the current mechanism be improved, and what are the reasons for your suggestions?</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(iii)</w:t>
      </w:r>
      <w:r w:rsidRPr="00312F32">
        <w:rPr>
          <w:rFonts w:cs="Arial"/>
          <w:shd w:val="clear" w:color="auto" w:fill="FFFFFF"/>
        </w:rPr>
        <w:tab/>
        <w:t>Is the current arrangement for deferral of transfer of records by B/Ds appropriate?</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(iv)</w:t>
      </w:r>
      <w:r w:rsidRPr="00312F32">
        <w:rPr>
          <w:rFonts w:cs="Arial"/>
          <w:shd w:val="clear" w:color="auto" w:fill="FFFFFF"/>
        </w:rPr>
        <w:tab/>
        <w:t>If the answer to (iii) is in the negative, in what way should the current arrangement be improved, and what are the reasons for your suggestions?</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(v)</w:t>
      </w:r>
      <w:r w:rsidRPr="00312F32">
        <w:rPr>
          <w:rFonts w:cs="Arial"/>
          <w:shd w:val="clear" w:color="auto" w:fill="FFFFFF"/>
        </w:rPr>
        <w:tab/>
        <w:t>Is the current mechanism on review and determination by B/Ds of the access status of records before their transfer to the Public Records Office for preservation and public access appropriate?</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(vi)</w:t>
      </w:r>
      <w:r w:rsidRPr="00312F32">
        <w:rPr>
          <w:rFonts w:cs="Arial"/>
          <w:shd w:val="clear" w:color="auto" w:fill="FFFFFF"/>
        </w:rPr>
        <w:tab/>
        <w:t>If the answer to (v) is in the negative, in what way should the current mechanism be improved, and 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5 - Consultation question 6</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r w:rsidRPr="00312F32">
        <w:rPr>
          <w:rFonts w:cs="Arial"/>
          <w:shd w:val="clear" w:color="auto" w:fill="FFFFFF"/>
        </w:rPr>
        <w:t>In your view, what other measures should the Government adopt to expedite the implementation of ERKS and 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6 - Consultation questions 7</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Has the current PDPO struck the right balance between the preservation of archives and protection of personal data?</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 xml:space="preserve">If the answer to (i) is in the negative, </w:t>
      </w:r>
    </w:p>
    <w:p w:rsidR="00B27FD2" w:rsidRPr="00312F32" w:rsidRDefault="00B27FD2" w:rsidP="00D86E22">
      <w:pPr>
        <w:rPr>
          <w:rFonts w:cs="Arial"/>
          <w:b/>
        </w:rPr>
      </w:pPr>
    </w:p>
    <w:p w:rsidR="00B27FD2" w:rsidRPr="00312F32" w:rsidRDefault="00B27FD2" w:rsidP="00D86E22">
      <w:pPr>
        <w:ind w:left="1440" w:hanging="720"/>
        <w:rPr>
          <w:rFonts w:cs="Arial"/>
        </w:rPr>
      </w:pPr>
      <w:r w:rsidRPr="00312F32">
        <w:rPr>
          <w:rFonts w:cs="Arial"/>
        </w:rPr>
        <w:t>(a)</w:t>
      </w:r>
      <w:r w:rsidRPr="00312F32">
        <w:rPr>
          <w:rFonts w:cs="Arial"/>
        </w:rPr>
        <w:tab/>
        <w:t>what in your view is the right balance?</w:t>
      </w:r>
    </w:p>
    <w:p w:rsidR="00B27FD2" w:rsidRPr="00312F32" w:rsidRDefault="00B27FD2" w:rsidP="00D86E22">
      <w:pPr>
        <w:ind w:left="1440" w:hanging="720"/>
        <w:rPr>
          <w:rFonts w:cs="Arial"/>
        </w:rPr>
      </w:pPr>
      <w:r w:rsidRPr="00312F32">
        <w:rPr>
          <w:rFonts w:cs="Arial"/>
        </w:rPr>
        <w:t>(b)</w:t>
      </w:r>
      <w:r w:rsidRPr="00312F32">
        <w:rPr>
          <w:rFonts w:cs="Arial"/>
        </w:rPr>
        <w:tab/>
        <w:t xml:space="preserve">what </w:t>
      </w:r>
      <w:r w:rsidRPr="00312F32">
        <w:rPr>
          <w:rFonts w:cs="Arial"/>
          <w:shd w:val="clear" w:color="auto" w:fill="FFFFFF"/>
        </w:rPr>
        <w:t>other</w:t>
      </w:r>
      <w:r w:rsidRPr="00312F32">
        <w:rPr>
          <w:rFonts w:cs="Arial"/>
        </w:rPr>
        <w:t xml:space="preserve"> measures can be adopted to achieve this balance? and</w:t>
      </w:r>
    </w:p>
    <w:p w:rsidR="00B27FD2" w:rsidRPr="00312F32" w:rsidRDefault="00B27FD2" w:rsidP="00D86E22">
      <w:pPr>
        <w:ind w:left="1440" w:hanging="720"/>
        <w:rPr>
          <w:rFonts w:cs="Arial"/>
          <w:shd w:val="clear" w:color="auto" w:fill="FFFFFF"/>
        </w:rPr>
      </w:pPr>
      <w:r w:rsidRPr="00312F32">
        <w:rPr>
          <w:rFonts w:cs="Arial"/>
        </w:rPr>
        <w:t>(c)</w:t>
      </w:r>
      <w:r w:rsidRPr="00312F32">
        <w:rPr>
          <w:rFonts w:cs="Arial"/>
        </w:rPr>
        <w:tab/>
        <w:t>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keepNext/>
        <w:rPr>
          <w:rFonts w:cs="Arial"/>
          <w:b/>
          <w:u w:val="single"/>
          <w:shd w:val="clear" w:color="auto" w:fill="FFFFFF"/>
        </w:rPr>
      </w:pPr>
      <w:r w:rsidRPr="00312F32">
        <w:rPr>
          <w:rFonts w:cs="Arial"/>
          <w:b/>
          <w:u w:val="single"/>
          <w:shd w:val="clear" w:color="auto" w:fill="FFFFFF"/>
        </w:rPr>
        <w:lastRenderedPageBreak/>
        <w:t>Chapter 6 - Consultation questions 8</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r w:rsidRPr="00312F32">
        <w:rPr>
          <w:rFonts w:cs="Arial"/>
          <w:shd w:val="clear" w:color="auto" w:fill="FFFFFF"/>
        </w:rPr>
        <w:t xml:space="preserve">After careful deliberation, </w:t>
      </w:r>
      <w:r w:rsidRPr="00312F32">
        <w:rPr>
          <w:rFonts w:cs="Arial"/>
          <w:b/>
          <w:shd w:val="clear" w:color="auto" w:fill="FFFFFF"/>
        </w:rPr>
        <w:t>our provisional view is to follow the approach of the jurisdictions where census information is preserved</w:t>
      </w:r>
      <w:r w:rsidRPr="00312F32">
        <w:rPr>
          <w:rFonts w:cs="Arial"/>
          <w:shd w:val="clear" w:color="auto" w:fill="FFFFFF"/>
        </w:rPr>
        <w:t>.  To this end, we invite views from the public specifically on some relevant questions.</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 xml:space="preserve">Should census schedules be preserved as archives after a census exercise? </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If the answer to (i) is in the affirmative, should the subject individual’s consent be required as a precondition for preserving his census schedule and what are your reasons?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7 - Consultation questions 9</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Should the current 30-year timeframe on the transfer of records by B/Ds to the GRS be retained?</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If the answer to (i) is in the negative, (a) what are your reasons, and (b) what in your view is the appropriate timeframe and why?</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8 - Consultation questions 10</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r w:rsidRPr="00312F32">
        <w:rPr>
          <w:rFonts w:cs="Arial"/>
          <w:b/>
          <w:shd w:val="clear" w:color="auto" w:fill="FFFFFF"/>
        </w:rPr>
        <w:t>Our provisional views are that a good public records management regime must include adequate and effective measures to ensure due compliance.  These measures may take the more stringent form of laws or mandatory requirements.  However, we observe that equally important are other measures which seek to develop a stronger culture and promote higher awareness of proper records management.</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Are the existing measures sufficient in ensuring B/Ds' compliance with their records management obligations?</w:t>
      </w:r>
    </w:p>
    <w:p w:rsidR="00B27FD2" w:rsidRPr="00312F32" w:rsidRDefault="00B27FD2" w:rsidP="00D86E22">
      <w:pPr>
        <w:ind w:left="708" w:hangingChars="295" w:hanging="708"/>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(ii)</w:t>
      </w:r>
      <w:r w:rsidRPr="00312F32">
        <w:rPr>
          <w:rFonts w:cs="Arial"/>
          <w:shd w:val="clear" w:color="auto" w:fill="FFFFFF"/>
        </w:rPr>
        <w:tab/>
        <w:t>If your answer to (i) is in the negative, what additional measures would you suggest and what are the reasons for your suggestions?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9 - Consultation question 11</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r w:rsidRPr="00312F32">
        <w:rPr>
          <w:rFonts w:cs="Arial"/>
          <w:shd w:val="clear" w:color="auto" w:fill="FFFFFF"/>
        </w:rPr>
        <w:t>There are considerations in favour of the enactment of an archives law in Hong Kong, but there are also practical concerns over its implementation.</w:t>
      </w:r>
      <w:r w:rsidRPr="00312F32" w:rsidDel="00C268F2">
        <w:rPr>
          <w:rFonts w:cs="Arial"/>
          <w:shd w:val="clear" w:color="auto" w:fill="FFFFFF"/>
        </w:rPr>
        <w:t xml:space="preserve"> </w:t>
      </w:r>
      <w:r w:rsidRPr="00312F32">
        <w:rPr>
          <w:rFonts w:cs="Arial"/>
          <w:shd w:val="clear" w:color="auto" w:fill="FFFFFF"/>
        </w:rPr>
        <w:t xml:space="preserve"> On balance, </w:t>
      </w:r>
      <w:r w:rsidRPr="00312F32">
        <w:rPr>
          <w:rFonts w:cs="Arial"/>
          <w:b/>
          <w:shd w:val="clear" w:color="auto" w:fill="FFFFFF"/>
        </w:rPr>
        <w:t>our provisional views are that we do see a case for the introduction of an archives law to further strengthen the management, protection and preservation of public records and archives in Hong Kong.</w:t>
      </w:r>
    </w:p>
    <w:p w:rsidR="00B27FD2" w:rsidRPr="00312F32" w:rsidRDefault="00B27FD2" w:rsidP="00D86E22">
      <w:pPr>
        <w:rPr>
          <w:rFonts w:cs="Arial"/>
          <w:shd w:val="clear" w:color="auto" w:fill="FFFFFF"/>
        </w:rPr>
      </w:pPr>
    </w:p>
    <w:p w:rsidR="00B27FD2" w:rsidRPr="00312F32" w:rsidRDefault="00B27FD2" w:rsidP="00312F32">
      <w:pPr>
        <w:widowControl/>
        <w:rPr>
          <w:rFonts w:cs="Arial"/>
          <w:shd w:val="clear" w:color="auto" w:fill="FFFFFF"/>
        </w:rPr>
      </w:pPr>
      <w:r w:rsidRPr="00312F32">
        <w:rPr>
          <w:rFonts w:cs="Arial"/>
          <w:shd w:val="clear" w:color="auto" w:fill="FFFFFF"/>
        </w:rPr>
        <w:lastRenderedPageBreak/>
        <w:t>Do you think there is a case for introducing an archives law to strengthen the current public records and archives management framework and what are your reasons?</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p>
    <w:p w:rsidR="00B27FD2" w:rsidRPr="00312F32" w:rsidRDefault="00B27FD2" w:rsidP="00D86E22">
      <w:pPr>
        <w:rPr>
          <w:rFonts w:cs="Arial"/>
          <w:b/>
          <w:u w:val="single"/>
          <w:shd w:val="clear" w:color="auto" w:fill="FFFFFF"/>
        </w:rPr>
      </w:pPr>
      <w:r w:rsidRPr="00312F32">
        <w:rPr>
          <w:rFonts w:cs="Arial"/>
          <w:b/>
          <w:u w:val="single"/>
          <w:shd w:val="clear" w:color="auto" w:fill="FFFFFF"/>
        </w:rPr>
        <w:t>Chapter 10 - Consultation questions 12</w:t>
      </w:r>
    </w:p>
    <w:p w:rsidR="00B27FD2" w:rsidRPr="00312F32" w:rsidRDefault="00B27FD2" w:rsidP="00D86E22">
      <w:pPr>
        <w:rPr>
          <w:rFonts w:cs="Arial"/>
          <w:shd w:val="clear" w:color="auto" w:fill="FFFFFF"/>
        </w:rPr>
      </w:pPr>
    </w:p>
    <w:p w:rsidR="00B27FD2" w:rsidRPr="00312F32" w:rsidRDefault="00B27FD2" w:rsidP="00D86E22">
      <w:pPr>
        <w:rPr>
          <w:rFonts w:cs="Arial"/>
          <w:shd w:val="clear" w:color="auto" w:fill="FFFFFF"/>
        </w:rPr>
      </w:pPr>
      <w:r w:rsidRPr="00312F32">
        <w:rPr>
          <w:rFonts w:cs="Arial"/>
          <w:b/>
          <w:shd w:val="clear" w:color="auto" w:fill="FFFFFF"/>
        </w:rPr>
        <w:t>As regards the scope of public bodies to be covered, our provisional views are that it is more advisable to follow the approach in England, Ireland, New Zealand and Singapore, ie enumerating from time to time specific bodies that should be subject to the public records management regime.  In respect of the extent of oversight by the archival authority, we consider that a "bespoke" approach is more appropriate</w:t>
      </w:r>
      <w:r w:rsidRPr="00312F32">
        <w:rPr>
          <w:rFonts w:cs="Arial"/>
          <w:shd w:val="clear" w:color="auto" w:fill="FFFFFF"/>
        </w:rPr>
        <w:t>.</w:t>
      </w:r>
    </w:p>
    <w:p w:rsidR="00B27FD2" w:rsidRPr="00312F32" w:rsidRDefault="00B27FD2" w:rsidP="00D86E22">
      <w:pPr>
        <w:rPr>
          <w:rFonts w:cs="Arial"/>
          <w:shd w:val="clear" w:color="auto" w:fill="FFFFFF"/>
        </w:rPr>
      </w:pPr>
    </w:p>
    <w:p w:rsidR="00B27FD2" w:rsidRPr="00312F32" w:rsidRDefault="00B27FD2" w:rsidP="00D86E22">
      <w:pPr>
        <w:ind w:left="708" w:hangingChars="295" w:hanging="708"/>
        <w:rPr>
          <w:rFonts w:cs="Arial"/>
          <w:shd w:val="clear" w:color="auto" w:fill="FFFFFF"/>
        </w:rPr>
      </w:pPr>
      <w:r w:rsidRPr="00312F32">
        <w:rPr>
          <w:rFonts w:cs="Arial"/>
          <w:shd w:val="clear" w:color="auto" w:fill="FFFFFF"/>
        </w:rPr>
        <w:t>(i)</w:t>
      </w:r>
      <w:r w:rsidRPr="00312F32">
        <w:rPr>
          <w:rFonts w:cs="Arial"/>
          <w:shd w:val="clear" w:color="auto" w:fill="FFFFFF"/>
        </w:rPr>
        <w:tab/>
        <w:t>Do you agree with our provisional views?</w:t>
      </w:r>
    </w:p>
    <w:p w:rsidR="00B27FD2" w:rsidRPr="00312F32" w:rsidRDefault="00B27FD2" w:rsidP="00D86E22">
      <w:pPr>
        <w:ind w:left="708" w:hangingChars="295" w:hanging="708"/>
        <w:rPr>
          <w:rFonts w:cs="Arial"/>
          <w:shd w:val="clear" w:color="auto" w:fill="FFFFFF"/>
        </w:rPr>
      </w:pPr>
    </w:p>
    <w:p w:rsidR="00B27FD2" w:rsidRPr="00D86E22" w:rsidRDefault="00B27FD2" w:rsidP="00D86E22">
      <w:pPr>
        <w:ind w:left="708" w:hangingChars="295" w:hanging="708"/>
        <w:rPr>
          <w:rFonts w:ascii="Calibri" w:hAnsi="Calibri" w:cs="Calibri"/>
          <w:shd w:val="clear" w:color="auto" w:fill="FFFFFF"/>
        </w:rPr>
      </w:pPr>
      <w:r w:rsidRPr="00312F32">
        <w:rPr>
          <w:rFonts w:cs="Arial"/>
          <w:shd w:val="clear" w:color="auto" w:fill="FFFFFF"/>
        </w:rPr>
        <w:t>(ii)</w:t>
      </w:r>
      <w:r w:rsidRPr="00312F32">
        <w:rPr>
          <w:rFonts w:cs="Arial"/>
          <w:shd w:val="clear" w:color="auto" w:fill="FFFFFF"/>
        </w:rPr>
        <w:tab/>
        <w:t>If your answer to (i) is in the negative, what are your reasons?</w:t>
      </w:r>
    </w:p>
    <w:p w:rsidR="00B27FD2" w:rsidRPr="00D86E22" w:rsidRDefault="00B27FD2" w:rsidP="00D86E22">
      <w:pPr>
        <w:rPr>
          <w:rFonts w:cs="Arial"/>
          <w:b/>
          <w:shd w:val="clear" w:color="auto" w:fill="FFFFFF"/>
        </w:rPr>
      </w:pPr>
    </w:p>
    <w:p w:rsidR="00B27FD2" w:rsidRPr="00D86E22" w:rsidRDefault="00B27FD2" w:rsidP="00D86E22">
      <w:pPr>
        <w:rPr>
          <w:rFonts w:cs="Arial"/>
          <w:b/>
          <w:shd w:val="clear" w:color="auto" w:fill="FFFFFF"/>
        </w:rPr>
      </w:pPr>
    </w:p>
    <w:p w:rsidR="00B27FD2" w:rsidRPr="00D86E22" w:rsidRDefault="00B27FD2" w:rsidP="00D86E22">
      <w:pPr>
        <w:rPr>
          <w:rFonts w:cs="Arial"/>
          <w:b/>
          <w:shd w:val="clear" w:color="auto" w:fill="FFFFFF"/>
        </w:rPr>
      </w:pPr>
    </w:p>
    <w:p w:rsidR="00B27FD2" w:rsidRPr="00D86E22" w:rsidRDefault="00B27FD2" w:rsidP="00D86E22">
      <w:pPr>
        <w:rPr>
          <w:rFonts w:cs="Arial"/>
          <w:b/>
          <w:shd w:val="clear" w:color="auto" w:fill="FFFFFF"/>
        </w:rPr>
      </w:pPr>
    </w:p>
    <w:p w:rsidR="00B27FD2" w:rsidRDefault="00B27FD2" w:rsidP="007572E9">
      <w:pPr>
        <w:rPr>
          <w:rFonts w:cs="Arial"/>
          <w:b/>
          <w:sz w:val="20"/>
          <w:szCs w:val="20"/>
        </w:rPr>
        <w:sectPr w:rsidR="00B27FD2" w:rsidSect="00D86E22">
          <w:footerReference w:type="default" r:id="rId25"/>
          <w:footnotePr>
            <w:numStart w:val="49"/>
            <w:numRestart w:val="eachSect"/>
          </w:footnotePr>
          <w:pgSz w:w="11906" w:h="16838" w:code="9"/>
          <w:pgMar w:top="1440" w:right="1800" w:bottom="1440" w:left="1800" w:header="720" w:footer="720" w:gutter="0"/>
          <w:cols w:space="425"/>
          <w:docGrid w:type="linesAndChars" w:linePitch="360"/>
        </w:sectPr>
      </w:pPr>
    </w:p>
    <w:p w:rsidR="00B27FD2" w:rsidRPr="004004DF" w:rsidRDefault="00B27FD2" w:rsidP="00D86E22">
      <w:pPr>
        <w:jc w:val="right"/>
        <w:rPr>
          <w:rFonts w:cs="Arial"/>
          <w:b/>
          <w:noProof/>
          <w:u w:val="single"/>
          <w:lang w:eastAsia="zh-HK"/>
        </w:rPr>
      </w:pPr>
      <w:r w:rsidRPr="00DB3FEC">
        <w:rPr>
          <w:rFonts w:cs="Arial"/>
          <w:b/>
          <w:noProof/>
          <w:sz w:val="26"/>
          <w:u w:val="single"/>
          <w:lang w:eastAsia="zh-HK"/>
        </w:rPr>
        <w:lastRenderedPageBreak/>
        <w:t>Annex</w:t>
      </w:r>
      <w:r w:rsidRPr="00A47CC6">
        <w:rPr>
          <w:rFonts w:cs="Arial"/>
          <w:b/>
          <w:noProof/>
          <w:sz w:val="26"/>
          <w:u w:val="single"/>
          <w:lang w:eastAsia="zh-HK"/>
        </w:rPr>
        <w:t xml:space="preserve"> I</w:t>
      </w:r>
      <w:r w:rsidRPr="00DB3FEC">
        <w:rPr>
          <w:rFonts w:cs="Arial"/>
          <w:b/>
          <w:noProof/>
          <w:sz w:val="26"/>
          <w:u w:val="single"/>
          <w:shd w:val="clear" w:color="auto" w:fill="FFFF66"/>
          <w:lang w:eastAsia="zh-HK"/>
        </w:rPr>
        <w:t xml:space="preserve"> </w:t>
      </w:r>
    </w:p>
    <w:p w:rsidR="00B27FD2" w:rsidRDefault="00B27FD2" w:rsidP="00D86E22">
      <w:pPr>
        <w:rPr>
          <w:rFonts w:cs="Arial"/>
          <w:noProof/>
          <w:lang w:eastAsia="zh-HK"/>
        </w:rPr>
      </w:pPr>
    </w:p>
    <w:p w:rsidR="00B27FD2" w:rsidRDefault="00B27FD2" w:rsidP="00D86E22">
      <w:pPr>
        <w:rPr>
          <w:rFonts w:cs="Arial"/>
          <w:noProof/>
          <w:lang w:eastAsia="zh-HK"/>
        </w:rPr>
      </w:pPr>
    </w:p>
    <w:p w:rsidR="00B27FD2" w:rsidRDefault="00B27FD2" w:rsidP="00D86E22">
      <w:pPr>
        <w:rPr>
          <w:rFonts w:cs="Arial"/>
          <w:noProof/>
          <w:lang w:eastAsia="zh-HK"/>
        </w:rPr>
      </w:pPr>
    </w:p>
    <w:p w:rsidR="00B27FD2" w:rsidRPr="00DB3FEC" w:rsidRDefault="00B27FD2" w:rsidP="00312F32">
      <w:pPr>
        <w:jc w:val="center"/>
        <w:rPr>
          <w:rFonts w:cs="Arial"/>
          <w:b/>
          <w:noProof/>
          <w:sz w:val="26"/>
          <w:u w:val="single"/>
          <w:lang w:eastAsia="zh-HK"/>
        </w:rPr>
      </w:pPr>
      <w:r w:rsidRPr="00DB3FEC">
        <w:rPr>
          <w:rFonts w:cs="Arial"/>
          <w:b/>
          <w:noProof/>
          <w:sz w:val="26"/>
          <w:u w:val="single"/>
          <w:lang w:eastAsia="zh-HK"/>
        </w:rPr>
        <w:t xml:space="preserve">Major </w:t>
      </w:r>
      <w:r>
        <w:rPr>
          <w:rFonts w:cs="Arial"/>
          <w:b/>
          <w:noProof/>
          <w:sz w:val="26"/>
          <w:u w:val="single"/>
          <w:lang w:eastAsia="zh-HK"/>
        </w:rPr>
        <w:t>g</w:t>
      </w:r>
      <w:r w:rsidRPr="00DB3FEC">
        <w:rPr>
          <w:rFonts w:cs="Arial"/>
          <w:b/>
          <w:noProof/>
          <w:sz w:val="26"/>
          <w:u w:val="single"/>
          <w:lang w:eastAsia="zh-HK"/>
        </w:rPr>
        <w:t xml:space="preserve">overnment </w:t>
      </w:r>
      <w:r>
        <w:rPr>
          <w:rFonts w:cs="Arial" w:hint="eastAsia"/>
          <w:b/>
          <w:noProof/>
          <w:sz w:val="26"/>
          <w:u w:val="single"/>
          <w:lang w:eastAsia="zh-HK"/>
        </w:rPr>
        <w:t>r</w:t>
      </w:r>
      <w:r w:rsidRPr="00DB3FEC">
        <w:rPr>
          <w:rFonts w:cs="Arial"/>
          <w:b/>
          <w:noProof/>
          <w:sz w:val="26"/>
          <w:u w:val="single"/>
          <w:lang w:eastAsia="zh-HK"/>
        </w:rPr>
        <w:t>ecord</w:t>
      </w:r>
      <w:r>
        <w:rPr>
          <w:rFonts w:cs="Arial" w:hint="eastAsia"/>
          <w:b/>
          <w:noProof/>
          <w:sz w:val="26"/>
          <w:u w:val="single"/>
          <w:lang w:eastAsia="zh-HK"/>
        </w:rPr>
        <w:t>s</w:t>
      </w:r>
      <w:r w:rsidRPr="00DB3FEC">
        <w:rPr>
          <w:rFonts w:cs="Arial"/>
          <w:b/>
          <w:noProof/>
          <w:sz w:val="26"/>
          <w:u w:val="single"/>
          <w:lang w:eastAsia="zh-HK"/>
        </w:rPr>
        <w:t xml:space="preserve"> </w:t>
      </w:r>
      <w:r>
        <w:rPr>
          <w:rFonts w:cs="Arial" w:hint="eastAsia"/>
          <w:b/>
          <w:noProof/>
          <w:sz w:val="26"/>
          <w:u w:val="single"/>
          <w:lang w:eastAsia="zh-HK"/>
        </w:rPr>
        <w:t>m</w:t>
      </w:r>
      <w:r w:rsidRPr="00DB3FEC">
        <w:rPr>
          <w:rFonts w:cs="Arial"/>
          <w:b/>
          <w:noProof/>
          <w:sz w:val="26"/>
          <w:u w:val="single"/>
          <w:lang w:eastAsia="zh-HK"/>
        </w:rPr>
        <w:t xml:space="preserve">anagement </w:t>
      </w:r>
      <w:r>
        <w:rPr>
          <w:rFonts w:cs="Arial" w:hint="eastAsia"/>
          <w:b/>
          <w:noProof/>
          <w:sz w:val="26"/>
          <w:u w:val="single"/>
          <w:lang w:eastAsia="zh-HK"/>
        </w:rPr>
        <w:t>p</w:t>
      </w:r>
      <w:r w:rsidRPr="00DB3FEC">
        <w:rPr>
          <w:rFonts w:cs="Arial"/>
          <w:b/>
          <w:noProof/>
          <w:sz w:val="26"/>
          <w:u w:val="single"/>
          <w:lang w:eastAsia="zh-HK"/>
        </w:rPr>
        <w:t>rocesses</w:t>
      </w:r>
    </w:p>
    <w:p w:rsidR="00B27FD2" w:rsidRPr="00DB3FEC" w:rsidRDefault="00B27FD2" w:rsidP="00312F32">
      <w:pPr>
        <w:jc w:val="center"/>
        <w:rPr>
          <w:rFonts w:cs="Arial"/>
          <w:b/>
          <w:noProof/>
          <w:sz w:val="26"/>
          <w:u w:val="single"/>
          <w:lang w:eastAsia="zh-HK"/>
        </w:rPr>
      </w:pPr>
      <w:r w:rsidRPr="00DB3FEC">
        <w:rPr>
          <w:rFonts w:cs="Arial"/>
          <w:b/>
          <w:noProof/>
          <w:sz w:val="26"/>
          <w:u w:val="single"/>
          <w:lang w:eastAsia="zh-HK"/>
        </w:rPr>
        <w:t xml:space="preserve">and </w:t>
      </w:r>
      <w:r>
        <w:rPr>
          <w:rFonts w:cs="Arial" w:hint="eastAsia"/>
          <w:b/>
          <w:noProof/>
          <w:sz w:val="26"/>
          <w:u w:val="single"/>
          <w:lang w:eastAsia="zh-HK"/>
        </w:rPr>
        <w:t>a</w:t>
      </w:r>
      <w:r w:rsidRPr="00DB3FEC">
        <w:rPr>
          <w:rFonts w:cs="Arial"/>
          <w:b/>
          <w:noProof/>
          <w:sz w:val="26"/>
          <w:u w:val="single"/>
          <w:lang w:eastAsia="zh-HK"/>
        </w:rPr>
        <w:t xml:space="preserve">pplicable </w:t>
      </w:r>
      <w:r>
        <w:rPr>
          <w:rFonts w:cs="Arial" w:hint="eastAsia"/>
          <w:b/>
          <w:noProof/>
          <w:sz w:val="26"/>
          <w:u w:val="single"/>
          <w:lang w:eastAsia="zh-HK"/>
        </w:rPr>
        <w:t>r</w:t>
      </w:r>
      <w:r w:rsidRPr="00DB3FEC">
        <w:rPr>
          <w:rFonts w:cs="Arial"/>
          <w:b/>
          <w:noProof/>
          <w:sz w:val="26"/>
          <w:u w:val="single"/>
          <w:lang w:eastAsia="zh-HK"/>
        </w:rPr>
        <w:t xml:space="preserve">ules and </w:t>
      </w:r>
      <w:r>
        <w:rPr>
          <w:rFonts w:cs="Arial" w:hint="eastAsia"/>
          <w:b/>
          <w:noProof/>
          <w:sz w:val="26"/>
          <w:u w:val="single"/>
          <w:lang w:eastAsia="zh-HK"/>
        </w:rPr>
        <w:t>g</w:t>
      </w:r>
      <w:r w:rsidRPr="00DB3FEC">
        <w:rPr>
          <w:rFonts w:cs="Arial"/>
          <w:b/>
          <w:noProof/>
          <w:sz w:val="26"/>
          <w:u w:val="single"/>
          <w:lang w:eastAsia="zh-HK"/>
        </w:rPr>
        <w:t>uidelines</w:t>
      </w:r>
    </w:p>
    <w:p w:rsidR="00B27FD2" w:rsidRDefault="00B27FD2" w:rsidP="00D86E22">
      <w:pPr>
        <w:rPr>
          <w:rFonts w:cs="Arial"/>
          <w:noProof/>
          <w:lang w:eastAsia="zh-HK"/>
        </w:rPr>
      </w:pPr>
    </w:p>
    <w:p w:rsidR="00B27FD2" w:rsidRPr="004004DF" w:rsidRDefault="00B27FD2" w:rsidP="00D86E22">
      <w:pPr>
        <w:rPr>
          <w:rFonts w:cs="Arial"/>
          <w:noProof/>
          <w:lang w:eastAsia="zh-HK"/>
        </w:rPr>
      </w:pPr>
    </w:p>
    <w:p w:rsidR="00B27FD2" w:rsidRPr="004004DF" w:rsidRDefault="00B27FD2" w:rsidP="00D86E22">
      <w:pPr>
        <w:rPr>
          <w:rFonts w:cs="Arial"/>
          <w:noProof/>
          <w:lang w:eastAsia="zh-HK"/>
        </w:rPr>
      </w:pPr>
      <w:r>
        <w:rPr>
          <w:rFonts w:cs="Arial"/>
          <w:noProof/>
          <w:lang w:eastAsia="zh-HK"/>
        </w:rPr>
        <w:t xml:space="preserve">The Table below depicts </w:t>
      </w:r>
      <w:r w:rsidRPr="004004DF">
        <w:rPr>
          <w:rFonts w:cs="Arial"/>
          <w:noProof/>
          <w:lang w:eastAsia="zh-HK"/>
        </w:rPr>
        <w:t>the major government record</w:t>
      </w:r>
      <w:r>
        <w:rPr>
          <w:rFonts w:cs="Arial"/>
          <w:noProof/>
          <w:lang w:eastAsia="zh-HK"/>
        </w:rPr>
        <w:t>s</w:t>
      </w:r>
      <w:r w:rsidRPr="004004DF">
        <w:rPr>
          <w:rFonts w:cs="Arial"/>
          <w:noProof/>
          <w:lang w:eastAsia="zh-HK"/>
        </w:rPr>
        <w:t xml:space="preserve"> management processes involved in a record</w:t>
      </w:r>
      <w:r>
        <w:rPr>
          <w:rFonts w:cs="Arial"/>
          <w:noProof/>
          <w:lang w:eastAsia="zh-HK"/>
        </w:rPr>
        <w:t>'</w:t>
      </w:r>
      <w:r w:rsidRPr="004004DF">
        <w:rPr>
          <w:rFonts w:cs="Arial"/>
          <w:noProof/>
          <w:lang w:eastAsia="zh-HK"/>
        </w:rPr>
        <w:t>s life cycle and the applicable administrative rules and guidelines.  Although the processes are presented in a sequence, some of them</w:t>
      </w:r>
      <w:r>
        <w:rPr>
          <w:rFonts w:cs="Arial"/>
          <w:noProof/>
          <w:lang w:eastAsia="zh-HK"/>
        </w:rPr>
        <w:t>, however,</w:t>
      </w:r>
      <w:r w:rsidRPr="004004DF">
        <w:rPr>
          <w:rFonts w:cs="Arial"/>
          <w:noProof/>
          <w:lang w:eastAsia="zh-HK"/>
        </w:rPr>
        <w:t xml:space="preserve"> may take place simultaneously</w:t>
      </w:r>
      <w:r>
        <w:rPr>
          <w:rFonts w:cs="Arial"/>
          <w:noProof/>
          <w:lang w:eastAsia="zh-HK"/>
        </w:rPr>
        <w:t>.  For example,</w:t>
      </w:r>
      <w:r w:rsidRPr="004004DF">
        <w:rPr>
          <w:rFonts w:cs="Arial"/>
          <w:noProof/>
          <w:lang w:eastAsia="zh-HK"/>
        </w:rPr>
        <w:t xml:space="preserve"> records creation and classification are often carried out as an integrated series of actions.  </w:t>
      </w:r>
      <w:r>
        <w:rPr>
          <w:rFonts w:cs="Arial"/>
          <w:noProof/>
          <w:lang w:eastAsia="zh-HK"/>
        </w:rPr>
        <w:t>M</w:t>
      </w:r>
      <w:r w:rsidRPr="004004DF">
        <w:rPr>
          <w:rFonts w:cs="Arial"/>
          <w:noProof/>
          <w:lang w:eastAsia="zh-HK"/>
        </w:rPr>
        <w:t>andatory requirements set out in GC09 applicable to the relevant processes are</w:t>
      </w:r>
      <w:r>
        <w:rPr>
          <w:rFonts w:cs="Arial"/>
          <w:noProof/>
          <w:lang w:eastAsia="zh-HK"/>
        </w:rPr>
        <w:t xml:space="preserve"> </w:t>
      </w:r>
      <w:r w:rsidRPr="004004DF">
        <w:rPr>
          <w:rFonts w:cs="Arial"/>
          <w:noProof/>
          <w:lang w:eastAsia="zh-HK"/>
        </w:rPr>
        <w:t>underlin</w:t>
      </w:r>
      <w:r>
        <w:rPr>
          <w:rFonts w:cs="Arial"/>
          <w:noProof/>
          <w:lang w:eastAsia="zh-HK"/>
        </w:rPr>
        <w:t>ed</w:t>
      </w:r>
      <w:r w:rsidRPr="004004DF">
        <w:rPr>
          <w:rFonts w:cs="Arial"/>
          <w:noProof/>
          <w:lang w:eastAsia="zh-HK"/>
        </w:rPr>
        <w:t xml:space="preserve"> in th</w:t>
      </w:r>
      <w:r>
        <w:rPr>
          <w:rFonts w:cs="Arial"/>
          <w:noProof/>
          <w:lang w:eastAsia="zh-HK"/>
        </w:rPr>
        <w:t>is</w:t>
      </w:r>
      <w:r w:rsidRPr="004004DF">
        <w:rPr>
          <w:rFonts w:cs="Arial"/>
          <w:noProof/>
          <w:lang w:eastAsia="zh-HK"/>
        </w:rPr>
        <w:t xml:space="preserve"> Table.  Abbreviations used in this Table are the same as those in the List of </w:t>
      </w:r>
      <w:r>
        <w:rPr>
          <w:rFonts w:cs="Arial"/>
          <w:noProof/>
          <w:lang w:eastAsia="zh-HK"/>
        </w:rPr>
        <w:t>Abbreviation</w:t>
      </w:r>
      <w:r w:rsidRPr="004004DF">
        <w:rPr>
          <w:rFonts w:cs="Arial"/>
          <w:noProof/>
          <w:lang w:eastAsia="zh-HK"/>
        </w:rPr>
        <w:t>s</w:t>
      </w:r>
      <w:r>
        <w:rPr>
          <w:rFonts w:cs="Arial"/>
          <w:noProof/>
          <w:lang w:eastAsia="zh-HK"/>
        </w:rPr>
        <w:t xml:space="preserve"> and the List of Major Rules and Guidelines on Public Records Management in Hong Kong.</w:t>
      </w:r>
      <w:r w:rsidRPr="004004DF">
        <w:rPr>
          <w:rFonts w:cs="Arial"/>
          <w:noProof/>
          <w:lang w:eastAsia="zh-HK"/>
        </w:rPr>
        <w:t xml:space="preserve"> </w:t>
      </w:r>
      <w:r>
        <w:rPr>
          <w:rFonts w:cs="Arial"/>
          <w:noProof/>
          <w:lang w:eastAsia="zh-HK"/>
        </w:rPr>
        <w:t xml:space="preserve"> Information in this Annex is supplied by the GRS.</w:t>
      </w:r>
    </w:p>
    <w:p w:rsidR="00B27FD2" w:rsidRPr="004004DF" w:rsidRDefault="00B27FD2" w:rsidP="00D86E22">
      <w:pPr>
        <w:ind w:left="425"/>
        <w:rPr>
          <w:rFonts w:cs="Arial"/>
          <w:noProof/>
          <w:lang w:eastAsia="zh-HK"/>
        </w:rPr>
      </w:pPr>
    </w:p>
    <w:p w:rsidR="00B27FD2" w:rsidRPr="004004DF" w:rsidRDefault="00B27FD2" w:rsidP="00D86E22">
      <w:pPr>
        <w:pStyle w:val="ListParagraph"/>
        <w:widowControl/>
        <w:numPr>
          <w:ilvl w:val="1"/>
          <w:numId w:val="54"/>
        </w:numPr>
        <w:tabs>
          <w:tab w:val="clear" w:pos="1418"/>
        </w:tabs>
        <w:adjustRightInd/>
        <w:ind w:hanging="720"/>
        <w:jc w:val="left"/>
        <w:rPr>
          <w:rFonts w:cs="Arial"/>
          <w:b/>
          <w:noProof/>
          <w:lang w:eastAsia="zh-HK"/>
        </w:rPr>
      </w:pPr>
      <w:r w:rsidRPr="004004DF">
        <w:rPr>
          <w:rFonts w:cs="Arial"/>
          <w:b/>
          <w:noProof/>
        </w:rPr>
        <w:t>Creation</w:t>
      </w:r>
    </w:p>
    <w:p w:rsidR="00B27FD2" w:rsidRPr="004004DF" w:rsidRDefault="00B27FD2" w:rsidP="00D86E22">
      <w:pPr>
        <w:ind w:leftChars="75" w:left="800" w:hangingChars="258" w:hanging="620"/>
        <w:rPr>
          <w:rFonts w:cs="Arial"/>
          <w:b/>
          <w:noProof/>
          <w:lang w:eastAsia="zh-HK"/>
        </w:rPr>
      </w:pPr>
    </w:p>
    <w:tbl>
      <w:tblPr>
        <w:tblW w:w="8370" w:type="dxa"/>
        <w:tblInd w:w="108" w:type="dxa"/>
        <w:tblLook w:val="01E0" w:firstRow="1" w:lastRow="1" w:firstColumn="1" w:lastColumn="1" w:noHBand="0" w:noVBand="0"/>
      </w:tblPr>
      <w:tblGrid>
        <w:gridCol w:w="2880"/>
        <w:gridCol w:w="5490"/>
      </w:tblGrid>
      <w:tr w:rsidR="00B27FD2" w:rsidRPr="004004DF" w:rsidTr="00D86E22">
        <w:trPr>
          <w:tblHeader/>
        </w:trPr>
        <w:tc>
          <w:tcPr>
            <w:tcW w:w="2880" w:type="dxa"/>
            <w:shd w:val="clear" w:color="auto" w:fill="auto"/>
          </w:tcPr>
          <w:p w:rsidR="00B27FD2" w:rsidRPr="004004DF" w:rsidRDefault="00B27FD2" w:rsidP="00D86E22">
            <w:pPr>
              <w:spacing w:after="120"/>
              <w:rPr>
                <w:rFonts w:cs="Arial"/>
                <w:b/>
                <w:u w:val="single"/>
                <w:lang w:eastAsia="zh-HK"/>
              </w:rPr>
            </w:pPr>
            <w:r w:rsidRPr="004004DF">
              <w:rPr>
                <w:rFonts w:cs="Arial"/>
                <w:b/>
                <w:u w:val="single"/>
                <w:lang w:eastAsia="zh-HK"/>
              </w:rPr>
              <w:t>Major Processes</w:t>
            </w:r>
          </w:p>
        </w:tc>
        <w:tc>
          <w:tcPr>
            <w:tcW w:w="5490" w:type="dxa"/>
            <w:shd w:val="clear" w:color="auto" w:fill="auto"/>
          </w:tcPr>
          <w:p w:rsidR="00B27FD2" w:rsidRPr="004004DF" w:rsidRDefault="00B27FD2" w:rsidP="00D86E22">
            <w:pPr>
              <w:spacing w:after="120"/>
              <w:rPr>
                <w:rFonts w:cs="Arial"/>
                <w:b/>
                <w:lang w:eastAsia="zh-HK"/>
              </w:rPr>
            </w:pPr>
            <w:r w:rsidRPr="004004DF">
              <w:rPr>
                <w:rFonts w:cs="Arial"/>
                <w:b/>
                <w:u w:val="single"/>
                <w:lang w:eastAsia="zh-HK"/>
              </w:rPr>
              <w:t xml:space="preserve">Applicable </w:t>
            </w:r>
            <w:r>
              <w:rPr>
                <w:rFonts w:cs="Arial"/>
                <w:b/>
                <w:u w:val="single"/>
                <w:lang w:eastAsia="zh-HK"/>
              </w:rPr>
              <w:t>General Circulars</w:t>
            </w:r>
            <w:r w:rsidRPr="004004DF">
              <w:rPr>
                <w:rFonts w:cs="Arial"/>
                <w:b/>
                <w:u w:val="single"/>
                <w:lang w:eastAsia="zh-HK"/>
              </w:rPr>
              <w:t xml:space="preserve"> / </w:t>
            </w:r>
            <w:r>
              <w:rPr>
                <w:rFonts w:cs="Arial"/>
                <w:b/>
                <w:u w:val="single"/>
                <w:lang w:eastAsia="zh-HK"/>
              </w:rPr>
              <w:t xml:space="preserve">Circular </w:t>
            </w:r>
            <w:r>
              <w:rPr>
                <w:rFonts w:cs="Arial" w:hint="eastAsia"/>
                <w:b/>
                <w:u w:val="single"/>
                <w:lang w:eastAsia="zh-HK"/>
              </w:rPr>
              <w:t>Memoranda</w:t>
            </w:r>
            <w:r>
              <w:rPr>
                <w:rFonts w:cs="Arial"/>
                <w:b/>
                <w:u w:val="single"/>
                <w:lang w:eastAsia="zh-HK"/>
              </w:rPr>
              <w:t xml:space="preserve"> </w:t>
            </w:r>
            <w:r w:rsidRPr="004004DF">
              <w:rPr>
                <w:rFonts w:cs="Arial"/>
                <w:b/>
                <w:u w:val="single"/>
                <w:lang w:eastAsia="zh-HK"/>
              </w:rPr>
              <w:t>/ Guidelines</w:t>
            </w:r>
          </w:p>
        </w:tc>
      </w:tr>
      <w:tr w:rsidR="00B27FD2" w:rsidRPr="004004DF" w:rsidTr="00D86E22">
        <w:tc>
          <w:tcPr>
            <w:tcW w:w="2880" w:type="dxa"/>
            <w:shd w:val="clear" w:color="auto" w:fill="auto"/>
          </w:tcPr>
          <w:p w:rsidR="00B27FD2" w:rsidRPr="004004DF" w:rsidRDefault="00764270" w:rsidP="00D86E22">
            <w:pPr>
              <w:rPr>
                <w:rFonts w:cs="Arial"/>
              </w:rPr>
            </w:pPr>
            <w:r>
              <w:rPr>
                <w:noProof/>
                <w:snapToGrid/>
              </w:rPr>
              <mc:AlternateContent>
                <mc:Choice Requires="wps">
                  <w:drawing>
                    <wp:anchor distT="0" distB="0" distL="114300" distR="114300" simplePos="0" relativeHeight="251639296" behindDoc="0" locked="0" layoutInCell="1" allowOverlap="1">
                      <wp:simplePos x="0" y="0"/>
                      <wp:positionH relativeFrom="column">
                        <wp:posOffset>-87630</wp:posOffset>
                      </wp:positionH>
                      <wp:positionV relativeFrom="paragraph">
                        <wp:posOffset>65405</wp:posOffset>
                      </wp:positionV>
                      <wp:extent cx="1847850" cy="923925"/>
                      <wp:effectExtent l="0" t="0" r="19050" b="28575"/>
                      <wp:wrapNone/>
                      <wp:docPr id="3"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23925"/>
                              </a:xfrm>
                              <a:prstGeom prst="rect">
                                <a:avLst/>
                              </a:prstGeom>
                              <a:solidFill>
                                <a:srgbClr val="FFFFFF"/>
                              </a:solidFill>
                              <a:ln w="19050">
                                <a:solidFill>
                                  <a:srgbClr val="000000"/>
                                </a:solidFill>
                                <a:miter lim="800000"/>
                                <a:headEnd/>
                                <a:tailEnd/>
                              </a:ln>
                            </wps:spPr>
                            <wps:txbx>
                              <w:txbxContent>
                                <w:p w:rsidR="009A4F49" w:rsidRPr="0056591B" w:rsidRDefault="009A4F49" w:rsidP="00440249">
                                  <w:pPr>
                                    <w:jc w:val="center"/>
                                    <w:rPr>
                                      <w:rFonts w:cs="Arial"/>
                                      <w:b/>
                                      <w:sz w:val="22"/>
                                      <w:lang w:eastAsia="zh-HK"/>
                                    </w:rPr>
                                  </w:pPr>
                                  <w:r w:rsidRPr="0056591B">
                                    <w:rPr>
                                      <w:rFonts w:cs="Arial"/>
                                      <w:b/>
                                      <w:sz w:val="22"/>
                                      <w:lang w:eastAsia="zh-HK"/>
                                    </w:rPr>
                                    <w:t>Capture of records into the designated departmental recordkeeping system and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8" type="#_x0000_t202" style="position:absolute;left:0;text-align:left;margin-left:-6.9pt;margin-top:5.15pt;width:145.5pt;height:7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" strokeweight="1.5pt">
                      <v:textbox>
                        <w:txbxContent>
                          <w:p w:rsidR="009A4F49" w:rsidRPr="0056591B" w:rsidRDefault="009A4F49" w:rsidP="00440249">
                            <w:pPr>
                              <w:jc w:val="center"/>
                              <w:rPr>
                                <w:rFonts w:cs="Arial"/>
                                <w:b/>
                                <w:sz w:val="22"/>
                                <w:lang w:eastAsia="zh-HK"/>
                              </w:rPr>
                            </w:pPr>
                            <w:r w:rsidRPr="0056591B">
                              <w:rPr>
                                <w:rFonts w:cs="Arial"/>
                                <w:b/>
                                <w:sz w:val="22"/>
                                <w:lang w:eastAsia="zh-HK"/>
                              </w:rPr>
                              <w:t>Capture of records into the designated departmental recordkeeping system and registration</w:t>
                            </w:r>
                          </w:p>
                        </w:txbxContent>
                      </v:textbox>
                    </v:shape>
                  </w:pict>
                </mc:Fallback>
              </mc:AlternateContent>
            </w:r>
          </w:p>
          <w:p w:rsidR="00B27FD2" w:rsidRPr="004004DF" w:rsidRDefault="00764270" w:rsidP="00D86E22">
            <w:pPr>
              <w:rPr>
                <w:rFonts w:cs="Arial"/>
              </w:rPr>
            </w:pPr>
            <w:r>
              <w:rPr>
                <w:noProof/>
                <w:snapToGrid/>
              </w:rPr>
              <mc:AlternateContent>
                <mc:Choice Requires="wps">
                  <w:drawing>
                    <wp:anchor distT="0" distB="0" distL="114300" distR="114300" simplePos="0" relativeHeight="251676160" behindDoc="0" locked="0" layoutInCell="1" allowOverlap="1">
                      <wp:simplePos x="0" y="0"/>
                      <wp:positionH relativeFrom="column">
                        <wp:posOffset>531495</wp:posOffset>
                      </wp:positionH>
                      <wp:positionV relativeFrom="paragraph">
                        <wp:posOffset>814070</wp:posOffset>
                      </wp:positionV>
                      <wp:extent cx="476250" cy="2219325"/>
                      <wp:effectExtent l="19050" t="0" r="19050" b="47625"/>
                      <wp:wrapNone/>
                      <wp:docPr id="4" name="向下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2193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6" o:spid="_x0000_s1026" type="#_x0000_t67" style="position:absolute;margin-left:41.85pt;margin-top:64.1pt;width:37.5pt;height:17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" adj="19282" fillcolor="window" strokecolor="windowText" strokeweight="2pt">
                      <v:path arrowok="t"/>
                    </v:shape>
                  </w:pict>
                </mc:Fallback>
              </mc:AlternateContent>
            </w:r>
          </w:p>
        </w:tc>
        <w:tc>
          <w:tcPr>
            <w:tcW w:w="5490" w:type="dxa"/>
            <w:shd w:val="clear" w:color="auto" w:fill="auto"/>
          </w:tcPr>
          <w:p w:rsidR="00B27FD2" w:rsidRPr="004004DF" w:rsidRDefault="00B27FD2" w:rsidP="00D86E22">
            <w:pPr>
              <w:widowControl/>
              <w:numPr>
                <w:ilvl w:val="0"/>
                <w:numId w:val="52"/>
              </w:numPr>
              <w:tabs>
                <w:tab w:val="clear" w:pos="1418"/>
              </w:tabs>
              <w:adjustRightInd/>
              <w:spacing w:before="60" w:after="60"/>
              <w:ind w:left="475"/>
              <w:rPr>
                <w:rFonts w:cs="Arial"/>
                <w:lang w:eastAsia="zh-HK"/>
              </w:rPr>
            </w:pPr>
            <w:r w:rsidRPr="004004DF">
              <w:rPr>
                <w:rFonts w:cs="Arial"/>
                <w:b/>
              </w:rPr>
              <w:t>GCCR</w:t>
            </w:r>
            <w:r w:rsidRPr="004004DF">
              <w:rPr>
                <w:rFonts w:cs="Arial"/>
                <w:b/>
                <w:lang w:eastAsia="zh-HK"/>
              </w:rPr>
              <w:t xml:space="preserve"> (on creation and collection of records)</w:t>
            </w:r>
            <w:r>
              <w:rPr>
                <w:rFonts w:cs="Arial"/>
                <w:lang w:eastAsia="zh-HK"/>
              </w:rPr>
              <w:t>:</w:t>
            </w:r>
          </w:p>
          <w:p w:rsidR="00B27FD2" w:rsidRPr="004004DF" w:rsidRDefault="00B27FD2" w:rsidP="00D86E22">
            <w:pPr>
              <w:widowControl/>
              <w:numPr>
                <w:ilvl w:val="1"/>
                <w:numId w:val="52"/>
              </w:numPr>
              <w:tabs>
                <w:tab w:val="clear" w:pos="1418"/>
              </w:tabs>
              <w:adjustRightInd/>
              <w:spacing w:before="60" w:after="60"/>
              <w:ind w:left="475"/>
              <w:rPr>
                <w:rFonts w:cs="Arial"/>
                <w:lang w:eastAsia="zh-HK"/>
              </w:rPr>
            </w:pPr>
            <w:r w:rsidRPr="004004DF">
              <w:rPr>
                <w:rFonts w:cs="Arial"/>
                <w:lang w:eastAsia="zh-HK"/>
              </w:rPr>
              <w:t>Records should be created or collected to meet operational, policy, legal and financial purposes; and document accurately and adequately government functions, policies, procedures, decisions and transactions to serve as reliable evidence.</w:t>
            </w:r>
          </w:p>
          <w:p w:rsidR="00B27FD2" w:rsidRPr="004004DF" w:rsidRDefault="00B27FD2" w:rsidP="00D86E22">
            <w:pPr>
              <w:widowControl/>
              <w:numPr>
                <w:ilvl w:val="1"/>
                <w:numId w:val="52"/>
              </w:numPr>
              <w:tabs>
                <w:tab w:val="clear" w:pos="1418"/>
              </w:tabs>
              <w:adjustRightInd/>
              <w:spacing w:before="60" w:after="60"/>
              <w:ind w:left="475"/>
              <w:rPr>
                <w:rFonts w:cs="Arial"/>
                <w:lang w:eastAsia="zh-HK"/>
              </w:rPr>
            </w:pPr>
            <w:r w:rsidRPr="004004DF">
              <w:rPr>
                <w:rFonts w:cs="Arial"/>
                <w:lang w:eastAsia="zh-HK"/>
              </w:rPr>
              <w:t>As a systematic approach, B/Ds should develop business rules to document decisions as to what records are to be created and kept.</w:t>
            </w:r>
          </w:p>
          <w:p w:rsidR="00B27FD2" w:rsidRDefault="00B27FD2" w:rsidP="00D86E22">
            <w:pPr>
              <w:widowControl/>
              <w:numPr>
                <w:ilvl w:val="0"/>
                <w:numId w:val="52"/>
              </w:numPr>
              <w:tabs>
                <w:tab w:val="clear" w:pos="1418"/>
              </w:tabs>
              <w:adjustRightInd/>
              <w:spacing w:before="60" w:after="60"/>
              <w:ind w:left="475"/>
              <w:rPr>
                <w:rFonts w:cs="Arial"/>
                <w:u w:val="single"/>
                <w:lang w:eastAsia="zh-HK"/>
              </w:rPr>
            </w:pPr>
            <w:r w:rsidRPr="004004DF">
              <w:rPr>
                <w:rFonts w:cs="Arial"/>
                <w:b/>
                <w:u w:val="single"/>
                <w:lang w:eastAsia="zh-HK"/>
              </w:rPr>
              <w:t>GC09 (on print-and-file)</w:t>
            </w:r>
            <w:r w:rsidRPr="004004DF">
              <w:rPr>
                <w:rFonts w:cs="Arial"/>
                <w:u w:val="single"/>
                <w:lang w:eastAsia="zh-HK"/>
              </w:rPr>
              <w:t xml:space="preserve">: Unless otherwise agreed by GRS, e-mail correspondence should be </w:t>
            </w:r>
            <w:r>
              <w:rPr>
                <w:rFonts w:cs="Arial"/>
                <w:u w:val="single"/>
                <w:lang w:eastAsia="zh-HK"/>
              </w:rPr>
              <w:t>"</w:t>
            </w:r>
            <w:r w:rsidRPr="004004DF">
              <w:rPr>
                <w:rFonts w:cs="Arial"/>
                <w:u w:val="single"/>
                <w:lang w:eastAsia="zh-HK"/>
              </w:rPr>
              <w:t>printed-and-filed</w:t>
            </w:r>
            <w:r>
              <w:rPr>
                <w:rFonts w:cs="Arial"/>
                <w:u w:val="single"/>
                <w:lang w:eastAsia="zh-HK"/>
              </w:rPr>
              <w:t>"</w:t>
            </w:r>
            <w:r w:rsidRPr="004004DF">
              <w:rPr>
                <w:rFonts w:cs="Arial"/>
                <w:u w:val="single"/>
                <w:lang w:eastAsia="zh-HK"/>
              </w:rPr>
              <w:t xml:space="preserve"> for record purposes.</w:t>
            </w:r>
          </w:p>
          <w:p w:rsidR="00B27FD2" w:rsidRPr="004004DF" w:rsidRDefault="00B27FD2" w:rsidP="00D86E22">
            <w:pPr>
              <w:spacing w:before="60" w:after="60"/>
              <w:ind w:left="475"/>
              <w:rPr>
                <w:rFonts w:cs="Arial"/>
                <w:u w:val="single"/>
                <w:lang w:eastAsia="zh-HK"/>
              </w:rPr>
            </w:pPr>
          </w:p>
        </w:tc>
      </w:tr>
      <w:tr w:rsidR="00B27FD2" w:rsidRPr="004004DF" w:rsidTr="00D86E22">
        <w:tc>
          <w:tcPr>
            <w:tcW w:w="2880" w:type="dxa"/>
            <w:shd w:val="clear" w:color="auto" w:fill="auto"/>
          </w:tcPr>
          <w:p w:rsidR="00B27FD2" w:rsidRPr="004004DF" w:rsidRDefault="00B27FD2" w:rsidP="00D86E22">
            <w:pPr>
              <w:rPr>
                <w:rFonts w:cs="Arial"/>
                <w:noProof/>
                <w:highlight w:val="yellow"/>
              </w:rPr>
            </w:pPr>
          </w:p>
        </w:tc>
        <w:tc>
          <w:tcPr>
            <w:tcW w:w="5490" w:type="dxa"/>
            <w:shd w:val="clear" w:color="auto" w:fill="auto"/>
          </w:tcPr>
          <w:p w:rsidR="00B27FD2" w:rsidRPr="004004DF" w:rsidRDefault="00B27FD2" w:rsidP="00D86E22">
            <w:pPr>
              <w:widowControl/>
              <w:numPr>
                <w:ilvl w:val="0"/>
                <w:numId w:val="52"/>
              </w:numPr>
              <w:tabs>
                <w:tab w:val="clear" w:pos="1418"/>
              </w:tabs>
              <w:adjustRightInd/>
              <w:spacing w:before="60" w:after="60"/>
              <w:ind w:left="475" w:hanging="475"/>
              <w:rPr>
                <w:rFonts w:cs="Arial"/>
                <w:u w:val="single"/>
                <w:lang w:eastAsia="zh-HK"/>
              </w:rPr>
            </w:pPr>
            <w:r w:rsidRPr="004004DF">
              <w:rPr>
                <w:rFonts w:cs="Arial"/>
                <w:b/>
                <w:u w:val="single"/>
              </w:rPr>
              <w:t>GC09</w:t>
            </w:r>
            <w:r w:rsidRPr="004004DF">
              <w:rPr>
                <w:rFonts w:cs="Arial"/>
                <w:b/>
                <w:u w:val="single"/>
                <w:lang w:eastAsia="zh-HK"/>
              </w:rPr>
              <w:t xml:space="preserve"> (on records inventory)</w:t>
            </w:r>
            <w:r w:rsidRPr="004004DF">
              <w:rPr>
                <w:rFonts w:cs="Arial"/>
                <w:u w:val="single"/>
              </w:rPr>
              <w:t>:</w:t>
            </w:r>
            <w:r w:rsidRPr="004004DF">
              <w:rPr>
                <w:rFonts w:cs="Arial"/>
                <w:u w:val="single"/>
                <w:lang w:eastAsia="zh-HK"/>
              </w:rPr>
              <w:t xml:space="preserve"> B/Ds should prepare and maintain an accurate records inventory.</w:t>
            </w:r>
          </w:p>
          <w:p w:rsidR="00B27FD2" w:rsidRPr="005E062A" w:rsidRDefault="00B27FD2" w:rsidP="00D86E22">
            <w:pPr>
              <w:widowControl/>
              <w:numPr>
                <w:ilvl w:val="0"/>
                <w:numId w:val="52"/>
              </w:numPr>
              <w:tabs>
                <w:tab w:val="clear" w:pos="1418"/>
              </w:tabs>
              <w:adjustRightInd/>
              <w:spacing w:before="60" w:after="60"/>
              <w:ind w:left="475" w:hanging="475"/>
              <w:rPr>
                <w:rFonts w:cs="Arial"/>
                <w:b/>
                <w:lang w:eastAsia="zh-HK"/>
              </w:rPr>
            </w:pPr>
            <w:r>
              <w:rPr>
                <w:rFonts w:cs="Arial" w:hint="eastAsia"/>
                <w:b/>
                <w:lang w:eastAsia="zh-HK"/>
              </w:rPr>
              <w:t>EDRMP</w:t>
            </w:r>
            <w:r w:rsidRPr="004004DF">
              <w:rPr>
                <w:rFonts w:cs="Arial"/>
                <w:lang w:eastAsia="zh-HK"/>
              </w:rPr>
              <w:t xml:space="preserve">: A record is registered when it is captured into the recordkeeping system, providing evidence that it has been created/collected. </w:t>
            </w:r>
          </w:p>
          <w:p w:rsidR="00B27FD2" w:rsidRPr="004004DF" w:rsidRDefault="00B27FD2" w:rsidP="00D86E22">
            <w:pPr>
              <w:spacing w:before="60" w:after="60"/>
              <w:ind w:left="475"/>
              <w:rPr>
                <w:rFonts w:cs="Arial"/>
                <w:b/>
                <w:lang w:eastAsia="zh-HK"/>
              </w:rPr>
            </w:pPr>
          </w:p>
        </w:tc>
      </w:tr>
      <w:tr w:rsidR="00B27FD2" w:rsidRPr="004004DF" w:rsidTr="00D86E22">
        <w:trPr>
          <w:cantSplit/>
          <w:trHeight w:val="4815"/>
        </w:trPr>
        <w:tc>
          <w:tcPr>
            <w:tcW w:w="2880" w:type="dxa"/>
            <w:vMerge w:val="restart"/>
            <w:shd w:val="clear" w:color="auto" w:fill="auto"/>
          </w:tcPr>
          <w:p w:rsidR="00B27FD2" w:rsidRPr="004004DF" w:rsidRDefault="00764270" w:rsidP="00D86E22">
            <w:pPr>
              <w:rPr>
                <w:rFonts w:cs="Arial"/>
              </w:rPr>
            </w:pPr>
            <w:r>
              <w:rPr>
                <w:noProof/>
                <w:snapToGrid/>
              </w:rPr>
              <w:lastRenderedPageBreak/>
              <mc:AlternateContent>
                <mc:Choice Requires="wps">
                  <w:drawing>
                    <wp:anchor distT="0" distB="0" distL="114300" distR="114300" simplePos="0" relativeHeight="251677184" behindDoc="0" locked="0" layoutInCell="1" allowOverlap="1">
                      <wp:simplePos x="0" y="0"/>
                      <wp:positionH relativeFrom="column">
                        <wp:posOffset>-68580</wp:posOffset>
                      </wp:positionH>
                      <wp:positionV relativeFrom="paragraph">
                        <wp:posOffset>62865</wp:posOffset>
                      </wp:positionV>
                      <wp:extent cx="1828800" cy="636270"/>
                      <wp:effectExtent l="0" t="0" r="19050" b="11430"/>
                      <wp:wrapNone/>
                      <wp:docPr id="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6270"/>
                              </a:xfrm>
                              <a:prstGeom prst="rect">
                                <a:avLst/>
                              </a:prstGeom>
                              <a:solidFill>
                                <a:srgbClr val="FFFFFF"/>
                              </a:solidFill>
                              <a:ln w="19050">
                                <a:solidFill>
                                  <a:srgbClr val="000000"/>
                                </a:solidFill>
                                <a:miter lim="800000"/>
                                <a:headEnd/>
                                <a:tailEnd/>
                              </a:ln>
                            </wps:spPr>
                            <wps:txbx>
                              <w:txbxContent>
                                <w:p w:rsidR="009A4F49" w:rsidRPr="004004DF" w:rsidRDefault="009A4F49" w:rsidP="00440249">
                                  <w:pPr>
                                    <w:jc w:val="center"/>
                                    <w:rPr>
                                      <w:rFonts w:cs="Arial"/>
                                      <w:b/>
                                      <w:sz w:val="26"/>
                                      <w:szCs w:val="26"/>
                                    </w:rPr>
                                  </w:pPr>
                                  <w:r w:rsidRPr="00DB3FEC">
                                    <w:rPr>
                                      <w:rFonts w:cs="Arial"/>
                                      <w:b/>
                                      <w:szCs w:val="26"/>
                                    </w:rPr>
                                    <w:t>Organi</w:t>
                                  </w:r>
                                  <w:r w:rsidRPr="00DB3FEC">
                                    <w:rPr>
                                      <w:rFonts w:cs="Arial"/>
                                      <w:b/>
                                      <w:szCs w:val="26"/>
                                      <w:lang w:eastAsia="zh-HK"/>
                                    </w:rPr>
                                    <w:t>sation of</w:t>
                                  </w:r>
                                  <w:r w:rsidRPr="00DB3FEC">
                                    <w:rPr>
                                      <w:rFonts w:cs="Arial"/>
                                      <w:b/>
                                      <w:szCs w:val="26"/>
                                    </w:rPr>
                                    <w:t xml:space="preserve"> records according to classification </w:t>
                                  </w:r>
                                  <w:r w:rsidRPr="004004DF">
                                    <w:rPr>
                                      <w:rFonts w:cs="Arial"/>
                                      <w:b/>
                                      <w:sz w:val="26"/>
                                      <w:szCs w:val="26"/>
                                    </w:rPr>
                                    <w:t>schemes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9" type="#_x0000_t202" style="position:absolute;left:0;text-align:left;margin-left:-5.4pt;margin-top:4.95pt;width:2in;height:5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" strokeweight="1.5pt">
                      <v:textbox>
                        <w:txbxContent>
                          <w:p w:rsidR="009A4F49" w:rsidRPr="004004DF" w:rsidRDefault="009A4F49" w:rsidP="00440249">
                            <w:pPr>
                              <w:jc w:val="center"/>
                              <w:rPr>
                                <w:rFonts w:cs="Arial"/>
                                <w:b/>
                                <w:sz w:val="26"/>
                                <w:szCs w:val="26"/>
                              </w:rPr>
                            </w:pPr>
                            <w:r w:rsidRPr="00DB3FEC">
                              <w:rPr>
                                <w:rFonts w:cs="Arial"/>
                                <w:b/>
                                <w:szCs w:val="26"/>
                              </w:rPr>
                              <w:t>Organi</w:t>
                            </w:r>
                            <w:r w:rsidRPr="00DB3FEC">
                              <w:rPr>
                                <w:rFonts w:cs="Arial"/>
                                <w:b/>
                                <w:szCs w:val="26"/>
                                <w:lang w:eastAsia="zh-HK"/>
                              </w:rPr>
                              <w:t>sation of</w:t>
                            </w:r>
                            <w:r w:rsidRPr="00DB3FEC">
                              <w:rPr>
                                <w:rFonts w:cs="Arial"/>
                                <w:b/>
                                <w:szCs w:val="26"/>
                              </w:rPr>
                              <w:t xml:space="preserve"> records according to classification </w:t>
                            </w:r>
                            <w:r w:rsidRPr="004004DF">
                              <w:rPr>
                                <w:rFonts w:cs="Arial"/>
                                <w:b/>
                                <w:sz w:val="26"/>
                                <w:szCs w:val="26"/>
                              </w:rPr>
                              <w:t>schemes</w:t>
                            </w:r>
                          </w:p>
                        </w:txbxContent>
                      </v:textbox>
                    </v:shape>
                  </w:pict>
                </mc:Fallback>
              </mc:AlternateContent>
            </w:r>
          </w:p>
          <w:p w:rsidR="00B27FD2" w:rsidRPr="004004DF" w:rsidRDefault="00B27FD2" w:rsidP="00D86E22">
            <w:pPr>
              <w:rPr>
                <w:rFonts w:cs="Arial"/>
                <w:lang w:eastAsia="zh-HK"/>
              </w:rPr>
            </w:pPr>
          </w:p>
          <w:p w:rsidR="00B27FD2" w:rsidRPr="004004DF" w:rsidRDefault="00B27FD2" w:rsidP="00D86E22">
            <w:pPr>
              <w:rPr>
                <w:rFonts w:cs="Arial"/>
                <w:lang w:eastAsia="zh-HK"/>
              </w:rPr>
            </w:pPr>
          </w:p>
          <w:p w:rsidR="00B27FD2" w:rsidRPr="004004DF" w:rsidRDefault="00B27FD2" w:rsidP="00D86E22">
            <w:pPr>
              <w:rPr>
                <w:rFonts w:cs="Arial"/>
                <w:lang w:eastAsia="zh-HK"/>
              </w:rPr>
            </w:pPr>
          </w:p>
          <w:p w:rsidR="00B27FD2" w:rsidRPr="004004DF" w:rsidRDefault="00764270" w:rsidP="00D86E22">
            <w:pPr>
              <w:rPr>
                <w:rFonts w:cs="Arial"/>
                <w:lang w:eastAsia="zh-HK"/>
              </w:rPr>
            </w:pPr>
            <w:r>
              <w:rPr>
                <w:noProof/>
                <w:snapToGrid/>
              </w:rPr>
              <mc:AlternateContent>
                <mc:Choice Requires="wps">
                  <w:drawing>
                    <wp:anchor distT="0" distB="0" distL="114300" distR="114300" simplePos="0" relativeHeight="251678208" behindDoc="0" locked="0" layoutInCell="1" allowOverlap="1">
                      <wp:simplePos x="0" y="0"/>
                      <wp:positionH relativeFrom="column">
                        <wp:posOffset>584200</wp:posOffset>
                      </wp:positionH>
                      <wp:positionV relativeFrom="paragraph">
                        <wp:posOffset>-1905</wp:posOffset>
                      </wp:positionV>
                      <wp:extent cx="539750" cy="2607310"/>
                      <wp:effectExtent l="19050" t="0" r="12700" b="40640"/>
                      <wp:wrapNone/>
                      <wp:docPr id="6" name="向下箭號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60731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1" o:spid="_x0000_s1026" type="#_x0000_t67" style="position:absolute;margin-left:46pt;margin-top:-.15pt;width:42.5pt;height:20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" adj="19364" fillcolor="window" strokecolor="windowText" strokeweight="2pt">
                      <v:path arrowok="t"/>
                    </v:shape>
                  </w:pict>
                </mc:Fallback>
              </mc:AlternateContent>
            </w:r>
          </w:p>
          <w:p w:rsidR="00B27FD2" w:rsidRPr="004004DF" w:rsidRDefault="00B27FD2" w:rsidP="00D86E22">
            <w:pPr>
              <w:rPr>
                <w:rFonts w:cs="Arial"/>
                <w:lang w:eastAsia="zh-HK"/>
              </w:rPr>
            </w:pPr>
          </w:p>
        </w:tc>
        <w:tc>
          <w:tcPr>
            <w:tcW w:w="5490" w:type="dxa"/>
            <w:shd w:val="clear" w:color="auto" w:fill="auto"/>
          </w:tcPr>
          <w:p w:rsidR="00B27FD2" w:rsidRPr="004004DF" w:rsidRDefault="00B27FD2" w:rsidP="00D86E22">
            <w:pPr>
              <w:widowControl/>
              <w:numPr>
                <w:ilvl w:val="0"/>
                <w:numId w:val="52"/>
              </w:numPr>
              <w:tabs>
                <w:tab w:val="clear" w:pos="1418"/>
              </w:tabs>
              <w:adjustRightInd/>
              <w:spacing w:before="60" w:after="60"/>
              <w:ind w:left="475"/>
              <w:rPr>
                <w:rFonts w:cs="Arial"/>
                <w:u w:val="single"/>
                <w:lang w:eastAsia="zh-HK"/>
              </w:rPr>
            </w:pPr>
            <w:r w:rsidRPr="004004DF">
              <w:rPr>
                <w:rFonts w:cs="Arial"/>
                <w:b/>
                <w:u w:val="single"/>
                <w:lang w:eastAsia="zh-HK"/>
              </w:rPr>
              <w:t>GC09 (on records classification)</w:t>
            </w:r>
            <w:r w:rsidRPr="004004DF">
              <w:rPr>
                <w:rFonts w:cs="Arial"/>
                <w:u w:val="single"/>
                <w:lang w:eastAsia="zh-HK"/>
              </w:rPr>
              <w:t xml:space="preserve">: </w:t>
            </w:r>
          </w:p>
          <w:p w:rsidR="00B27FD2" w:rsidRPr="004004DF" w:rsidRDefault="00B27FD2" w:rsidP="00D86E22">
            <w:pPr>
              <w:widowControl/>
              <w:numPr>
                <w:ilvl w:val="1"/>
                <w:numId w:val="52"/>
              </w:numPr>
              <w:tabs>
                <w:tab w:val="clear" w:pos="1418"/>
              </w:tabs>
              <w:adjustRightInd/>
              <w:spacing w:before="60" w:after="60"/>
              <w:ind w:left="475"/>
              <w:rPr>
                <w:rFonts w:cs="Arial"/>
                <w:u w:val="single"/>
                <w:lang w:eastAsia="zh-HK"/>
              </w:rPr>
            </w:pPr>
            <w:r w:rsidRPr="004004DF">
              <w:rPr>
                <w:rFonts w:cs="Arial"/>
                <w:u w:val="single"/>
                <w:lang w:eastAsia="zh-HK"/>
              </w:rPr>
              <w:t>Records should be systematically organised according to a records classification scheme.</w:t>
            </w:r>
          </w:p>
          <w:p w:rsidR="00B27FD2" w:rsidRPr="004004DF" w:rsidRDefault="00B27FD2" w:rsidP="00D86E22">
            <w:pPr>
              <w:widowControl/>
              <w:numPr>
                <w:ilvl w:val="1"/>
                <w:numId w:val="52"/>
              </w:numPr>
              <w:tabs>
                <w:tab w:val="clear" w:pos="1418"/>
              </w:tabs>
              <w:adjustRightInd/>
              <w:spacing w:before="60" w:after="60"/>
              <w:ind w:left="475"/>
              <w:rPr>
                <w:rFonts w:cs="Arial"/>
                <w:u w:val="single"/>
                <w:lang w:eastAsia="zh-HK"/>
              </w:rPr>
            </w:pPr>
            <w:r w:rsidRPr="004004DF">
              <w:rPr>
                <w:rFonts w:cs="Arial"/>
                <w:u w:val="single"/>
                <w:lang w:eastAsia="zh-HK"/>
              </w:rPr>
              <w:t>New classification schemes for a B/D should be approved by its DRM (ie Departmental Records Manager).</w:t>
            </w:r>
          </w:p>
          <w:p w:rsidR="00B27FD2" w:rsidRPr="004004DF" w:rsidRDefault="00B27FD2" w:rsidP="00D86E22">
            <w:pPr>
              <w:widowControl/>
              <w:numPr>
                <w:ilvl w:val="1"/>
                <w:numId w:val="52"/>
              </w:numPr>
              <w:tabs>
                <w:tab w:val="clear" w:pos="1418"/>
              </w:tabs>
              <w:adjustRightInd/>
              <w:spacing w:before="60" w:after="60"/>
              <w:rPr>
                <w:rFonts w:cs="Arial"/>
                <w:u w:val="single"/>
                <w:lang w:eastAsia="zh-HK"/>
              </w:rPr>
            </w:pPr>
            <w:r w:rsidRPr="004004DF">
              <w:rPr>
                <w:rFonts w:cs="Arial"/>
                <w:u w:val="single"/>
                <w:lang w:eastAsia="zh-HK"/>
              </w:rPr>
              <w:t xml:space="preserve">B/Ds are required to adopt the standard classification scheme for all their administrative records not later than April 2012. </w:t>
            </w:r>
            <w:r w:rsidRPr="004004DF">
              <w:rPr>
                <w:rFonts w:cs="Arial"/>
                <w:iCs/>
                <w:u w:val="single"/>
                <w:lang w:eastAsia="zh-HK"/>
              </w:rPr>
              <w:t>B/Ds</w:t>
            </w:r>
            <w:r w:rsidRPr="004004DF">
              <w:rPr>
                <w:rFonts w:cs="Arial"/>
                <w:i/>
                <w:iCs/>
                <w:u w:val="single"/>
                <w:lang w:eastAsia="zh-HK"/>
              </w:rPr>
              <w:t xml:space="preserve"> </w:t>
            </w:r>
            <w:r w:rsidRPr="004004DF">
              <w:rPr>
                <w:rFonts w:cs="Arial"/>
                <w:u w:val="single"/>
                <w:lang w:eastAsia="zh-HK"/>
              </w:rPr>
              <w:t xml:space="preserve">should make reference to the procedures set out in RMP3 </w:t>
            </w:r>
            <w:r w:rsidRPr="008F4DDA">
              <w:rPr>
                <w:rFonts w:cs="Arial"/>
                <w:u w:val="single"/>
                <w:lang w:eastAsia="zh-HK"/>
              </w:rPr>
              <w:t xml:space="preserve">(ie </w:t>
            </w:r>
            <w:r>
              <w:rPr>
                <w:rFonts w:cs="Arial"/>
                <w:u w:val="single"/>
                <w:lang w:eastAsia="zh-HK"/>
              </w:rPr>
              <w:t xml:space="preserve">Records Management </w:t>
            </w:r>
            <w:r w:rsidRPr="008F4DDA">
              <w:rPr>
                <w:rFonts w:cs="Arial"/>
                <w:u w:val="single"/>
                <w:lang w:eastAsia="zh-HK"/>
              </w:rPr>
              <w:t>Publication No 3</w:t>
            </w:r>
            <w:r>
              <w:rPr>
                <w:rFonts w:cs="Arial"/>
                <w:u w:val="single"/>
                <w:lang w:eastAsia="zh-HK"/>
              </w:rPr>
              <w:t xml:space="preserve"> -</w:t>
            </w:r>
            <w:r w:rsidRPr="008F4DDA">
              <w:rPr>
                <w:rFonts w:cs="Arial"/>
                <w:u w:val="single"/>
                <w:lang w:eastAsia="zh-HK"/>
              </w:rPr>
              <w:t xml:space="preserve"> Subject Filing)</w:t>
            </w:r>
            <w:r>
              <w:rPr>
                <w:rFonts w:cs="Arial" w:hint="eastAsia"/>
                <w:u w:val="single"/>
                <w:lang w:eastAsia="zh-HK"/>
              </w:rPr>
              <w:t xml:space="preserve"> </w:t>
            </w:r>
            <w:r w:rsidRPr="004004DF">
              <w:rPr>
                <w:rFonts w:cs="Arial"/>
                <w:u w:val="single"/>
                <w:lang w:eastAsia="zh-HK"/>
              </w:rPr>
              <w:t>to develop its own classification scheme for programme records.</w:t>
            </w:r>
          </w:p>
          <w:p w:rsidR="00B27FD2" w:rsidRPr="005E062A" w:rsidRDefault="00B27FD2" w:rsidP="00D86E22">
            <w:pPr>
              <w:widowControl/>
              <w:numPr>
                <w:ilvl w:val="1"/>
                <w:numId w:val="52"/>
              </w:numPr>
              <w:tabs>
                <w:tab w:val="clear" w:pos="1418"/>
              </w:tabs>
              <w:adjustRightInd/>
              <w:spacing w:before="60" w:after="60"/>
              <w:ind w:left="475"/>
              <w:rPr>
                <w:rFonts w:cs="Arial"/>
                <w:b/>
                <w:lang w:eastAsia="zh-HK"/>
              </w:rPr>
            </w:pPr>
            <w:r w:rsidRPr="004004DF">
              <w:rPr>
                <w:rFonts w:cs="Arial"/>
                <w:u w:val="single"/>
                <w:lang w:eastAsia="zh-HK"/>
              </w:rPr>
              <w:t>DRM is required to review the records classification schemes every two to three years.</w:t>
            </w:r>
          </w:p>
          <w:p w:rsidR="00B27FD2" w:rsidRPr="004004DF" w:rsidRDefault="00B27FD2" w:rsidP="00D86E22">
            <w:pPr>
              <w:spacing w:before="60" w:after="60"/>
              <w:ind w:left="475"/>
              <w:rPr>
                <w:rFonts w:cs="Arial"/>
                <w:b/>
                <w:lang w:eastAsia="zh-HK"/>
              </w:rPr>
            </w:pPr>
          </w:p>
        </w:tc>
      </w:tr>
      <w:tr w:rsidR="00B27FD2" w:rsidRPr="004004DF" w:rsidTr="00D86E22">
        <w:trPr>
          <w:cantSplit/>
          <w:trHeight w:val="4968"/>
        </w:trPr>
        <w:tc>
          <w:tcPr>
            <w:tcW w:w="2880" w:type="dxa"/>
            <w:vMerge/>
            <w:shd w:val="clear" w:color="auto" w:fill="auto"/>
          </w:tcPr>
          <w:p w:rsidR="00B27FD2" w:rsidRPr="004004DF" w:rsidRDefault="00B27FD2" w:rsidP="00D86E22">
            <w:pPr>
              <w:rPr>
                <w:rFonts w:cs="Arial"/>
                <w:noProof/>
              </w:rPr>
            </w:pPr>
          </w:p>
        </w:tc>
        <w:tc>
          <w:tcPr>
            <w:tcW w:w="5490" w:type="dxa"/>
            <w:shd w:val="clear" w:color="auto" w:fill="auto"/>
          </w:tcPr>
          <w:p w:rsidR="00B27FD2" w:rsidRPr="004004DF" w:rsidRDefault="00B27FD2" w:rsidP="00D86E22">
            <w:pPr>
              <w:widowControl/>
              <w:numPr>
                <w:ilvl w:val="0"/>
                <w:numId w:val="52"/>
              </w:numPr>
              <w:tabs>
                <w:tab w:val="clear" w:pos="1418"/>
              </w:tabs>
              <w:adjustRightInd/>
              <w:spacing w:before="60" w:after="60"/>
              <w:ind w:left="475"/>
              <w:rPr>
                <w:rFonts w:cs="Arial"/>
                <w:lang w:eastAsia="zh-HK"/>
              </w:rPr>
            </w:pPr>
            <w:r w:rsidRPr="004004DF">
              <w:rPr>
                <w:rFonts w:cs="Arial"/>
                <w:b/>
                <w:lang w:eastAsia="zh-HK"/>
              </w:rPr>
              <w:t>Other References on Creation</w:t>
            </w:r>
          </w:p>
          <w:p w:rsidR="00B27FD2" w:rsidRPr="004004DF" w:rsidRDefault="00B27FD2" w:rsidP="00D86E22">
            <w:pPr>
              <w:widowControl/>
              <w:numPr>
                <w:ilvl w:val="1"/>
                <w:numId w:val="52"/>
              </w:numPr>
              <w:tabs>
                <w:tab w:val="clear" w:pos="1418"/>
              </w:tabs>
              <w:adjustRightInd/>
              <w:spacing w:before="60" w:after="60"/>
              <w:ind w:left="475"/>
              <w:rPr>
                <w:rFonts w:cs="Arial"/>
              </w:rPr>
            </w:pPr>
            <w:r w:rsidRPr="004004DF">
              <w:rPr>
                <w:rFonts w:cs="Arial"/>
                <w:lang w:eastAsia="zh-HK"/>
              </w:rPr>
              <w:t>RMM (ie Records Management Manual)</w:t>
            </w:r>
          </w:p>
          <w:p w:rsidR="00B27FD2" w:rsidRPr="004004DF" w:rsidRDefault="00B27FD2" w:rsidP="00D86E22">
            <w:pPr>
              <w:widowControl/>
              <w:numPr>
                <w:ilvl w:val="1"/>
                <w:numId w:val="52"/>
              </w:numPr>
              <w:tabs>
                <w:tab w:val="clear" w:pos="1418"/>
              </w:tabs>
              <w:adjustRightInd/>
              <w:spacing w:before="60" w:after="60"/>
              <w:rPr>
                <w:rFonts w:cs="Arial"/>
              </w:rPr>
            </w:pPr>
            <w:r w:rsidRPr="004004DF">
              <w:rPr>
                <w:rFonts w:cs="Arial"/>
              </w:rPr>
              <w:t>RMP2</w:t>
            </w:r>
            <w:r>
              <w:rPr>
                <w:rFonts w:cs="Arial" w:hint="eastAsia"/>
                <w:lang w:eastAsia="zh-HK"/>
              </w:rPr>
              <w:t xml:space="preserve"> </w:t>
            </w:r>
            <w:r w:rsidRPr="008F4DDA">
              <w:rPr>
                <w:rFonts w:cs="Arial"/>
              </w:rPr>
              <w:t xml:space="preserve">(ie </w:t>
            </w:r>
            <w:r>
              <w:rPr>
                <w:rFonts w:cs="Arial"/>
              </w:rPr>
              <w:t xml:space="preserve">Records Management </w:t>
            </w:r>
            <w:r w:rsidRPr="008F4DDA">
              <w:rPr>
                <w:rFonts w:cs="Arial"/>
              </w:rPr>
              <w:t>Publication No 2</w:t>
            </w:r>
            <w:r>
              <w:rPr>
                <w:rFonts w:cs="Arial"/>
              </w:rPr>
              <w:t xml:space="preserve"> -</w:t>
            </w:r>
            <w:r w:rsidRPr="004004DF">
              <w:rPr>
                <w:rFonts w:cs="Arial"/>
                <w:lang w:eastAsia="zh-HK"/>
              </w:rPr>
              <w:t xml:space="preserve"> Managing Active Records: File Management</w:t>
            </w:r>
            <w:r>
              <w:rPr>
                <w:rFonts w:cs="Arial" w:hint="eastAsia"/>
                <w:lang w:eastAsia="zh-HK"/>
              </w:rPr>
              <w:t>)</w:t>
            </w:r>
          </w:p>
          <w:p w:rsidR="00B27FD2" w:rsidRPr="004004DF" w:rsidRDefault="00B27FD2" w:rsidP="00D86E22">
            <w:pPr>
              <w:widowControl/>
              <w:numPr>
                <w:ilvl w:val="1"/>
                <w:numId w:val="52"/>
              </w:numPr>
              <w:tabs>
                <w:tab w:val="clear" w:pos="1418"/>
              </w:tabs>
              <w:adjustRightInd/>
              <w:spacing w:before="60" w:after="60"/>
              <w:rPr>
                <w:rFonts w:cs="Arial"/>
                <w:lang w:eastAsia="zh-HK"/>
              </w:rPr>
            </w:pPr>
            <w:r w:rsidRPr="008F4DDA">
              <w:rPr>
                <w:rFonts w:cs="Arial"/>
                <w:lang w:eastAsia="zh-HK"/>
              </w:rPr>
              <w:t xml:space="preserve">GFP (ie </w:t>
            </w:r>
            <w:r w:rsidRPr="004004DF">
              <w:rPr>
                <w:rFonts w:cs="Arial"/>
                <w:lang w:eastAsia="zh-HK"/>
              </w:rPr>
              <w:t>Guidelines on Filing Practices</w:t>
            </w:r>
            <w:r>
              <w:rPr>
                <w:rFonts w:cs="Arial" w:hint="eastAsia"/>
                <w:lang w:eastAsia="zh-HK"/>
              </w:rPr>
              <w:t>)</w:t>
            </w:r>
          </w:p>
          <w:p w:rsidR="00B27FD2" w:rsidRPr="004004DF" w:rsidRDefault="00B27FD2" w:rsidP="00D86E22">
            <w:pPr>
              <w:widowControl/>
              <w:numPr>
                <w:ilvl w:val="1"/>
                <w:numId w:val="52"/>
              </w:numPr>
              <w:tabs>
                <w:tab w:val="clear" w:pos="1418"/>
              </w:tabs>
              <w:adjustRightInd/>
              <w:spacing w:before="60" w:after="60"/>
              <w:ind w:left="475"/>
              <w:rPr>
                <w:rFonts w:cs="Arial"/>
                <w:lang w:eastAsia="zh-HK"/>
              </w:rPr>
            </w:pPr>
            <w:r w:rsidRPr="004004DF">
              <w:rPr>
                <w:rFonts w:cs="Arial"/>
              </w:rPr>
              <w:t>GISCSAR (ie Guidelines on the Implementation of the Standard Classification Scheme for Administrative Records)</w:t>
            </w:r>
          </w:p>
          <w:p w:rsidR="00B27FD2" w:rsidRPr="004004DF" w:rsidRDefault="00B27FD2" w:rsidP="00D86E22">
            <w:pPr>
              <w:widowControl/>
              <w:numPr>
                <w:ilvl w:val="1"/>
                <w:numId w:val="52"/>
              </w:numPr>
              <w:tabs>
                <w:tab w:val="clear" w:pos="1418"/>
              </w:tabs>
              <w:adjustRightInd/>
              <w:spacing w:before="60" w:after="60"/>
              <w:rPr>
                <w:rFonts w:cs="Arial"/>
                <w:lang w:eastAsia="zh-HK"/>
              </w:rPr>
            </w:pPr>
            <w:r w:rsidRPr="004004DF">
              <w:rPr>
                <w:rFonts w:cs="Arial"/>
                <w:lang w:eastAsia="zh-HK"/>
              </w:rPr>
              <w:t>GMEM (ie Guideline on the Management of Electronic</w:t>
            </w:r>
            <w:r>
              <w:rPr>
                <w:rFonts w:cs="Arial" w:hint="eastAsia"/>
                <w:lang w:eastAsia="zh-HK"/>
              </w:rPr>
              <w:t xml:space="preserve"> </w:t>
            </w:r>
            <w:r w:rsidRPr="008F4DDA">
              <w:rPr>
                <w:rFonts w:cs="Arial"/>
                <w:lang w:eastAsia="zh-HK"/>
              </w:rPr>
              <w:t>Messages</w:t>
            </w:r>
            <w:r w:rsidRPr="004004DF">
              <w:rPr>
                <w:rFonts w:cs="Arial"/>
                <w:lang w:eastAsia="zh-HK"/>
              </w:rPr>
              <w:t xml:space="preserve">) </w:t>
            </w:r>
          </w:p>
          <w:p w:rsidR="00B27FD2" w:rsidRPr="004004DF" w:rsidRDefault="00B27FD2" w:rsidP="00D86E22">
            <w:pPr>
              <w:widowControl/>
              <w:numPr>
                <w:ilvl w:val="1"/>
                <w:numId w:val="52"/>
              </w:numPr>
              <w:tabs>
                <w:tab w:val="clear" w:pos="1418"/>
              </w:tabs>
              <w:adjustRightInd/>
              <w:spacing w:before="60" w:after="60"/>
              <w:ind w:left="475"/>
              <w:rPr>
                <w:rFonts w:cs="Arial"/>
                <w:lang w:eastAsia="zh-HK"/>
              </w:rPr>
            </w:pPr>
            <w:r w:rsidRPr="00D86E22">
              <w:rPr>
                <w:rFonts w:cs="Arial"/>
                <w:shd w:val="clear" w:color="auto" w:fill="FFFFFF"/>
                <w:lang w:eastAsia="zh-HK"/>
              </w:rPr>
              <w:t>GMRHE</w:t>
            </w:r>
            <w:r w:rsidRPr="004004DF">
              <w:rPr>
                <w:rFonts w:cs="Arial"/>
                <w:lang w:eastAsia="zh-HK"/>
              </w:rPr>
              <w:t xml:space="preserve"> (ie Guidelines for Managing Records in a Hybrid Environment)</w:t>
            </w:r>
          </w:p>
          <w:p w:rsidR="00B27FD2" w:rsidRPr="004004DF" w:rsidRDefault="00B27FD2" w:rsidP="00D86E22">
            <w:pPr>
              <w:widowControl/>
              <w:numPr>
                <w:ilvl w:val="1"/>
                <w:numId w:val="52"/>
              </w:numPr>
              <w:tabs>
                <w:tab w:val="clear" w:pos="1418"/>
              </w:tabs>
              <w:adjustRightInd/>
              <w:spacing w:before="60" w:after="60"/>
              <w:ind w:left="475"/>
              <w:rPr>
                <w:rFonts w:cs="Arial"/>
                <w:b/>
                <w:u w:val="single"/>
                <w:lang w:eastAsia="zh-HK"/>
              </w:rPr>
            </w:pPr>
            <w:r w:rsidRPr="00D86E22">
              <w:rPr>
                <w:rFonts w:cs="Arial"/>
                <w:shd w:val="clear" w:color="auto" w:fill="FFFFFF"/>
                <w:lang w:eastAsia="zh-HK"/>
              </w:rPr>
              <w:t>Handbook 2015</w:t>
            </w:r>
            <w:r w:rsidRPr="004004DF">
              <w:rPr>
                <w:rFonts w:cs="Arial"/>
                <w:lang w:eastAsia="zh-HK"/>
              </w:rPr>
              <w:t xml:space="preserve"> (ie A Handbook on Records Management Practices and Guidelines for an Electronic Recordkeeping System) </w:t>
            </w:r>
          </w:p>
        </w:tc>
      </w:tr>
    </w:tbl>
    <w:p w:rsidR="00B27FD2" w:rsidRDefault="00B27FD2" w:rsidP="00D86E22">
      <w:pPr>
        <w:rPr>
          <w:rFonts w:cs="Arial"/>
          <w:b/>
          <w:noProof/>
          <w:lang w:eastAsia="zh-HK"/>
        </w:rPr>
      </w:pPr>
    </w:p>
    <w:p w:rsidR="00B27FD2" w:rsidRDefault="00B27FD2">
      <w:pPr>
        <w:jc w:val="left"/>
        <w:rPr>
          <w:rFonts w:cs="Arial"/>
          <w:b/>
          <w:noProof/>
        </w:rPr>
      </w:pPr>
      <w:r>
        <w:rPr>
          <w:rFonts w:cs="Arial"/>
          <w:b/>
          <w:noProof/>
        </w:rPr>
        <w:br w:type="page"/>
      </w:r>
    </w:p>
    <w:p w:rsidR="00B27FD2" w:rsidRPr="004004DF" w:rsidRDefault="00B27FD2" w:rsidP="00D86E22">
      <w:pPr>
        <w:pStyle w:val="ListParagraph"/>
        <w:widowControl/>
        <w:numPr>
          <w:ilvl w:val="1"/>
          <w:numId w:val="54"/>
        </w:numPr>
        <w:tabs>
          <w:tab w:val="clear" w:pos="1418"/>
        </w:tabs>
        <w:adjustRightInd/>
        <w:ind w:hanging="720"/>
        <w:jc w:val="left"/>
        <w:rPr>
          <w:rFonts w:cs="Arial"/>
          <w:b/>
          <w:noProof/>
        </w:rPr>
      </w:pPr>
      <w:r w:rsidRPr="004004DF">
        <w:rPr>
          <w:rFonts w:cs="Arial"/>
          <w:b/>
          <w:noProof/>
        </w:rPr>
        <w:t xml:space="preserve">Active and </w:t>
      </w:r>
      <w:r>
        <w:rPr>
          <w:rFonts w:cs="Arial" w:hint="eastAsia"/>
          <w:b/>
          <w:noProof/>
        </w:rPr>
        <w:t>i</w:t>
      </w:r>
      <w:r w:rsidRPr="004004DF">
        <w:rPr>
          <w:rFonts w:cs="Arial"/>
          <w:b/>
          <w:noProof/>
        </w:rPr>
        <w:t xml:space="preserve">nactive </w:t>
      </w:r>
      <w:r>
        <w:rPr>
          <w:rFonts w:cs="Arial" w:hint="eastAsia"/>
          <w:b/>
          <w:noProof/>
          <w:lang w:eastAsia="zh-HK"/>
        </w:rPr>
        <w:t>r</w:t>
      </w:r>
      <w:r w:rsidRPr="004004DF">
        <w:rPr>
          <w:rFonts w:cs="Arial"/>
          <w:b/>
          <w:noProof/>
          <w:lang w:eastAsia="zh-HK"/>
        </w:rPr>
        <w:t xml:space="preserve">ecords </w:t>
      </w:r>
      <w:r w:rsidRPr="004004DF">
        <w:rPr>
          <w:rFonts w:cs="Arial"/>
          <w:b/>
          <w:noProof/>
        </w:rPr>
        <w:t xml:space="preserve">– </w:t>
      </w:r>
      <w:r>
        <w:rPr>
          <w:rFonts w:cs="Arial" w:hint="eastAsia"/>
          <w:b/>
          <w:noProof/>
        </w:rPr>
        <w:t>s</w:t>
      </w:r>
      <w:r w:rsidRPr="004004DF">
        <w:rPr>
          <w:rFonts w:cs="Arial"/>
          <w:b/>
          <w:noProof/>
        </w:rPr>
        <w:t xml:space="preserve">torage, </w:t>
      </w:r>
      <w:r>
        <w:rPr>
          <w:rFonts w:cs="Arial" w:hint="eastAsia"/>
          <w:b/>
          <w:noProof/>
        </w:rPr>
        <w:t>a</w:t>
      </w:r>
      <w:r w:rsidRPr="004004DF">
        <w:rPr>
          <w:rFonts w:cs="Arial"/>
          <w:b/>
          <w:noProof/>
        </w:rPr>
        <w:t xml:space="preserve">ccess, </w:t>
      </w:r>
      <w:r>
        <w:rPr>
          <w:rFonts w:cs="Arial" w:hint="eastAsia"/>
          <w:b/>
          <w:noProof/>
        </w:rPr>
        <w:t>t</w:t>
      </w:r>
      <w:r w:rsidRPr="004004DF">
        <w:rPr>
          <w:rFonts w:cs="Arial"/>
          <w:b/>
          <w:noProof/>
        </w:rPr>
        <w:t xml:space="preserve">racking and </w:t>
      </w:r>
      <w:r>
        <w:rPr>
          <w:rFonts w:cs="Arial" w:hint="eastAsia"/>
          <w:b/>
          <w:noProof/>
        </w:rPr>
        <w:t>s</w:t>
      </w:r>
      <w:r w:rsidRPr="004004DF">
        <w:rPr>
          <w:rFonts w:cs="Arial"/>
          <w:b/>
          <w:noProof/>
        </w:rPr>
        <w:t>cheduling</w:t>
      </w:r>
    </w:p>
    <w:p w:rsidR="00B27FD2" w:rsidRPr="004004DF" w:rsidRDefault="00B27FD2" w:rsidP="00D86E22">
      <w:pPr>
        <w:rPr>
          <w:rFonts w:cs="Arial"/>
          <w:b/>
          <w:lang w:eastAsia="zh-HK"/>
        </w:rPr>
      </w:pPr>
    </w:p>
    <w:tbl>
      <w:tblPr>
        <w:tblW w:w="8366" w:type="dxa"/>
        <w:tblInd w:w="108" w:type="dxa"/>
        <w:tblLook w:val="01E0" w:firstRow="1" w:lastRow="1" w:firstColumn="1" w:lastColumn="1" w:noHBand="0" w:noVBand="0"/>
      </w:tblPr>
      <w:tblGrid>
        <w:gridCol w:w="2880"/>
        <w:gridCol w:w="5486"/>
      </w:tblGrid>
      <w:tr w:rsidR="00B27FD2" w:rsidRPr="004004DF" w:rsidTr="00D86E22">
        <w:trPr>
          <w:tblHeader/>
        </w:trPr>
        <w:tc>
          <w:tcPr>
            <w:tcW w:w="2880" w:type="dxa"/>
            <w:shd w:val="clear" w:color="auto" w:fill="auto"/>
          </w:tcPr>
          <w:p w:rsidR="00B27FD2" w:rsidRPr="004004DF" w:rsidRDefault="00B27FD2" w:rsidP="00561D08">
            <w:pPr>
              <w:spacing w:after="120"/>
              <w:jc w:val="center"/>
              <w:rPr>
                <w:rFonts w:cs="Arial"/>
                <w:b/>
                <w:u w:val="single"/>
                <w:lang w:eastAsia="zh-HK"/>
              </w:rPr>
            </w:pPr>
            <w:r w:rsidRPr="004004DF">
              <w:rPr>
                <w:rFonts w:cs="Arial"/>
                <w:b/>
                <w:u w:val="single"/>
                <w:lang w:eastAsia="zh-HK"/>
              </w:rPr>
              <w:t>Major Processes</w:t>
            </w:r>
          </w:p>
        </w:tc>
        <w:tc>
          <w:tcPr>
            <w:tcW w:w="5486" w:type="dxa"/>
            <w:shd w:val="clear" w:color="auto" w:fill="auto"/>
          </w:tcPr>
          <w:p w:rsidR="00B27FD2" w:rsidRPr="004004DF" w:rsidRDefault="00B27FD2" w:rsidP="00561D08">
            <w:pPr>
              <w:spacing w:after="120"/>
              <w:jc w:val="center"/>
              <w:rPr>
                <w:rFonts w:cs="Arial"/>
                <w:b/>
                <w:lang w:eastAsia="zh-HK"/>
              </w:rPr>
            </w:pPr>
            <w:r w:rsidRPr="004004DF">
              <w:rPr>
                <w:rFonts w:cs="Arial"/>
                <w:b/>
                <w:u w:val="single"/>
                <w:lang w:eastAsia="zh-HK"/>
              </w:rPr>
              <w:t xml:space="preserve">Applicable </w:t>
            </w:r>
            <w:r w:rsidRPr="00733C21">
              <w:rPr>
                <w:rFonts w:cs="Arial"/>
                <w:b/>
                <w:u w:val="single"/>
                <w:lang w:eastAsia="zh-HK"/>
              </w:rPr>
              <w:t xml:space="preserve">General Circulars </w:t>
            </w:r>
            <w:r w:rsidRPr="004004DF">
              <w:rPr>
                <w:rFonts w:cs="Arial"/>
                <w:b/>
                <w:u w:val="single"/>
                <w:lang w:eastAsia="zh-HK"/>
              </w:rPr>
              <w:t xml:space="preserve">/ </w:t>
            </w:r>
            <w:r>
              <w:rPr>
                <w:rFonts w:cs="Arial"/>
                <w:b/>
                <w:u w:val="single"/>
                <w:lang w:eastAsia="zh-HK"/>
              </w:rPr>
              <w:t xml:space="preserve">Circular Memoranda </w:t>
            </w:r>
            <w:r w:rsidRPr="004004DF">
              <w:rPr>
                <w:rFonts w:cs="Arial"/>
                <w:b/>
                <w:u w:val="single"/>
                <w:lang w:eastAsia="zh-HK"/>
              </w:rPr>
              <w:t>/ Guidelines</w:t>
            </w:r>
          </w:p>
        </w:tc>
      </w:tr>
      <w:tr w:rsidR="00B27FD2" w:rsidRPr="004004DF" w:rsidTr="00D86E22">
        <w:trPr>
          <w:cantSplit/>
        </w:trPr>
        <w:tc>
          <w:tcPr>
            <w:tcW w:w="2880" w:type="dxa"/>
            <w:shd w:val="clear" w:color="auto" w:fill="auto"/>
          </w:tcPr>
          <w:p w:rsidR="00B27FD2" w:rsidRPr="004004DF" w:rsidRDefault="00764270" w:rsidP="00D86E22">
            <w:pPr>
              <w:rPr>
                <w:rFonts w:cs="Arial"/>
              </w:rPr>
            </w:pPr>
            <w:r>
              <w:rPr>
                <w:noProof/>
                <w:snapToGrid/>
              </w:rPr>
              <mc:AlternateContent>
                <mc:Choice Requires="wps">
                  <w:drawing>
                    <wp:anchor distT="0" distB="0" distL="114300" distR="114300" simplePos="0" relativeHeight="251640320" behindDoc="0" locked="0" layoutInCell="1" allowOverlap="1">
                      <wp:simplePos x="0" y="0"/>
                      <wp:positionH relativeFrom="column">
                        <wp:posOffset>-78105</wp:posOffset>
                      </wp:positionH>
                      <wp:positionV relativeFrom="paragraph">
                        <wp:posOffset>60960</wp:posOffset>
                      </wp:positionV>
                      <wp:extent cx="1819275" cy="457200"/>
                      <wp:effectExtent l="0" t="0" r="28575" b="19050"/>
                      <wp:wrapNone/>
                      <wp:docPr id="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57200"/>
                              </a:xfrm>
                              <a:prstGeom prst="rect">
                                <a:avLst/>
                              </a:prstGeom>
                              <a:solidFill>
                                <a:srgbClr val="FFFFFF"/>
                              </a:solidFill>
                              <a:ln w="19050">
                                <a:solidFill>
                                  <a:srgbClr val="000000"/>
                                </a:solidFill>
                                <a:miter lim="800000"/>
                                <a:headEnd/>
                                <a:tailEnd/>
                              </a:ln>
                            </wps:spPr>
                            <wps:txbx>
                              <w:txbxContent>
                                <w:p w:rsidR="009A4F49" w:rsidRPr="005E062A" w:rsidRDefault="009A4F49" w:rsidP="0022047F">
                                  <w:pPr>
                                    <w:jc w:val="center"/>
                                    <w:rPr>
                                      <w:rFonts w:cs="Arial"/>
                                      <w:b/>
                                      <w:sz w:val="26"/>
                                      <w:szCs w:val="26"/>
                                      <w:lang w:eastAsia="zh-HK"/>
                                    </w:rPr>
                                  </w:pPr>
                                  <w:r w:rsidRPr="00DB3FEC">
                                    <w:rPr>
                                      <w:rFonts w:cs="Arial"/>
                                      <w:b/>
                                      <w:sz w:val="22"/>
                                      <w:szCs w:val="26"/>
                                      <w:lang w:eastAsia="zh-HK"/>
                                    </w:rPr>
                                    <w:t>Proper custody and storage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50" type="#_x0000_t202" style="position:absolute;left:0;text-align:left;margin-left:-6.15pt;margin-top:4.8pt;width:143.2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" strokeweight="1.5pt">
                      <v:textbox>
                        <w:txbxContent>
                          <w:p w:rsidR="009A4F49" w:rsidRPr="005E062A" w:rsidRDefault="009A4F49" w:rsidP="0022047F">
                            <w:pPr>
                              <w:jc w:val="center"/>
                              <w:rPr>
                                <w:rFonts w:cs="Arial"/>
                                <w:b/>
                                <w:sz w:val="26"/>
                                <w:szCs w:val="26"/>
                                <w:lang w:eastAsia="zh-HK"/>
                              </w:rPr>
                            </w:pPr>
                            <w:r w:rsidRPr="00DB3FEC">
                              <w:rPr>
                                <w:rFonts w:cs="Arial"/>
                                <w:b/>
                                <w:sz w:val="22"/>
                                <w:szCs w:val="26"/>
                                <w:lang w:eastAsia="zh-HK"/>
                              </w:rPr>
                              <w:t>Proper custody and storage of records</w:t>
                            </w:r>
                          </w:p>
                        </w:txbxContent>
                      </v:textbox>
                    </v:shape>
                  </w:pict>
                </mc:Fallback>
              </mc:AlternateContent>
            </w:r>
          </w:p>
          <w:p w:rsidR="00B27FD2" w:rsidRPr="004004DF" w:rsidRDefault="00B27FD2" w:rsidP="00D86E22">
            <w:pPr>
              <w:rPr>
                <w:rFonts w:cs="Arial"/>
                <w:lang w:eastAsia="zh-HK"/>
              </w:rPr>
            </w:pPr>
          </w:p>
          <w:p w:rsidR="00B27FD2" w:rsidRPr="004004DF" w:rsidRDefault="00B27FD2" w:rsidP="00D86E22">
            <w:pPr>
              <w:rPr>
                <w:rFonts w:cs="Arial"/>
                <w:lang w:eastAsia="zh-HK"/>
              </w:rPr>
            </w:pPr>
          </w:p>
        </w:tc>
        <w:tc>
          <w:tcPr>
            <w:tcW w:w="5486" w:type="dxa"/>
            <w:shd w:val="clear" w:color="auto" w:fill="auto"/>
          </w:tcPr>
          <w:p w:rsidR="00B27FD2" w:rsidRPr="005E062A" w:rsidRDefault="00B27FD2" w:rsidP="00D86E22">
            <w:pPr>
              <w:widowControl/>
              <w:numPr>
                <w:ilvl w:val="0"/>
                <w:numId w:val="52"/>
              </w:numPr>
              <w:tabs>
                <w:tab w:val="clear" w:pos="1418"/>
              </w:tabs>
              <w:adjustRightInd/>
              <w:spacing w:before="60" w:after="60"/>
              <w:rPr>
                <w:rFonts w:cs="Arial"/>
                <w:b/>
                <w:lang w:eastAsia="zh-HK"/>
              </w:rPr>
            </w:pPr>
            <w:r w:rsidRPr="004004DF">
              <w:rPr>
                <w:rFonts w:cs="Arial"/>
                <w:b/>
                <w:u w:val="single"/>
                <w:lang w:eastAsia="zh-HK"/>
              </w:rPr>
              <w:t>GC09 (on custody and storage)</w:t>
            </w:r>
            <w:r w:rsidRPr="004004DF">
              <w:rPr>
                <w:rFonts w:cs="Arial"/>
                <w:u w:val="single"/>
                <w:lang w:eastAsia="zh-HK"/>
              </w:rPr>
              <w:t>: B/Ds should put in place appropriate arrangements to ensure the safe custody of records. Records should be stored in proper facilities (eg filing cabinets, filing racks) in a clean and dry environment.</w:t>
            </w:r>
          </w:p>
          <w:p w:rsidR="00B27FD2" w:rsidRPr="004004DF" w:rsidRDefault="00B27FD2" w:rsidP="00D86E22">
            <w:pPr>
              <w:spacing w:before="60" w:after="60"/>
              <w:ind w:left="480"/>
              <w:rPr>
                <w:rFonts w:cs="Arial"/>
                <w:b/>
                <w:lang w:eastAsia="zh-HK"/>
              </w:rPr>
            </w:pPr>
          </w:p>
        </w:tc>
      </w:tr>
      <w:tr w:rsidR="00B27FD2" w:rsidRPr="004004DF" w:rsidTr="00D86E22">
        <w:trPr>
          <w:cantSplit/>
        </w:trPr>
        <w:tc>
          <w:tcPr>
            <w:tcW w:w="2880" w:type="dxa"/>
            <w:shd w:val="clear" w:color="auto" w:fill="auto"/>
          </w:tcPr>
          <w:p w:rsidR="00B27FD2" w:rsidRPr="004004DF" w:rsidRDefault="00764270" w:rsidP="00D86E22">
            <w:pPr>
              <w:rPr>
                <w:rFonts w:cs="Arial"/>
              </w:rPr>
            </w:pPr>
            <w:r>
              <w:rPr>
                <w:noProof/>
                <w:snapToGrid/>
              </w:rPr>
              <mc:AlternateContent>
                <mc:Choice Requires="wps">
                  <w:drawing>
                    <wp:anchor distT="0" distB="0" distL="114300" distR="114300" simplePos="0" relativeHeight="251641344" behindDoc="0" locked="0" layoutInCell="1" allowOverlap="1">
                      <wp:simplePos x="0" y="0"/>
                      <wp:positionH relativeFrom="column">
                        <wp:posOffset>-78105</wp:posOffset>
                      </wp:positionH>
                      <wp:positionV relativeFrom="paragraph">
                        <wp:posOffset>62865</wp:posOffset>
                      </wp:positionV>
                      <wp:extent cx="1819275" cy="323850"/>
                      <wp:effectExtent l="0" t="0" r="28575" b="19050"/>
                      <wp:wrapNone/>
                      <wp:docPr id="9"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23850"/>
                              </a:xfrm>
                              <a:prstGeom prst="rect">
                                <a:avLst/>
                              </a:prstGeom>
                              <a:solidFill>
                                <a:srgbClr val="FFFFFF"/>
                              </a:solidFill>
                              <a:ln w="19050">
                                <a:solidFill>
                                  <a:srgbClr val="000000"/>
                                </a:solidFill>
                                <a:miter lim="800000"/>
                                <a:headEnd/>
                                <a:tailEnd/>
                              </a:ln>
                            </wps:spPr>
                            <wps:txbx>
                              <w:txbxContent>
                                <w:p w:rsidR="009A4F49" w:rsidRPr="00DB3FEC" w:rsidRDefault="009A4F49" w:rsidP="0022047F">
                                  <w:pPr>
                                    <w:jc w:val="center"/>
                                    <w:rPr>
                                      <w:rFonts w:cs="Arial"/>
                                      <w:b/>
                                      <w:sz w:val="22"/>
                                      <w:szCs w:val="26"/>
                                      <w:lang w:eastAsia="zh-HK"/>
                                    </w:rPr>
                                  </w:pPr>
                                  <w:r w:rsidRPr="00DB3FEC">
                                    <w:rPr>
                                      <w:rFonts w:cs="Arial"/>
                                      <w:b/>
                                      <w:sz w:val="22"/>
                                      <w:szCs w:val="26"/>
                                      <w:lang w:eastAsia="zh-HK"/>
                                    </w:rPr>
                                    <w:t>Access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51" type="#_x0000_t202" style="position:absolute;left:0;text-align:left;margin-left:-6.15pt;margin-top:4.95pt;width:143.2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" strokeweight="1.5pt">
                      <v:textbox>
                        <w:txbxContent>
                          <w:p w:rsidR="009A4F49" w:rsidRPr="00DB3FEC" w:rsidRDefault="009A4F49" w:rsidP="0022047F">
                            <w:pPr>
                              <w:jc w:val="center"/>
                              <w:rPr>
                                <w:rFonts w:cs="Arial"/>
                                <w:b/>
                                <w:sz w:val="22"/>
                                <w:szCs w:val="26"/>
                                <w:lang w:eastAsia="zh-HK"/>
                              </w:rPr>
                            </w:pPr>
                            <w:r w:rsidRPr="00DB3FEC">
                              <w:rPr>
                                <w:rFonts w:cs="Arial"/>
                                <w:b/>
                                <w:sz w:val="22"/>
                                <w:szCs w:val="26"/>
                                <w:lang w:eastAsia="zh-HK"/>
                              </w:rPr>
                              <w:t>Access control</w:t>
                            </w:r>
                          </w:p>
                        </w:txbxContent>
                      </v:textbox>
                    </v:shape>
                  </w:pict>
                </mc:Fallback>
              </mc:AlternateContent>
            </w:r>
          </w:p>
          <w:p w:rsidR="00B27FD2" w:rsidRPr="004004DF" w:rsidRDefault="00B27FD2" w:rsidP="00D86E22">
            <w:pPr>
              <w:rPr>
                <w:rFonts w:cs="Arial"/>
                <w:lang w:eastAsia="zh-HK"/>
              </w:rPr>
            </w:pPr>
          </w:p>
          <w:p w:rsidR="00B27FD2" w:rsidRPr="004004DF" w:rsidRDefault="00B27FD2" w:rsidP="00D86E22">
            <w:pPr>
              <w:rPr>
                <w:rFonts w:cs="Arial"/>
                <w:lang w:eastAsia="zh-HK"/>
              </w:rPr>
            </w:pPr>
          </w:p>
          <w:p w:rsidR="00B27FD2" w:rsidRPr="004004DF" w:rsidRDefault="00B27FD2" w:rsidP="00D86E22">
            <w:pPr>
              <w:rPr>
                <w:rFonts w:cs="Arial"/>
                <w:lang w:eastAsia="zh-HK"/>
              </w:rPr>
            </w:pPr>
          </w:p>
        </w:tc>
        <w:tc>
          <w:tcPr>
            <w:tcW w:w="5486" w:type="dxa"/>
            <w:shd w:val="clear" w:color="auto" w:fill="auto"/>
          </w:tcPr>
          <w:p w:rsidR="00B27FD2" w:rsidRPr="005E062A" w:rsidRDefault="00B27FD2" w:rsidP="00D86E22">
            <w:pPr>
              <w:widowControl/>
              <w:numPr>
                <w:ilvl w:val="0"/>
                <w:numId w:val="52"/>
              </w:numPr>
              <w:tabs>
                <w:tab w:val="clear" w:pos="1418"/>
              </w:tabs>
              <w:adjustRightInd/>
              <w:spacing w:before="60" w:after="60"/>
              <w:rPr>
                <w:rFonts w:cs="Arial"/>
                <w:b/>
                <w:lang w:eastAsia="zh-HK"/>
              </w:rPr>
            </w:pPr>
            <w:r w:rsidRPr="004004DF">
              <w:rPr>
                <w:rFonts w:cs="Arial"/>
                <w:b/>
                <w:u w:val="single"/>
                <w:lang w:eastAsia="zh-HK"/>
              </w:rPr>
              <w:t>GC09 (on access)</w:t>
            </w:r>
            <w:r w:rsidRPr="004004DF">
              <w:rPr>
                <w:rFonts w:cs="Arial"/>
                <w:u w:val="single"/>
                <w:lang w:eastAsia="zh-HK"/>
              </w:rPr>
              <w:t>:</w:t>
            </w:r>
            <w:r w:rsidRPr="004004DF">
              <w:rPr>
                <w:rFonts w:cs="Arial"/>
                <w:b/>
                <w:u w:val="single"/>
                <w:lang w:eastAsia="zh-HK"/>
              </w:rPr>
              <w:t xml:space="preserve"> </w:t>
            </w:r>
            <w:r w:rsidRPr="004004DF">
              <w:rPr>
                <w:rFonts w:cs="Arial"/>
                <w:u w:val="single"/>
                <w:lang w:eastAsia="zh-HK"/>
              </w:rPr>
              <w:t>Records should be stored in such a manner so as to facilitate user access and protected from unauthorised access, use, disclosure, removal, deterioration, loss or destruction.</w:t>
            </w:r>
          </w:p>
          <w:p w:rsidR="00B27FD2" w:rsidRPr="004004DF" w:rsidRDefault="00B27FD2" w:rsidP="00D86E22">
            <w:pPr>
              <w:spacing w:before="60" w:after="60"/>
              <w:ind w:left="480"/>
              <w:rPr>
                <w:rFonts w:cs="Arial"/>
                <w:b/>
                <w:lang w:eastAsia="zh-HK"/>
              </w:rPr>
            </w:pPr>
          </w:p>
        </w:tc>
      </w:tr>
      <w:tr w:rsidR="00B27FD2" w:rsidRPr="004004DF" w:rsidTr="00D86E22">
        <w:trPr>
          <w:cantSplit/>
          <w:trHeight w:val="3390"/>
        </w:trPr>
        <w:tc>
          <w:tcPr>
            <w:tcW w:w="2880" w:type="dxa"/>
            <w:vMerge w:val="restart"/>
            <w:shd w:val="clear" w:color="auto" w:fill="auto"/>
          </w:tcPr>
          <w:p w:rsidR="00B27FD2" w:rsidRPr="004004DF" w:rsidRDefault="00764270" w:rsidP="00D86E22">
            <w:pPr>
              <w:rPr>
                <w:rFonts w:cs="Arial"/>
                <w:noProof/>
                <w:lang w:eastAsia="zh-HK"/>
              </w:rPr>
            </w:pPr>
            <w:r>
              <w:rPr>
                <w:noProof/>
                <w:snapToGrid/>
              </w:rPr>
              <mc:AlternateContent>
                <mc:Choice Requires="wps">
                  <w:drawing>
                    <wp:anchor distT="0" distB="0" distL="114300" distR="114300" simplePos="0" relativeHeight="251679232" behindDoc="0" locked="0" layoutInCell="1" allowOverlap="1">
                      <wp:simplePos x="0" y="0"/>
                      <wp:positionH relativeFrom="column">
                        <wp:posOffset>-78105</wp:posOffset>
                      </wp:positionH>
                      <wp:positionV relativeFrom="paragraph">
                        <wp:posOffset>97155</wp:posOffset>
                      </wp:positionV>
                      <wp:extent cx="1819275" cy="942975"/>
                      <wp:effectExtent l="0" t="0" r="28575" b="28575"/>
                      <wp:wrapNone/>
                      <wp:docPr id="1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42975"/>
                              </a:xfrm>
                              <a:prstGeom prst="rect">
                                <a:avLst/>
                              </a:prstGeom>
                              <a:solidFill>
                                <a:srgbClr val="FFFFFF"/>
                              </a:solidFill>
                              <a:ln w="19050">
                                <a:solidFill>
                                  <a:srgbClr val="000000"/>
                                </a:solidFill>
                                <a:miter lim="800000"/>
                                <a:headEnd/>
                                <a:tailEnd/>
                              </a:ln>
                            </wps:spPr>
                            <wps:txbx>
                              <w:txbxContent>
                                <w:p w:rsidR="009A4F49" w:rsidRPr="00DB3FEC" w:rsidRDefault="009A4F49" w:rsidP="0022047F">
                                  <w:pPr>
                                    <w:jc w:val="center"/>
                                    <w:rPr>
                                      <w:b/>
                                      <w:sz w:val="22"/>
                                      <w:szCs w:val="26"/>
                                      <w:lang w:eastAsia="zh-HK"/>
                                    </w:rPr>
                                  </w:pPr>
                                  <w:r w:rsidRPr="00DB3FEC">
                                    <w:rPr>
                                      <w:rFonts w:cs="Arial"/>
                                      <w:b/>
                                      <w:sz w:val="22"/>
                                      <w:szCs w:val="26"/>
                                    </w:rPr>
                                    <w:t>Track</w:t>
                                  </w:r>
                                  <w:r w:rsidRPr="00DB3FEC">
                                    <w:rPr>
                                      <w:rFonts w:cs="Arial"/>
                                      <w:b/>
                                      <w:sz w:val="22"/>
                                      <w:szCs w:val="26"/>
                                      <w:lang w:eastAsia="zh-HK"/>
                                    </w:rPr>
                                    <w:t>ing</w:t>
                                  </w:r>
                                  <w:r w:rsidRPr="00DB3FEC">
                                    <w:rPr>
                                      <w:rFonts w:cs="Arial"/>
                                      <w:b/>
                                      <w:sz w:val="22"/>
                                      <w:szCs w:val="26"/>
                                    </w:rPr>
                                    <w:t xml:space="preserve"> </w:t>
                                  </w:r>
                                  <w:r w:rsidRPr="00DB3FEC">
                                    <w:rPr>
                                      <w:rFonts w:cs="Arial"/>
                                      <w:b/>
                                      <w:sz w:val="22"/>
                                      <w:szCs w:val="26"/>
                                      <w:lang w:eastAsia="zh-HK"/>
                                    </w:rPr>
                                    <w:t xml:space="preserve">of the </w:t>
                                  </w:r>
                                  <w:r w:rsidRPr="00DB3FEC">
                                    <w:rPr>
                                      <w:rFonts w:cs="Arial"/>
                                      <w:b/>
                                      <w:sz w:val="22"/>
                                      <w:szCs w:val="26"/>
                                    </w:rPr>
                                    <w:t xml:space="preserve">movement of records </w:t>
                                  </w:r>
                                  <w:r w:rsidRPr="00DB3FEC">
                                    <w:rPr>
                                      <w:rFonts w:cs="Arial"/>
                                      <w:b/>
                                      <w:sz w:val="22"/>
                                      <w:szCs w:val="26"/>
                                      <w:lang w:eastAsia="zh-HK"/>
                                    </w:rPr>
                                    <w:t>(including monitoring bulk relocation of</w:t>
                                  </w:r>
                                  <w:r w:rsidRPr="00DB3FEC">
                                    <w:rPr>
                                      <w:rFonts w:hint="eastAsia"/>
                                      <w:b/>
                                      <w:sz w:val="22"/>
                                      <w:szCs w:val="26"/>
                                      <w:lang w:eastAsia="zh-HK"/>
                                    </w:rPr>
                                    <w:t xml:space="preserve"> </w:t>
                                  </w:r>
                                  <w:r w:rsidRPr="00DB3FEC">
                                    <w:rPr>
                                      <w:rFonts w:cs="Arial"/>
                                      <w:b/>
                                      <w:sz w:val="22"/>
                                      <w:szCs w:val="26"/>
                                      <w:lang w:eastAsia="zh-HK"/>
                                    </w:rPr>
                                    <w:t>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2" type="#_x0000_t202" style="position:absolute;left:0;text-align:left;margin-left:-6.15pt;margin-top:7.65pt;width:143.25pt;height:7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" strokeweight="1.5pt">
                      <v:textbox>
                        <w:txbxContent>
                          <w:p w:rsidR="009A4F49" w:rsidRPr="00DB3FEC" w:rsidRDefault="009A4F49" w:rsidP="0022047F">
                            <w:pPr>
                              <w:jc w:val="center"/>
                              <w:rPr>
                                <w:b/>
                                <w:sz w:val="22"/>
                                <w:szCs w:val="26"/>
                                <w:lang w:eastAsia="zh-HK"/>
                              </w:rPr>
                            </w:pPr>
                            <w:r w:rsidRPr="00DB3FEC">
                              <w:rPr>
                                <w:rFonts w:cs="Arial"/>
                                <w:b/>
                                <w:sz w:val="22"/>
                                <w:szCs w:val="26"/>
                              </w:rPr>
                              <w:t>Track</w:t>
                            </w:r>
                            <w:r w:rsidRPr="00DB3FEC">
                              <w:rPr>
                                <w:rFonts w:cs="Arial"/>
                                <w:b/>
                                <w:sz w:val="22"/>
                                <w:szCs w:val="26"/>
                                <w:lang w:eastAsia="zh-HK"/>
                              </w:rPr>
                              <w:t>ing</w:t>
                            </w:r>
                            <w:r w:rsidRPr="00DB3FEC">
                              <w:rPr>
                                <w:rFonts w:cs="Arial"/>
                                <w:b/>
                                <w:sz w:val="22"/>
                                <w:szCs w:val="26"/>
                              </w:rPr>
                              <w:t xml:space="preserve"> </w:t>
                            </w:r>
                            <w:r w:rsidRPr="00DB3FEC">
                              <w:rPr>
                                <w:rFonts w:cs="Arial"/>
                                <w:b/>
                                <w:sz w:val="22"/>
                                <w:szCs w:val="26"/>
                                <w:lang w:eastAsia="zh-HK"/>
                              </w:rPr>
                              <w:t xml:space="preserve">of the </w:t>
                            </w:r>
                            <w:r w:rsidRPr="00DB3FEC">
                              <w:rPr>
                                <w:rFonts w:cs="Arial"/>
                                <w:b/>
                                <w:sz w:val="22"/>
                                <w:szCs w:val="26"/>
                              </w:rPr>
                              <w:t xml:space="preserve">movement of records </w:t>
                            </w:r>
                            <w:r w:rsidRPr="00DB3FEC">
                              <w:rPr>
                                <w:rFonts w:cs="Arial"/>
                                <w:b/>
                                <w:sz w:val="22"/>
                                <w:szCs w:val="26"/>
                                <w:lang w:eastAsia="zh-HK"/>
                              </w:rPr>
                              <w:t>(including monitoring bulk relocation of</w:t>
                            </w:r>
                            <w:r w:rsidRPr="00DB3FEC">
                              <w:rPr>
                                <w:rFonts w:hint="eastAsia"/>
                                <w:b/>
                                <w:sz w:val="22"/>
                                <w:szCs w:val="26"/>
                                <w:lang w:eastAsia="zh-HK"/>
                              </w:rPr>
                              <w:t xml:space="preserve"> </w:t>
                            </w:r>
                            <w:r w:rsidRPr="00DB3FEC">
                              <w:rPr>
                                <w:rFonts w:cs="Arial"/>
                                <w:b/>
                                <w:sz w:val="22"/>
                                <w:szCs w:val="26"/>
                                <w:lang w:eastAsia="zh-HK"/>
                              </w:rPr>
                              <w:t>records)</w:t>
                            </w:r>
                          </w:p>
                        </w:txbxContent>
                      </v:textbox>
                    </v:shape>
                  </w:pict>
                </mc:Fallback>
              </mc:AlternateContent>
            </w:r>
          </w:p>
          <w:p w:rsidR="00B27FD2" w:rsidRPr="004004DF" w:rsidRDefault="00B27FD2" w:rsidP="00D86E22">
            <w:pPr>
              <w:rPr>
                <w:rFonts w:cs="Arial"/>
                <w:noProof/>
                <w:lang w:eastAsia="zh-HK"/>
              </w:rPr>
            </w:pPr>
          </w:p>
          <w:p w:rsidR="00B27FD2" w:rsidRPr="004004DF" w:rsidRDefault="00B27FD2" w:rsidP="00D86E22">
            <w:pPr>
              <w:rPr>
                <w:rFonts w:cs="Arial"/>
                <w:noProof/>
                <w:lang w:eastAsia="zh-HK"/>
              </w:rPr>
            </w:pPr>
          </w:p>
          <w:p w:rsidR="00B27FD2" w:rsidRPr="004004DF" w:rsidRDefault="00B27FD2" w:rsidP="00D86E22">
            <w:pPr>
              <w:rPr>
                <w:rFonts w:cs="Arial"/>
                <w:noProof/>
                <w:lang w:eastAsia="zh-HK"/>
              </w:rPr>
            </w:pPr>
          </w:p>
          <w:p w:rsidR="00B27FD2" w:rsidRPr="004004DF" w:rsidRDefault="00B27FD2" w:rsidP="00D86E22">
            <w:pPr>
              <w:rPr>
                <w:rFonts w:cs="Arial"/>
                <w:noProof/>
                <w:lang w:eastAsia="zh-HK"/>
              </w:rPr>
            </w:pPr>
          </w:p>
          <w:p w:rsidR="00B27FD2" w:rsidRPr="004004DF" w:rsidRDefault="00B27FD2" w:rsidP="00D86E22">
            <w:pPr>
              <w:rPr>
                <w:rFonts w:cs="Arial"/>
                <w:noProof/>
                <w:lang w:eastAsia="zh-HK"/>
              </w:rPr>
            </w:pPr>
          </w:p>
        </w:tc>
        <w:tc>
          <w:tcPr>
            <w:tcW w:w="5486" w:type="dxa"/>
            <w:shd w:val="clear" w:color="auto" w:fill="auto"/>
          </w:tcPr>
          <w:p w:rsidR="00B27FD2" w:rsidRPr="005E062A" w:rsidRDefault="00B27FD2" w:rsidP="00D86E22">
            <w:pPr>
              <w:widowControl/>
              <w:numPr>
                <w:ilvl w:val="0"/>
                <w:numId w:val="52"/>
              </w:numPr>
              <w:tabs>
                <w:tab w:val="clear" w:pos="1418"/>
              </w:tabs>
              <w:adjustRightInd/>
              <w:spacing w:before="60" w:after="60"/>
              <w:rPr>
                <w:rFonts w:cs="Arial"/>
                <w:b/>
                <w:u w:val="single"/>
                <w:lang w:eastAsia="zh-HK"/>
              </w:rPr>
            </w:pPr>
            <w:r w:rsidRPr="004004DF">
              <w:rPr>
                <w:rFonts w:cs="Arial"/>
                <w:b/>
                <w:u w:val="single"/>
                <w:lang w:eastAsia="zh-HK"/>
              </w:rPr>
              <w:t>GC09 (on bulk relocation)</w:t>
            </w:r>
            <w:r w:rsidRPr="004004DF">
              <w:rPr>
                <w:rFonts w:cs="Arial"/>
                <w:u w:val="single"/>
                <w:lang w:eastAsia="zh-HK"/>
              </w:rPr>
              <w:t>: To minimise the risk of losing records during bulk relocation of files, appropriate arrangement should be made during the process. These include: designating an officer not below the rank of Executive Officer II or equivalent to oversee the task; taking stock before the relocation exercise; conducting a file inventory check after relocation; documenting the inventory check and updating the new storage location immediately afterwards.</w:t>
            </w:r>
          </w:p>
          <w:p w:rsidR="00B27FD2" w:rsidRPr="004004DF" w:rsidRDefault="00B27FD2" w:rsidP="00D86E22">
            <w:pPr>
              <w:spacing w:before="60" w:after="60"/>
              <w:ind w:left="480"/>
              <w:rPr>
                <w:rFonts w:cs="Arial"/>
                <w:b/>
                <w:lang w:eastAsia="zh-HK"/>
              </w:rPr>
            </w:pPr>
          </w:p>
        </w:tc>
      </w:tr>
      <w:tr w:rsidR="00B27FD2" w:rsidRPr="004004DF" w:rsidTr="00D86E22">
        <w:trPr>
          <w:cantSplit/>
          <w:trHeight w:val="4080"/>
        </w:trPr>
        <w:tc>
          <w:tcPr>
            <w:tcW w:w="2880" w:type="dxa"/>
            <w:vMerge/>
            <w:shd w:val="clear" w:color="auto" w:fill="auto"/>
          </w:tcPr>
          <w:p w:rsidR="00B27FD2" w:rsidRPr="004004DF" w:rsidRDefault="00B27FD2" w:rsidP="00D86E22">
            <w:pPr>
              <w:rPr>
                <w:rFonts w:cs="Arial"/>
                <w:noProof/>
              </w:rPr>
            </w:pP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60"/>
              <w:rPr>
                <w:rFonts w:cs="Arial"/>
                <w:b/>
                <w:u w:val="single"/>
                <w:lang w:eastAsia="zh-HK"/>
              </w:rPr>
            </w:pPr>
            <w:r w:rsidRPr="004004DF">
              <w:rPr>
                <w:rFonts w:cs="Arial"/>
                <w:b/>
                <w:u w:val="single"/>
                <w:lang w:eastAsia="zh-HK"/>
              </w:rPr>
              <w:t>GC09 (on handling loss cases)</w:t>
            </w:r>
            <w:r w:rsidRPr="004004DF">
              <w:rPr>
                <w:rFonts w:cs="Arial"/>
                <w:u w:val="single"/>
                <w:lang w:eastAsia="zh-HK"/>
              </w:rPr>
              <w:t>:</w:t>
            </w:r>
            <w:r w:rsidRPr="004004DF">
              <w:rPr>
                <w:rFonts w:cs="Arial"/>
                <w:b/>
                <w:u w:val="single"/>
                <w:lang w:eastAsia="zh-HK"/>
              </w:rPr>
              <w:t xml:space="preserve"> </w:t>
            </w:r>
            <w:r w:rsidRPr="004004DF">
              <w:rPr>
                <w:rFonts w:cs="Arial"/>
                <w:u w:val="single"/>
                <w:lang w:eastAsia="zh-HK"/>
              </w:rPr>
              <w:t>Any loss of records should be immediately reported to the DRM and a copy of such report sent to GRS simultaneously. Upon receipt of such report, the DRM should (a) ascertain the facts and identify the circumstances leading to the loss; (b) reconstruct the records where necessary; (c) take steps to prevent recurrence; (d) consider whether any disciplinary action or other administrative action is necessary; and (e) report his findings and actions on (a) to (d) above to GRS within three months.</w:t>
            </w:r>
          </w:p>
          <w:p w:rsidR="00B27FD2" w:rsidRPr="004004DF" w:rsidRDefault="00B27FD2" w:rsidP="00D86E22">
            <w:pPr>
              <w:spacing w:before="60" w:after="60"/>
              <w:ind w:left="480"/>
              <w:rPr>
                <w:rFonts w:cs="Arial"/>
                <w:b/>
                <w:u w:val="single"/>
                <w:lang w:eastAsia="zh-HK"/>
              </w:rPr>
            </w:pPr>
          </w:p>
        </w:tc>
      </w:tr>
      <w:tr w:rsidR="00B27FD2" w:rsidRPr="004004DF" w:rsidTr="00D86E22">
        <w:trPr>
          <w:trHeight w:val="4230"/>
        </w:trPr>
        <w:tc>
          <w:tcPr>
            <w:tcW w:w="2880" w:type="dxa"/>
            <w:vMerge w:val="restart"/>
            <w:shd w:val="clear" w:color="auto" w:fill="auto"/>
          </w:tcPr>
          <w:p w:rsidR="00B27FD2" w:rsidRPr="004004DF" w:rsidRDefault="00764270" w:rsidP="00D86E22">
            <w:pPr>
              <w:keepNext/>
              <w:rPr>
                <w:rFonts w:cs="Arial"/>
                <w:noProof/>
              </w:rPr>
            </w:pPr>
            <w:r>
              <w:rPr>
                <w:noProof/>
                <w:snapToGrid/>
              </w:rPr>
              <w:lastRenderedPageBreak/>
              <mc:AlternateContent>
                <mc:Choice Requires="wps">
                  <w:drawing>
                    <wp:anchor distT="0" distB="0" distL="114300" distR="114300" simplePos="0" relativeHeight="251681280" behindDoc="0" locked="0" layoutInCell="1" allowOverlap="1">
                      <wp:simplePos x="0" y="0"/>
                      <wp:positionH relativeFrom="column">
                        <wp:posOffset>531495</wp:posOffset>
                      </wp:positionH>
                      <wp:positionV relativeFrom="paragraph">
                        <wp:posOffset>399415</wp:posOffset>
                      </wp:positionV>
                      <wp:extent cx="539750" cy="1931035"/>
                      <wp:effectExtent l="19050" t="0" r="12700" b="31115"/>
                      <wp:wrapNone/>
                      <wp:docPr id="13" name="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93103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4" o:spid="_x0000_s1026" type="#_x0000_t67" style="position:absolute;margin-left:41.85pt;margin-top:31.45pt;width:42.5pt;height:15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" adj="18581" fillcolor="window" strokecolor="windowText" strokeweight="2pt">
                      <v:path arrowok="t"/>
                    </v:shape>
                  </w:pict>
                </mc:Fallback>
              </mc:AlternateContent>
            </w:r>
            <w:r>
              <w:rPr>
                <w:noProof/>
                <w:snapToGrid/>
              </w:rPr>
              <mc:AlternateContent>
                <mc:Choice Requires="wps">
                  <w:drawing>
                    <wp:anchor distT="0" distB="0" distL="114300" distR="114300" simplePos="0" relativeHeight="251680256" behindDoc="0" locked="0" layoutInCell="1" allowOverlap="1">
                      <wp:simplePos x="0" y="0"/>
                      <wp:positionH relativeFrom="column">
                        <wp:posOffset>-78105</wp:posOffset>
                      </wp:positionH>
                      <wp:positionV relativeFrom="paragraph">
                        <wp:posOffset>66040</wp:posOffset>
                      </wp:positionV>
                      <wp:extent cx="1819275" cy="333375"/>
                      <wp:effectExtent l="0" t="0" r="28575" b="2857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3375"/>
                              </a:xfrm>
                              <a:prstGeom prst="rect">
                                <a:avLst/>
                              </a:prstGeom>
                              <a:solidFill>
                                <a:srgbClr val="FFFFFF"/>
                              </a:solidFill>
                              <a:ln w="19050">
                                <a:solidFill>
                                  <a:srgbClr val="000000"/>
                                </a:solidFill>
                                <a:miter lim="800000"/>
                                <a:headEnd/>
                                <a:tailEnd/>
                              </a:ln>
                            </wps:spPr>
                            <wps:txbx>
                              <w:txbxContent>
                                <w:p w:rsidR="009A4F49" w:rsidRPr="00DB3FEC" w:rsidRDefault="009A4F49" w:rsidP="0022047F">
                                  <w:pPr>
                                    <w:spacing w:line="0" w:lineRule="atLeast"/>
                                    <w:jc w:val="center"/>
                                    <w:rPr>
                                      <w:rFonts w:cs="Arial"/>
                                      <w:b/>
                                      <w:sz w:val="22"/>
                                      <w:szCs w:val="26"/>
                                      <w:lang w:eastAsia="zh-HK"/>
                                    </w:rPr>
                                  </w:pPr>
                                  <w:r w:rsidRPr="00DB3FEC">
                                    <w:rPr>
                                      <w:rFonts w:cs="Arial"/>
                                      <w:b/>
                                      <w:sz w:val="22"/>
                                      <w:szCs w:val="26"/>
                                      <w:lang w:eastAsia="zh-HK"/>
                                    </w:rPr>
                                    <w:t>Records scheduling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53" type="#_x0000_t202" style="position:absolute;left:0;text-align:left;margin-left:-6.15pt;margin-top:5.2pt;width:143.2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" strokeweight="1.5pt">
                      <v:textbox>
                        <w:txbxContent>
                          <w:p w:rsidR="009A4F49" w:rsidRPr="00DB3FEC" w:rsidRDefault="009A4F49" w:rsidP="0022047F">
                            <w:pPr>
                              <w:spacing w:line="0" w:lineRule="atLeast"/>
                              <w:jc w:val="center"/>
                              <w:rPr>
                                <w:rFonts w:cs="Arial"/>
                                <w:b/>
                                <w:sz w:val="22"/>
                                <w:szCs w:val="26"/>
                                <w:lang w:eastAsia="zh-HK"/>
                              </w:rPr>
                            </w:pPr>
                            <w:r w:rsidRPr="00DB3FEC">
                              <w:rPr>
                                <w:rFonts w:cs="Arial"/>
                                <w:b/>
                                <w:sz w:val="22"/>
                                <w:szCs w:val="26"/>
                                <w:lang w:eastAsia="zh-HK"/>
                              </w:rPr>
                              <w:t>Records scheduling</w:t>
                            </w:r>
                          </w:p>
                        </w:txbxContent>
                      </v:textbox>
                    </v:shape>
                  </w:pict>
                </mc:Fallback>
              </mc:AlternateContent>
            </w:r>
          </w:p>
        </w:tc>
        <w:tc>
          <w:tcPr>
            <w:tcW w:w="5486" w:type="dxa"/>
            <w:shd w:val="clear" w:color="auto" w:fill="auto"/>
          </w:tcPr>
          <w:p w:rsidR="00B27FD2" w:rsidRPr="005E062A" w:rsidRDefault="00B27FD2" w:rsidP="00D86E22">
            <w:pPr>
              <w:keepNext/>
              <w:keepLines/>
              <w:pageBreakBefore/>
              <w:widowControl/>
              <w:numPr>
                <w:ilvl w:val="0"/>
                <w:numId w:val="52"/>
              </w:numPr>
              <w:tabs>
                <w:tab w:val="clear" w:pos="1418"/>
              </w:tabs>
              <w:adjustRightInd/>
              <w:spacing w:before="60" w:after="60"/>
              <w:ind w:left="475" w:hanging="475"/>
              <w:rPr>
                <w:rFonts w:cs="Arial"/>
                <w:lang w:eastAsia="zh-HK"/>
              </w:rPr>
            </w:pPr>
            <w:r w:rsidRPr="004004DF">
              <w:rPr>
                <w:rFonts w:cs="Arial"/>
                <w:b/>
                <w:u w:val="single"/>
              </w:rPr>
              <w:t>GC09</w:t>
            </w:r>
            <w:r w:rsidRPr="004004DF">
              <w:rPr>
                <w:rFonts w:cs="Arial"/>
                <w:b/>
                <w:u w:val="single"/>
                <w:lang w:eastAsia="zh-HK"/>
              </w:rPr>
              <w:t xml:space="preserve"> (on keeping the records for the right length of time according to the disposal schedules)</w:t>
            </w:r>
            <w:r w:rsidRPr="004004DF">
              <w:rPr>
                <w:rFonts w:cs="Arial"/>
                <w:u w:val="single"/>
              </w:rPr>
              <w:t>:</w:t>
            </w:r>
            <w:r w:rsidRPr="004004DF">
              <w:rPr>
                <w:rFonts w:cs="Arial"/>
                <w:u w:val="single"/>
                <w:lang w:eastAsia="zh-HK"/>
              </w:rPr>
              <w:t xml:space="preserve"> It is important to establish disposal schedules to ensure systematic planning and orderly implementation of records disposal after records have been kept the right length of time to meet the purposes they are created and in compliance with legal or statutory requirements. This will facilitate subsequent transfer of inactive records to GRS</w:t>
            </w:r>
            <w:r>
              <w:rPr>
                <w:rFonts w:cs="Arial"/>
                <w:u w:val="single"/>
                <w:lang w:eastAsia="zh-HK"/>
              </w:rPr>
              <w:t>'</w:t>
            </w:r>
            <w:r w:rsidRPr="004004DF">
              <w:rPr>
                <w:rFonts w:cs="Arial"/>
                <w:u w:val="single"/>
                <w:lang w:eastAsia="zh-HK"/>
              </w:rPr>
              <w:t xml:space="preserve"> records centres for intermediate storage, transfer of archival records to the Public Records Office of GRS for permanent retention or destruction of unwanted records.</w:t>
            </w:r>
          </w:p>
          <w:p w:rsidR="00B27FD2" w:rsidRPr="004004DF" w:rsidRDefault="00B27FD2" w:rsidP="00D86E22">
            <w:pPr>
              <w:keepNext/>
              <w:keepLines/>
              <w:pageBreakBefore/>
              <w:spacing w:before="60" w:after="60"/>
              <w:ind w:left="475"/>
              <w:rPr>
                <w:rFonts w:cs="Arial"/>
                <w:lang w:eastAsia="zh-HK"/>
              </w:rPr>
            </w:pPr>
          </w:p>
        </w:tc>
      </w:tr>
      <w:tr w:rsidR="00B27FD2" w:rsidRPr="004004DF" w:rsidTr="00D86E22">
        <w:trPr>
          <w:trHeight w:val="1815"/>
        </w:trPr>
        <w:tc>
          <w:tcPr>
            <w:tcW w:w="2880" w:type="dxa"/>
            <w:vMerge/>
            <w:shd w:val="clear" w:color="auto" w:fill="auto"/>
          </w:tcPr>
          <w:p w:rsidR="00B27FD2" w:rsidRPr="004004DF" w:rsidRDefault="00B27FD2" w:rsidP="00D86E22">
            <w:pPr>
              <w:keepNext/>
              <w:rPr>
                <w:rFonts w:cs="Arial"/>
                <w:noProof/>
              </w:rPr>
            </w:pPr>
          </w:p>
        </w:tc>
        <w:tc>
          <w:tcPr>
            <w:tcW w:w="5486" w:type="dxa"/>
            <w:shd w:val="clear" w:color="auto" w:fill="auto"/>
          </w:tcPr>
          <w:p w:rsidR="00B27FD2" w:rsidRPr="004004DF" w:rsidRDefault="00B27FD2" w:rsidP="00D86E22">
            <w:pPr>
              <w:keepNext/>
              <w:widowControl/>
              <w:numPr>
                <w:ilvl w:val="0"/>
                <w:numId w:val="52"/>
              </w:numPr>
              <w:tabs>
                <w:tab w:val="clear" w:pos="1418"/>
              </w:tabs>
              <w:adjustRightInd/>
              <w:spacing w:before="60" w:after="60"/>
              <w:rPr>
                <w:rFonts w:cs="Arial"/>
                <w:lang w:eastAsia="zh-HK"/>
              </w:rPr>
            </w:pPr>
            <w:r w:rsidRPr="004004DF">
              <w:rPr>
                <w:rFonts w:cs="Arial"/>
                <w:b/>
                <w:u w:val="single"/>
              </w:rPr>
              <w:t>GC09</w:t>
            </w:r>
            <w:r w:rsidRPr="004004DF">
              <w:rPr>
                <w:rFonts w:cs="Arial"/>
                <w:b/>
                <w:u w:val="single"/>
                <w:lang w:eastAsia="zh-HK"/>
              </w:rPr>
              <w:t xml:space="preserve"> (on establishing disposal schedules)</w:t>
            </w:r>
            <w:r w:rsidRPr="004004DF">
              <w:rPr>
                <w:rFonts w:cs="Arial"/>
                <w:u w:val="single"/>
              </w:rPr>
              <w:t>:</w:t>
            </w:r>
            <w:r w:rsidRPr="004004DF">
              <w:rPr>
                <w:rFonts w:cs="Arial"/>
                <w:u w:val="single"/>
                <w:lang w:eastAsia="zh-HK"/>
              </w:rPr>
              <w:t xml:space="preserve"> Records scheduling should be conducted to establish disposal schedules within two years of creation of new series of programme records.</w:t>
            </w:r>
          </w:p>
          <w:p w:rsidR="00B27FD2" w:rsidRPr="004004DF" w:rsidRDefault="00B27FD2" w:rsidP="00D86E22">
            <w:pPr>
              <w:keepNext/>
              <w:spacing w:before="60" w:after="60"/>
              <w:rPr>
                <w:rFonts w:cs="Arial"/>
                <w:b/>
                <w:u w:val="single"/>
              </w:rPr>
            </w:pPr>
          </w:p>
        </w:tc>
      </w:tr>
    </w:tbl>
    <w:p w:rsidR="00B27FD2" w:rsidRPr="004004DF" w:rsidRDefault="00B27FD2" w:rsidP="00D86E22">
      <w:pPr>
        <w:rPr>
          <w:rFonts w:cs="Arial"/>
        </w:rPr>
      </w:pPr>
    </w:p>
    <w:p w:rsidR="00B27FD2" w:rsidRPr="004004DF" w:rsidRDefault="00B27FD2" w:rsidP="00D86E22">
      <w:pPr>
        <w:rPr>
          <w:rFonts w:cs="Arial"/>
        </w:rPr>
      </w:pPr>
    </w:p>
    <w:p w:rsidR="00B27FD2" w:rsidRDefault="00B27FD2">
      <w:r>
        <w:br w:type="page"/>
      </w:r>
    </w:p>
    <w:tbl>
      <w:tblPr>
        <w:tblW w:w="8366" w:type="dxa"/>
        <w:tblInd w:w="108" w:type="dxa"/>
        <w:tblLook w:val="01E0" w:firstRow="1" w:lastRow="1" w:firstColumn="1" w:lastColumn="1" w:noHBand="0" w:noVBand="0"/>
      </w:tblPr>
      <w:tblGrid>
        <w:gridCol w:w="2880"/>
        <w:gridCol w:w="5486"/>
      </w:tblGrid>
      <w:tr w:rsidR="00B27FD2" w:rsidRPr="004004DF" w:rsidTr="00D86E22">
        <w:trPr>
          <w:tblHeader/>
        </w:trPr>
        <w:tc>
          <w:tcPr>
            <w:tcW w:w="2880" w:type="dxa"/>
            <w:shd w:val="clear" w:color="auto" w:fill="auto"/>
          </w:tcPr>
          <w:p w:rsidR="00B27FD2" w:rsidRPr="004004DF" w:rsidRDefault="00B27FD2" w:rsidP="00B8463D">
            <w:pPr>
              <w:spacing w:after="120"/>
              <w:jc w:val="center"/>
              <w:rPr>
                <w:rFonts w:cs="Arial"/>
                <w:b/>
                <w:u w:val="single"/>
                <w:lang w:eastAsia="zh-HK"/>
              </w:rPr>
            </w:pPr>
            <w:r w:rsidRPr="004004DF">
              <w:rPr>
                <w:rFonts w:cs="Arial"/>
                <w:b/>
                <w:u w:val="single"/>
                <w:lang w:eastAsia="zh-HK"/>
              </w:rPr>
              <w:t>Major Processes</w:t>
            </w:r>
          </w:p>
        </w:tc>
        <w:tc>
          <w:tcPr>
            <w:tcW w:w="5486" w:type="dxa"/>
            <w:shd w:val="clear" w:color="auto" w:fill="auto"/>
          </w:tcPr>
          <w:p w:rsidR="00B27FD2" w:rsidRPr="004004DF" w:rsidRDefault="00B27FD2" w:rsidP="00B8463D">
            <w:pPr>
              <w:spacing w:after="120"/>
              <w:jc w:val="center"/>
              <w:rPr>
                <w:rFonts w:cs="Arial"/>
                <w:b/>
                <w:lang w:eastAsia="zh-HK"/>
              </w:rPr>
            </w:pPr>
            <w:r w:rsidRPr="004004DF">
              <w:rPr>
                <w:rFonts w:cs="Arial"/>
                <w:b/>
                <w:u w:val="single"/>
                <w:lang w:eastAsia="zh-HK"/>
              </w:rPr>
              <w:t xml:space="preserve">Applicable </w:t>
            </w:r>
            <w:r w:rsidRPr="00733C21">
              <w:rPr>
                <w:rFonts w:cs="Arial"/>
                <w:b/>
                <w:u w:val="single"/>
                <w:lang w:eastAsia="zh-HK"/>
              </w:rPr>
              <w:t xml:space="preserve">General Circulars </w:t>
            </w:r>
            <w:r w:rsidRPr="004004DF">
              <w:rPr>
                <w:rFonts w:cs="Arial"/>
                <w:b/>
                <w:u w:val="single"/>
                <w:lang w:eastAsia="zh-HK"/>
              </w:rPr>
              <w:t xml:space="preserve">/ </w:t>
            </w:r>
            <w:r>
              <w:rPr>
                <w:rFonts w:cs="Arial"/>
                <w:b/>
                <w:u w:val="single"/>
                <w:lang w:eastAsia="zh-HK"/>
              </w:rPr>
              <w:t xml:space="preserve">Circular Memoranda </w:t>
            </w:r>
            <w:r w:rsidRPr="004004DF">
              <w:rPr>
                <w:rFonts w:cs="Arial"/>
                <w:b/>
                <w:u w:val="single"/>
                <w:lang w:eastAsia="zh-HK"/>
              </w:rPr>
              <w:t>/ Guidelines</w:t>
            </w:r>
          </w:p>
        </w:tc>
      </w:tr>
      <w:tr w:rsidR="00B27FD2" w:rsidRPr="004004DF" w:rsidTr="00D86E22">
        <w:tc>
          <w:tcPr>
            <w:tcW w:w="2880" w:type="dxa"/>
            <w:shd w:val="clear" w:color="auto" w:fill="auto"/>
          </w:tcPr>
          <w:p w:rsidR="00B27FD2" w:rsidRPr="004004DF" w:rsidRDefault="00764270" w:rsidP="00D86E22">
            <w:pPr>
              <w:rPr>
                <w:rFonts w:cs="Arial"/>
              </w:rPr>
            </w:pPr>
            <w:r>
              <w:rPr>
                <w:noProof/>
                <w:snapToGrid/>
              </w:rPr>
              <mc:AlternateContent>
                <mc:Choice Requires="wps">
                  <w:drawing>
                    <wp:anchor distT="0" distB="0" distL="114300" distR="114300" simplePos="0" relativeHeight="251661824" behindDoc="0" locked="0" layoutInCell="1" allowOverlap="1">
                      <wp:simplePos x="0" y="0"/>
                      <wp:positionH relativeFrom="column">
                        <wp:posOffset>-78105</wp:posOffset>
                      </wp:positionH>
                      <wp:positionV relativeFrom="paragraph">
                        <wp:posOffset>3949065</wp:posOffset>
                      </wp:positionV>
                      <wp:extent cx="1828800" cy="904875"/>
                      <wp:effectExtent l="0" t="0" r="19050" b="28575"/>
                      <wp:wrapNone/>
                      <wp:docPr id="26" name="文字方塊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4875"/>
                              </a:xfrm>
                              <a:prstGeom prst="rect">
                                <a:avLst/>
                              </a:prstGeom>
                              <a:solidFill>
                                <a:srgbClr val="FFFFFF"/>
                              </a:solidFill>
                              <a:ln w="19050">
                                <a:solidFill>
                                  <a:srgbClr val="000000"/>
                                </a:solidFill>
                                <a:miter lim="800000"/>
                                <a:headEnd/>
                                <a:tailEnd/>
                              </a:ln>
                            </wps:spPr>
                            <wps:txbx>
                              <w:txbxContent>
                                <w:p w:rsidR="009A4F49" w:rsidRPr="00DB3FEC" w:rsidRDefault="009A4F49" w:rsidP="00D86E22">
                                  <w:pPr>
                                    <w:spacing w:line="0" w:lineRule="atLeast"/>
                                    <w:ind w:left="426" w:hanging="426"/>
                                    <w:rPr>
                                      <w:rFonts w:cs="Arial"/>
                                      <w:b/>
                                      <w:sz w:val="22"/>
                                      <w:lang w:eastAsia="zh-HK"/>
                                    </w:rPr>
                                  </w:pPr>
                                  <w:r w:rsidRPr="00DB3FEC">
                                    <w:rPr>
                                      <w:rFonts w:cs="Arial"/>
                                      <w:b/>
                                      <w:sz w:val="22"/>
                                      <w:lang w:eastAsia="zh-HK"/>
                                    </w:rPr>
                                    <w:t>2)</w:t>
                                  </w:r>
                                  <w:r w:rsidRPr="00DB3FEC">
                                    <w:rPr>
                                      <w:rFonts w:cs="Arial"/>
                                      <w:b/>
                                      <w:sz w:val="22"/>
                                      <w:lang w:eastAsia="zh-HK"/>
                                    </w:rPr>
                                    <w:tab/>
                                    <w:t>Endorse the draft by an officer not below the rank of Senior Executive Officer (SEO) or equivalent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4" o:spid="_x0000_s1054" type="#_x0000_t202" style="position:absolute;left:0;text-align:left;margin-left:-6.15pt;margin-top:310.95pt;width:2in;height: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" strokeweight="1.5pt">
                      <v:textbox>
                        <w:txbxContent>
                          <w:p w:rsidR="009A4F49" w:rsidRPr="00DB3FEC" w:rsidRDefault="009A4F49" w:rsidP="00D86E22">
                            <w:pPr>
                              <w:spacing w:line="0" w:lineRule="atLeast"/>
                              <w:ind w:left="426" w:hanging="426"/>
                              <w:rPr>
                                <w:rFonts w:cs="Arial"/>
                                <w:b/>
                                <w:sz w:val="22"/>
                                <w:lang w:eastAsia="zh-HK"/>
                              </w:rPr>
                            </w:pPr>
                            <w:r w:rsidRPr="00DB3FEC">
                              <w:rPr>
                                <w:rFonts w:cs="Arial"/>
                                <w:b/>
                                <w:sz w:val="22"/>
                                <w:lang w:eastAsia="zh-HK"/>
                              </w:rPr>
                              <w:t>2)</w:t>
                            </w:r>
                            <w:r w:rsidRPr="00DB3FEC">
                              <w:rPr>
                                <w:rFonts w:cs="Arial"/>
                                <w:b/>
                                <w:sz w:val="22"/>
                                <w:lang w:eastAsia="zh-HK"/>
                              </w:rPr>
                              <w:tab/>
                              <w:t>Endorse the draft by an officer not below the rank of Senior Executive Officer (SEO) or equivalent</w:t>
                            </w:r>
                          </w:p>
                        </w:txbxContent>
                      </v:textbox>
                    </v:shape>
                  </w:pict>
                </mc:Fallback>
              </mc:AlternateContent>
            </w:r>
            <w:r>
              <w:rPr>
                <w:noProof/>
                <w:snapToGrid/>
              </w:rPr>
              <mc:AlternateContent>
                <mc:Choice Requires="wps">
                  <w:drawing>
                    <wp:anchor distT="0" distB="0" distL="114300" distR="114300" simplePos="0" relativeHeight="251662848" behindDoc="0" locked="0" layoutInCell="1" allowOverlap="1">
                      <wp:simplePos x="0" y="0"/>
                      <wp:positionH relativeFrom="column">
                        <wp:posOffset>-78105</wp:posOffset>
                      </wp:positionH>
                      <wp:positionV relativeFrom="paragraph">
                        <wp:posOffset>5320665</wp:posOffset>
                      </wp:positionV>
                      <wp:extent cx="1838325" cy="457200"/>
                      <wp:effectExtent l="0" t="0" r="28575" b="19050"/>
                      <wp:wrapNone/>
                      <wp:docPr id="24" name="文字方塊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57200"/>
                              </a:xfrm>
                              <a:prstGeom prst="rect">
                                <a:avLst/>
                              </a:prstGeom>
                              <a:solidFill>
                                <a:srgbClr val="FFFFFF"/>
                              </a:solidFill>
                              <a:ln w="19050">
                                <a:solidFill>
                                  <a:srgbClr val="000000"/>
                                </a:solidFill>
                                <a:miter lim="800000"/>
                                <a:headEnd/>
                                <a:tailEnd/>
                              </a:ln>
                            </wps:spPr>
                            <wps:txbx>
                              <w:txbxContent>
                                <w:p w:rsidR="009A4F49" w:rsidRPr="00DB3FEC" w:rsidRDefault="009A4F49" w:rsidP="00D86E22">
                                  <w:pPr>
                                    <w:spacing w:line="0" w:lineRule="atLeast"/>
                                    <w:ind w:left="426" w:hanging="426"/>
                                    <w:rPr>
                                      <w:rFonts w:cs="Arial"/>
                                      <w:b/>
                                      <w:sz w:val="22"/>
                                      <w:lang w:eastAsia="zh-HK"/>
                                    </w:rPr>
                                  </w:pPr>
                                  <w:r w:rsidRPr="00DB3FEC">
                                    <w:rPr>
                                      <w:rFonts w:cs="Arial"/>
                                      <w:b/>
                                      <w:sz w:val="22"/>
                                      <w:lang w:eastAsia="zh-HK"/>
                                    </w:rPr>
                                    <w:t>3)</w:t>
                                  </w:r>
                                  <w:r w:rsidRPr="00DB3FEC">
                                    <w:rPr>
                                      <w:rFonts w:cs="Arial"/>
                                      <w:b/>
                                      <w:sz w:val="22"/>
                                      <w:lang w:eastAsia="zh-HK"/>
                                    </w:rPr>
                                    <w:tab/>
                                    <w:t>Submit to GRS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0" o:spid="_x0000_s1055" type="#_x0000_t202" style="position:absolute;left:0;text-align:left;margin-left:-6.15pt;margin-top:418.95pt;width:144.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" strokeweight="1.5pt">
                      <v:textbox>
                        <w:txbxContent>
                          <w:p w:rsidR="009A4F49" w:rsidRPr="00DB3FEC" w:rsidRDefault="009A4F49" w:rsidP="00D86E22">
                            <w:pPr>
                              <w:spacing w:line="0" w:lineRule="atLeast"/>
                              <w:ind w:left="426" w:hanging="426"/>
                              <w:rPr>
                                <w:rFonts w:cs="Arial"/>
                                <w:b/>
                                <w:sz w:val="22"/>
                                <w:lang w:eastAsia="zh-HK"/>
                              </w:rPr>
                            </w:pPr>
                            <w:r w:rsidRPr="00DB3FEC">
                              <w:rPr>
                                <w:rFonts w:cs="Arial"/>
                                <w:b/>
                                <w:sz w:val="22"/>
                                <w:lang w:eastAsia="zh-HK"/>
                              </w:rPr>
                              <w:t>3)</w:t>
                            </w:r>
                            <w:r w:rsidRPr="00DB3FEC">
                              <w:rPr>
                                <w:rFonts w:cs="Arial"/>
                                <w:b/>
                                <w:sz w:val="22"/>
                                <w:lang w:eastAsia="zh-HK"/>
                              </w:rPr>
                              <w:tab/>
                              <w:t>Submit to GRS for consideration</w:t>
                            </w:r>
                          </w:p>
                        </w:txbxContent>
                      </v:textbox>
                    </v:shape>
                  </w:pict>
                </mc:Fallback>
              </mc:AlternateContent>
            </w:r>
            <w:r>
              <w:rPr>
                <w:noProof/>
                <w:snapToGrid/>
              </w:rPr>
              <mc:AlternateContent>
                <mc:Choice Requires="wps">
                  <w:drawing>
                    <wp:anchor distT="0" distB="0" distL="114300" distR="114300" simplePos="0" relativeHeight="251668992" behindDoc="0" locked="0" layoutInCell="1" allowOverlap="1">
                      <wp:simplePos x="0" y="0"/>
                      <wp:positionH relativeFrom="column">
                        <wp:posOffset>-78105</wp:posOffset>
                      </wp:positionH>
                      <wp:positionV relativeFrom="paragraph">
                        <wp:posOffset>6258560</wp:posOffset>
                      </wp:positionV>
                      <wp:extent cx="1819275" cy="1247775"/>
                      <wp:effectExtent l="0" t="0" r="28575" b="28575"/>
                      <wp:wrapNone/>
                      <wp:docPr id="23" name="文字方塊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47775"/>
                              </a:xfrm>
                              <a:prstGeom prst="rect">
                                <a:avLst/>
                              </a:prstGeom>
                              <a:solidFill>
                                <a:srgbClr val="FFFFFF"/>
                              </a:solidFill>
                              <a:ln w="19050">
                                <a:solidFill>
                                  <a:srgbClr val="000000"/>
                                </a:solidFill>
                                <a:miter lim="800000"/>
                                <a:headEnd/>
                                <a:tailEnd/>
                              </a:ln>
                            </wps:spPr>
                            <wps:txbx>
                              <w:txbxContent>
                                <w:p w:rsidR="009A4F49" w:rsidRPr="00DB3FEC" w:rsidRDefault="009A4F49" w:rsidP="00D86E22">
                                  <w:pPr>
                                    <w:spacing w:line="0" w:lineRule="atLeast"/>
                                    <w:ind w:left="432" w:hanging="432"/>
                                    <w:rPr>
                                      <w:rFonts w:cs="Arial"/>
                                      <w:b/>
                                      <w:sz w:val="22"/>
                                      <w:lang w:eastAsia="zh-HK"/>
                                    </w:rPr>
                                  </w:pPr>
                                  <w:r w:rsidRPr="00DB3FEC">
                                    <w:rPr>
                                      <w:rFonts w:cs="Arial"/>
                                      <w:b/>
                                      <w:sz w:val="22"/>
                                      <w:lang w:eastAsia="zh-HK"/>
                                    </w:rPr>
                                    <w:t>4)</w:t>
                                  </w:r>
                                  <w:r w:rsidRPr="00DB3FEC">
                                    <w:rPr>
                                      <w:rFonts w:cs="Arial"/>
                                      <w:b/>
                                      <w:sz w:val="22"/>
                                      <w:lang w:eastAsia="zh-HK"/>
                                    </w:rPr>
                                    <w:tab/>
                                    <w:t>Finalised disposal schedules to be signed by an officer not below the rank of SEO or equivalent in the B/D concerned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6" o:spid="_x0000_s1056" type="#_x0000_t202" style="position:absolute;left:0;text-align:left;margin-left:-6.15pt;margin-top:492.8pt;width:143.2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" strokeweight="1.5pt">
                      <v:textbox>
                        <w:txbxContent>
                          <w:p w:rsidR="009A4F49" w:rsidRPr="00DB3FEC" w:rsidRDefault="009A4F49" w:rsidP="00D86E22">
                            <w:pPr>
                              <w:spacing w:line="0" w:lineRule="atLeast"/>
                              <w:ind w:left="432" w:hanging="432"/>
                              <w:rPr>
                                <w:rFonts w:cs="Arial"/>
                                <w:b/>
                                <w:sz w:val="22"/>
                                <w:lang w:eastAsia="zh-HK"/>
                              </w:rPr>
                            </w:pPr>
                            <w:r w:rsidRPr="00DB3FEC">
                              <w:rPr>
                                <w:rFonts w:cs="Arial"/>
                                <w:b/>
                                <w:sz w:val="22"/>
                                <w:lang w:eastAsia="zh-HK"/>
                              </w:rPr>
                              <w:t>4)</w:t>
                            </w:r>
                            <w:r w:rsidRPr="00DB3FEC">
                              <w:rPr>
                                <w:rFonts w:cs="Arial"/>
                                <w:b/>
                                <w:sz w:val="22"/>
                                <w:lang w:eastAsia="zh-HK"/>
                              </w:rPr>
                              <w:tab/>
                              <w:t>Finalised disposal schedules to be signed by an officer not below the rank of SEO or equivalent in the B/D concerned</w:t>
                            </w:r>
                          </w:p>
                        </w:txbxContent>
                      </v:textbox>
                    </v:shape>
                  </w:pict>
                </mc:Fallback>
              </mc:AlternateContent>
            </w:r>
            <w:r>
              <w:rPr>
                <w:noProof/>
                <w:snapToGrid/>
              </w:rPr>
              <mc:AlternateContent>
                <mc:Choice Requires="wps">
                  <w:drawing>
                    <wp:anchor distT="0" distB="0" distL="114300" distR="114300" simplePos="0" relativeHeight="251674112" behindDoc="0" locked="0" layoutInCell="1" allowOverlap="1">
                      <wp:simplePos x="0" y="0"/>
                      <wp:positionH relativeFrom="column">
                        <wp:posOffset>179070</wp:posOffset>
                      </wp:positionH>
                      <wp:positionV relativeFrom="paragraph">
                        <wp:posOffset>5777865</wp:posOffset>
                      </wp:positionV>
                      <wp:extent cx="238125" cy="471170"/>
                      <wp:effectExtent l="19050" t="0" r="28575" b="43180"/>
                      <wp:wrapNone/>
                      <wp:docPr id="22" name="向下箭號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7117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01" o:spid="_x0000_s1026" type="#_x0000_t67" style="position:absolute;margin-left:14.1pt;margin-top:454.95pt;width:18.75pt;height:3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" adj="16142" fillcolor="window" strokecolor="windowText" strokeweight="2pt">
                      <v:path arrowok="t"/>
                    </v:shape>
                  </w:pict>
                </mc:Fallback>
              </mc:AlternateContent>
            </w:r>
            <w:r>
              <w:rPr>
                <w:noProof/>
                <w:snapToGrid/>
              </w:rPr>
              <mc:AlternateContent>
                <mc:Choice Requires="wps">
                  <w:drawing>
                    <wp:anchor distT="0" distB="0" distL="114300" distR="114300" simplePos="0" relativeHeight="251667968" behindDoc="0" locked="0" layoutInCell="1" allowOverlap="1">
                      <wp:simplePos x="0" y="0"/>
                      <wp:positionH relativeFrom="column">
                        <wp:posOffset>179070</wp:posOffset>
                      </wp:positionH>
                      <wp:positionV relativeFrom="paragraph">
                        <wp:posOffset>3510915</wp:posOffset>
                      </wp:positionV>
                      <wp:extent cx="238125" cy="438150"/>
                      <wp:effectExtent l="19050" t="0" r="47625" b="38100"/>
                      <wp:wrapNone/>
                      <wp:docPr id="27" name="向下箭號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381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26" o:spid="_x0000_s1026" type="#_x0000_t67" style="position:absolute;margin-left:14.1pt;margin-top:276.45pt;width:18.7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" adj="15730" fillcolor="window" strokecolor="windowText" strokeweight="2pt">
                      <v:path arrowok="t"/>
                    </v:shape>
                  </w:pict>
                </mc:Fallback>
              </mc:AlternateContent>
            </w:r>
            <w:r>
              <w:rPr>
                <w:noProof/>
                <w:snapToGrid/>
              </w:rPr>
              <mc:AlternateContent>
                <mc:Choice Requires="wps">
                  <w:drawing>
                    <wp:anchor distT="0" distB="0" distL="114300" distR="114300" simplePos="0" relativeHeight="251671040" behindDoc="0" locked="0" layoutInCell="1" allowOverlap="1">
                      <wp:simplePos x="0" y="0"/>
                      <wp:positionH relativeFrom="column">
                        <wp:posOffset>179070</wp:posOffset>
                      </wp:positionH>
                      <wp:positionV relativeFrom="paragraph">
                        <wp:posOffset>4853940</wp:posOffset>
                      </wp:positionV>
                      <wp:extent cx="238125" cy="457200"/>
                      <wp:effectExtent l="19050" t="0" r="28575" b="38100"/>
                      <wp:wrapNone/>
                      <wp:docPr id="25" name="向下箭號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572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23" o:spid="_x0000_s1026" type="#_x0000_t67" style="position:absolute;margin-left:14.1pt;margin-top:382.2pt;width:18.7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" adj="15975" fillcolor="window" strokecolor="windowText" strokeweight="2pt">
                      <v:path arrowok="t"/>
                    </v:shape>
                  </w:pict>
                </mc:Fallback>
              </mc:AlternateContent>
            </w:r>
            <w:r>
              <w:rPr>
                <w:noProof/>
                <w:snapToGrid/>
              </w:rPr>
              <mc:AlternateContent>
                <mc:Choice Requires="wps">
                  <w:drawing>
                    <wp:anchor distT="0" distB="0" distL="114300" distR="114300" simplePos="0" relativeHeight="251660800" behindDoc="0" locked="0" layoutInCell="1" allowOverlap="1">
                      <wp:simplePos x="0" y="0"/>
                      <wp:positionH relativeFrom="column">
                        <wp:posOffset>-78105</wp:posOffset>
                      </wp:positionH>
                      <wp:positionV relativeFrom="paragraph">
                        <wp:posOffset>2720340</wp:posOffset>
                      </wp:positionV>
                      <wp:extent cx="1819275" cy="790575"/>
                      <wp:effectExtent l="0" t="0" r="28575" b="28575"/>
                      <wp:wrapNone/>
                      <wp:docPr id="28" name="文字方塊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90575"/>
                              </a:xfrm>
                              <a:prstGeom prst="rect">
                                <a:avLst/>
                              </a:prstGeom>
                              <a:solidFill>
                                <a:srgbClr val="FFFFFF"/>
                              </a:solidFill>
                              <a:ln w="19050">
                                <a:solidFill>
                                  <a:srgbClr val="000000"/>
                                </a:solidFill>
                                <a:miter lim="800000"/>
                                <a:headEnd/>
                                <a:tailEnd/>
                              </a:ln>
                            </wps:spPr>
                            <wps:txbx>
                              <w:txbxContent>
                                <w:p w:rsidR="009A4F49" w:rsidRPr="00DB3FEC" w:rsidRDefault="009A4F49" w:rsidP="00D86E22">
                                  <w:pPr>
                                    <w:spacing w:line="0" w:lineRule="atLeast"/>
                                    <w:ind w:left="432" w:hanging="432"/>
                                    <w:jc w:val="left"/>
                                    <w:rPr>
                                      <w:rFonts w:cs="Arial"/>
                                      <w:b/>
                                      <w:sz w:val="22"/>
                                      <w:lang w:eastAsia="zh-HK"/>
                                    </w:rPr>
                                  </w:pPr>
                                  <w:r w:rsidRPr="00DB3FEC">
                                    <w:rPr>
                                      <w:rFonts w:cs="Arial"/>
                                      <w:b/>
                                      <w:sz w:val="22"/>
                                      <w:lang w:eastAsia="zh-HK"/>
                                    </w:rPr>
                                    <w:t>1)</w:t>
                                  </w:r>
                                  <w:r w:rsidRPr="00DB3FEC">
                                    <w:rPr>
                                      <w:rFonts w:cs="Arial"/>
                                      <w:b/>
                                      <w:sz w:val="22"/>
                                      <w:lang w:eastAsia="zh-HK"/>
                                    </w:rPr>
                                    <w:tab/>
                                    <w:t>Prepare draft disposal schedules covering all programme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7" o:spid="_x0000_s1057" type="#_x0000_t202" style="position:absolute;left:0;text-align:left;margin-left:-6.15pt;margin-top:214.2pt;width:143.2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" strokeweight="1.5pt">
                      <v:textbox>
                        <w:txbxContent>
                          <w:p w:rsidR="009A4F49" w:rsidRPr="00DB3FEC" w:rsidRDefault="009A4F49" w:rsidP="00D86E22">
                            <w:pPr>
                              <w:spacing w:line="0" w:lineRule="atLeast"/>
                              <w:ind w:left="432" w:hanging="432"/>
                              <w:jc w:val="left"/>
                              <w:rPr>
                                <w:rFonts w:cs="Arial"/>
                                <w:b/>
                                <w:sz w:val="22"/>
                                <w:lang w:eastAsia="zh-HK"/>
                              </w:rPr>
                            </w:pPr>
                            <w:r w:rsidRPr="00DB3FEC">
                              <w:rPr>
                                <w:rFonts w:cs="Arial"/>
                                <w:b/>
                                <w:sz w:val="22"/>
                                <w:lang w:eastAsia="zh-HK"/>
                              </w:rPr>
                              <w:t>1)</w:t>
                            </w:r>
                            <w:r w:rsidRPr="00DB3FEC">
                              <w:rPr>
                                <w:rFonts w:cs="Arial"/>
                                <w:b/>
                                <w:sz w:val="22"/>
                                <w:lang w:eastAsia="zh-HK"/>
                              </w:rPr>
                              <w:tab/>
                              <w:t>Prepare draft disposal schedules covering all programme records</w:t>
                            </w:r>
                          </w:p>
                        </w:txbxContent>
                      </v:textbox>
                    </v:shape>
                  </w:pict>
                </mc:Fallback>
              </mc:AlternateContent>
            </w:r>
            <w:r>
              <w:rPr>
                <w:noProof/>
                <w:snapToGrid/>
              </w:rPr>
              <mc:AlternateContent>
                <mc:Choice Requires="wps">
                  <w:drawing>
                    <wp:anchor distT="0" distB="0" distL="114300" distR="114300" simplePos="0" relativeHeight="251673088" behindDoc="0" locked="0" layoutInCell="1" allowOverlap="1">
                      <wp:simplePos x="0" y="0"/>
                      <wp:positionH relativeFrom="column">
                        <wp:posOffset>1102995</wp:posOffset>
                      </wp:positionH>
                      <wp:positionV relativeFrom="paragraph">
                        <wp:posOffset>1501140</wp:posOffset>
                      </wp:positionV>
                      <wp:extent cx="238125" cy="390525"/>
                      <wp:effectExtent l="19050" t="0" r="47625" b="47625"/>
                      <wp:wrapNone/>
                      <wp:docPr id="293" name="向下箭號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905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30" o:spid="_x0000_s1026" type="#_x0000_t67" style="position:absolute;margin-left:86.85pt;margin-top:118.2pt;width:18.7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" adj="15015" fillcolor="window" strokecolor="windowText" strokeweight="2pt">
                      <v:path arrowok="t"/>
                    </v:shape>
                  </w:pict>
                </mc:Fallback>
              </mc:AlternateContent>
            </w:r>
            <w:r>
              <w:rPr>
                <w:noProof/>
                <w:snapToGrid/>
              </w:rPr>
              <mc:AlternateContent>
                <mc:Choice Requires="wps">
                  <w:drawing>
                    <wp:anchor distT="0" distB="0" distL="114300" distR="114300" simplePos="0" relativeHeight="251672064" behindDoc="0" locked="0" layoutInCell="1" allowOverlap="1">
                      <wp:simplePos x="0" y="0"/>
                      <wp:positionH relativeFrom="column">
                        <wp:posOffset>731520</wp:posOffset>
                      </wp:positionH>
                      <wp:positionV relativeFrom="paragraph">
                        <wp:posOffset>1891665</wp:posOffset>
                      </wp:positionV>
                      <wp:extent cx="1009650" cy="752475"/>
                      <wp:effectExtent l="0" t="0" r="19050" b="28575"/>
                      <wp:wrapNone/>
                      <wp:docPr id="29" name="文字方塊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52475"/>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240" w:lineRule="exact"/>
                                    <w:jc w:val="center"/>
                                    <w:rPr>
                                      <w:rFonts w:cs="Arial"/>
                                      <w:b/>
                                      <w:sz w:val="22"/>
                                      <w:lang w:eastAsia="zh-HK"/>
                                    </w:rPr>
                                  </w:pPr>
                                  <w:r w:rsidRPr="00DB3FEC">
                                    <w:rPr>
                                      <w:rFonts w:cs="Arial"/>
                                      <w:b/>
                                      <w:sz w:val="22"/>
                                      <w:lang w:eastAsia="zh-HK"/>
                                    </w:rPr>
                                    <w:t>Refer to disposal schedules in GARDS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8" o:spid="_x0000_s1058" type="#_x0000_t202" style="position:absolute;left:0;text-align:left;margin-left:57.6pt;margin-top:148.95pt;width:79.5pt;height:5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" strokeweight="1.5pt">
                      <v:textbox>
                        <w:txbxContent>
                          <w:p w:rsidR="009A4F49" w:rsidRPr="00DB3FEC" w:rsidRDefault="009A4F49" w:rsidP="00440249">
                            <w:pPr>
                              <w:spacing w:line="240" w:lineRule="exact"/>
                              <w:jc w:val="center"/>
                              <w:rPr>
                                <w:rFonts w:cs="Arial"/>
                                <w:b/>
                                <w:sz w:val="22"/>
                                <w:lang w:eastAsia="zh-HK"/>
                              </w:rPr>
                            </w:pPr>
                            <w:r w:rsidRPr="00DB3FEC">
                              <w:rPr>
                                <w:rFonts w:cs="Arial"/>
                                <w:b/>
                                <w:sz w:val="22"/>
                                <w:lang w:eastAsia="zh-HK"/>
                              </w:rPr>
                              <w:t>Refer to disposal schedules in GARDS</w:t>
                            </w:r>
                          </w:p>
                        </w:txbxContent>
                      </v:textbox>
                    </v:shape>
                  </w:pict>
                </mc:Fallback>
              </mc:AlternateContent>
            </w:r>
            <w:r>
              <w:rPr>
                <w:noProof/>
                <w:snapToGrid/>
              </w:rPr>
              <mc:AlternateContent>
                <mc:Choice Requires="wps">
                  <w:drawing>
                    <wp:anchor distT="0" distB="0" distL="114300" distR="114300" simplePos="0" relativeHeight="251670016" behindDoc="0" locked="0" layoutInCell="1" allowOverlap="1">
                      <wp:simplePos x="0" y="0"/>
                      <wp:positionH relativeFrom="column">
                        <wp:posOffset>45720</wp:posOffset>
                      </wp:positionH>
                      <wp:positionV relativeFrom="paragraph">
                        <wp:posOffset>1501140</wp:posOffset>
                      </wp:positionV>
                      <wp:extent cx="257175" cy="1066800"/>
                      <wp:effectExtent l="19050" t="0" r="28575" b="38100"/>
                      <wp:wrapNone/>
                      <wp:docPr id="291" name="向下箭號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0668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29" o:spid="_x0000_s1026" type="#_x0000_t67" style="position:absolute;margin-left:3.6pt;margin-top:118.2pt;width:20.25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" adj="18996" fillcolor="window" strokecolor="windowText" strokeweight="2pt">
                      <v:path arrowok="t"/>
                    </v:shape>
                  </w:pict>
                </mc:Fallback>
              </mc:AlternateContent>
            </w:r>
            <w:r>
              <w:rPr>
                <w:noProof/>
                <w:snapToGrid/>
              </w:rPr>
              <mc:AlternateContent>
                <mc:Choice Requires="wps">
                  <w:drawing>
                    <wp:anchor distT="0" distB="0" distL="114300" distR="114300" simplePos="0" relativeHeight="251663872" behindDoc="0" locked="0" layoutInCell="1" allowOverlap="1">
                      <wp:simplePos x="0" y="0"/>
                      <wp:positionH relativeFrom="column">
                        <wp:posOffset>64770</wp:posOffset>
                      </wp:positionH>
                      <wp:positionV relativeFrom="paragraph">
                        <wp:posOffset>786765</wp:posOffset>
                      </wp:positionV>
                      <wp:extent cx="238125" cy="323850"/>
                      <wp:effectExtent l="19050" t="0" r="28575" b="38100"/>
                      <wp:wrapNone/>
                      <wp:docPr id="301" name="向下箭號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34" o:spid="_x0000_s1026" type="#_x0000_t67" style="position:absolute;margin-left:5.1pt;margin-top:61.95pt;width:18.7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" adj="13659" fillcolor="window" strokecolor="windowText" strokeweight="2pt">
                      <v:path arrowok="t"/>
                    </v:shape>
                  </w:pict>
                </mc:Fallback>
              </mc:AlternateContent>
            </w:r>
            <w:r>
              <w:rPr>
                <w:noProof/>
                <w:snapToGrid/>
              </w:rPr>
              <mc:AlternateContent>
                <mc:Choice Requires="wps">
                  <w:drawing>
                    <wp:anchor distT="0" distB="0" distL="114300" distR="114300" simplePos="0" relativeHeight="251664896" behindDoc="0" locked="0" layoutInCell="1" allowOverlap="1">
                      <wp:simplePos x="0" y="0"/>
                      <wp:positionH relativeFrom="column">
                        <wp:posOffset>1102995</wp:posOffset>
                      </wp:positionH>
                      <wp:positionV relativeFrom="paragraph">
                        <wp:posOffset>786765</wp:posOffset>
                      </wp:positionV>
                      <wp:extent cx="238125" cy="323850"/>
                      <wp:effectExtent l="19050" t="0" r="28575" b="38100"/>
                      <wp:wrapNone/>
                      <wp:docPr id="299" name="向下箭號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2385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33" o:spid="_x0000_s1026" type="#_x0000_t67" style="position:absolute;margin-left:86.85pt;margin-top:61.95pt;width:18.7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" adj="13659" fillcolor="window" strokecolor="windowText" strokeweight="2pt">
                      <v:path arrowok="t"/>
                    </v:shape>
                  </w:pict>
                </mc:Fallback>
              </mc:AlternateContent>
            </w:r>
            <w:r>
              <w:rPr>
                <w:noProof/>
                <w:snapToGrid/>
              </w:rPr>
              <mc:AlternateContent>
                <mc:Choice Requires="wps">
                  <w:drawing>
                    <wp:anchor distT="0" distB="0" distL="114300" distR="114300" simplePos="0" relativeHeight="251665920" behindDoc="0" locked="0" layoutInCell="1" allowOverlap="1">
                      <wp:simplePos x="0" y="0"/>
                      <wp:positionH relativeFrom="column">
                        <wp:posOffset>-220980</wp:posOffset>
                      </wp:positionH>
                      <wp:positionV relativeFrom="paragraph">
                        <wp:posOffset>1129665</wp:posOffset>
                      </wp:positionV>
                      <wp:extent cx="857250" cy="371475"/>
                      <wp:effectExtent l="0" t="0" r="19050" b="28575"/>
                      <wp:wrapNone/>
                      <wp:docPr id="21" name="文字方塊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71475"/>
                              </a:xfrm>
                              <a:prstGeom prst="rect">
                                <a:avLst/>
                              </a:prstGeom>
                              <a:solidFill>
                                <a:srgbClr val="FFFFFF"/>
                              </a:solidFill>
                              <a:ln w="19050">
                                <a:solidFill>
                                  <a:srgbClr val="000000"/>
                                </a:solidFill>
                                <a:miter lim="800000"/>
                                <a:headEnd/>
                                <a:tailEnd/>
                              </a:ln>
                            </wps:spPr>
                            <wps:txbx>
                              <w:txbxContent>
                                <w:p w:rsidR="009A4F49" w:rsidRPr="005655BF" w:rsidRDefault="009A4F49" w:rsidP="00440249">
                                  <w:pPr>
                                    <w:spacing w:line="0" w:lineRule="atLeast"/>
                                    <w:jc w:val="center"/>
                                    <w:rPr>
                                      <w:rFonts w:cs="Arial"/>
                                      <w:b/>
                                      <w:sz w:val="18"/>
                                      <w:szCs w:val="18"/>
                                      <w:lang w:eastAsia="zh-HK"/>
                                    </w:rPr>
                                  </w:pPr>
                                  <w:r w:rsidRPr="005655BF">
                                    <w:rPr>
                                      <w:rFonts w:cs="Arial"/>
                                      <w:b/>
                                      <w:sz w:val="18"/>
                                      <w:szCs w:val="18"/>
                                      <w:lang w:eastAsia="zh-HK"/>
                                    </w:rPr>
                                    <w:t>Programme records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文字方塊 331" o:spid="_x0000_s1059" type="#_x0000_t202" style="position:absolute;left:0;text-align:left;margin-left:-17.4pt;margin-top:88.95pt;width:67.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" strokeweight="1.5pt">
                      <v:textbox>
                        <w:txbxContent>
                          <w:p w:rsidR="009A4F49" w:rsidRPr="005655BF" w:rsidRDefault="009A4F49" w:rsidP="00440249">
                            <w:pPr>
                              <w:spacing w:line="0" w:lineRule="atLeast"/>
                              <w:jc w:val="center"/>
                              <w:rPr>
                                <w:rFonts w:cs="Arial"/>
                                <w:b/>
                                <w:sz w:val="18"/>
                                <w:szCs w:val="18"/>
                                <w:lang w:eastAsia="zh-HK"/>
                              </w:rPr>
                            </w:pPr>
                            <w:r w:rsidRPr="005655BF">
                              <w:rPr>
                                <w:rFonts w:cs="Arial"/>
                                <w:b/>
                                <w:sz w:val="18"/>
                                <w:szCs w:val="18"/>
                                <w:lang w:eastAsia="zh-HK"/>
                              </w:rPr>
                              <w:t>Programme records</w:t>
                            </w:r>
                          </w:p>
                        </w:txbxContent>
                      </v:textbox>
                    </v:shape>
                  </w:pict>
                </mc:Fallback>
              </mc:AlternateContent>
            </w:r>
            <w:r>
              <w:rPr>
                <w:noProof/>
                <w:snapToGrid/>
              </w:rPr>
              <mc:AlternateContent>
                <mc:Choice Requires="wps">
                  <w:drawing>
                    <wp:anchor distT="0" distB="0" distL="114300" distR="114300" simplePos="0" relativeHeight="251666944" behindDoc="0" locked="0" layoutInCell="1" allowOverlap="1">
                      <wp:simplePos x="0" y="0"/>
                      <wp:positionH relativeFrom="column">
                        <wp:posOffset>731520</wp:posOffset>
                      </wp:positionH>
                      <wp:positionV relativeFrom="paragraph">
                        <wp:posOffset>1129665</wp:posOffset>
                      </wp:positionV>
                      <wp:extent cx="1009650" cy="371475"/>
                      <wp:effectExtent l="0" t="0" r="19050" b="28575"/>
                      <wp:wrapNone/>
                      <wp:docPr id="295" name="文字方塊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19050">
                                <a:solidFill>
                                  <a:srgbClr val="000000"/>
                                </a:solidFill>
                                <a:miter lim="800000"/>
                                <a:headEnd/>
                                <a:tailEnd/>
                              </a:ln>
                            </wps:spPr>
                            <wps:txbx>
                              <w:txbxContent>
                                <w:p w:rsidR="009A4F49" w:rsidRPr="005655BF" w:rsidRDefault="009A4F49" w:rsidP="00440249">
                                  <w:pPr>
                                    <w:spacing w:line="0" w:lineRule="atLeast"/>
                                    <w:jc w:val="center"/>
                                    <w:rPr>
                                      <w:rFonts w:cs="Arial"/>
                                      <w:b/>
                                      <w:sz w:val="18"/>
                                      <w:szCs w:val="18"/>
                                      <w:lang w:eastAsia="zh-HK"/>
                                    </w:rPr>
                                  </w:pPr>
                                  <w:r w:rsidRPr="005655BF">
                                    <w:rPr>
                                      <w:rFonts w:cs="Arial" w:hint="eastAsia"/>
                                      <w:b/>
                                      <w:sz w:val="18"/>
                                      <w:szCs w:val="18"/>
                                      <w:lang w:eastAsia="zh-HK"/>
                                    </w:rPr>
                                    <w:t>A</w:t>
                                  </w:r>
                                  <w:r w:rsidRPr="005655BF">
                                    <w:rPr>
                                      <w:rFonts w:cs="Arial"/>
                                      <w:b/>
                                      <w:sz w:val="18"/>
                                      <w:szCs w:val="18"/>
                                      <w:lang w:eastAsia="zh-HK"/>
                                    </w:rPr>
                                    <w:t>dministrative records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文字方塊 332" o:spid="_x0000_s1060" type="#_x0000_t202" style="position:absolute;left:0;text-align:left;margin-left:57.6pt;margin-top:88.95pt;width:79.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" strokeweight="1.5pt">
                      <v:textbox>
                        <w:txbxContent>
                          <w:p w:rsidR="009A4F49" w:rsidRPr="005655BF" w:rsidRDefault="009A4F49" w:rsidP="00440249">
                            <w:pPr>
                              <w:spacing w:line="0" w:lineRule="atLeast"/>
                              <w:jc w:val="center"/>
                              <w:rPr>
                                <w:rFonts w:cs="Arial"/>
                                <w:b/>
                                <w:sz w:val="18"/>
                                <w:szCs w:val="18"/>
                                <w:lang w:eastAsia="zh-HK"/>
                              </w:rPr>
                            </w:pPr>
                            <w:r w:rsidRPr="005655BF">
                              <w:rPr>
                                <w:rFonts w:cs="Arial" w:hint="eastAsia"/>
                                <w:b/>
                                <w:sz w:val="18"/>
                                <w:szCs w:val="18"/>
                                <w:lang w:eastAsia="zh-HK"/>
                              </w:rPr>
                              <w:t>A</w:t>
                            </w:r>
                            <w:r w:rsidRPr="005655BF">
                              <w:rPr>
                                <w:rFonts w:cs="Arial"/>
                                <w:b/>
                                <w:sz w:val="18"/>
                                <w:szCs w:val="18"/>
                                <w:lang w:eastAsia="zh-HK"/>
                              </w:rPr>
                              <w:t>dministrative records</w:t>
                            </w:r>
                          </w:p>
                        </w:txbxContent>
                      </v:textbox>
                    </v:shape>
                  </w:pict>
                </mc:Fallback>
              </mc:AlternateContent>
            </w:r>
            <w:r>
              <w:rPr>
                <w:noProof/>
                <w:snapToGrid/>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25400</wp:posOffset>
                      </wp:positionV>
                      <wp:extent cx="1819275" cy="762000"/>
                      <wp:effectExtent l="0" t="0" r="28575" b="19050"/>
                      <wp:wrapNone/>
                      <wp:docPr id="17" name="文字方塊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62000"/>
                              </a:xfrm>
                              <a:prstGeom prst="rect">
                                <a:avLst/>
                              </a:prstGeom>
                              <a:solidFill>
                                <a:srgbClr val="FFFFFF"/>
                              </a:solidFill>
                              <a:ln w="19050">
                                <a:solidFill>
                                  <a:srgbClr val="000000"/>
                                </a:solidFill>
                                <a:miter lim="800000"/>
                                <a:headEnd/>
                                <a:tailEnd/>
                              </a:ln>
                            </wps:spPr>
                            <wps:txbx>
                              <w:txbxContent>
                                <w:p w:rsidR="009A4F49" w:rsidRPr="005E062A" w:rsidRDefault="009A4F49" w:rsidP="00440249">
                                  <w:pPr>
                                    <w:spacing w:line="0" w:lineRule="atLeast"/>
                                    <w:jc w:val="center"/>
                                    <w:rPr>
                                      <w:rFonts w:cs="Arial"/>
                                      <w:b/>
                                      <w:sz w:val="22"/>
                                      <w:szCs w:val="22"/>
                                      <w:lang w:eastAsia="zh-HK"/>
                                    </w:rPr>
                                  </w:pPr>
                                  <w:r w:rsidRPr="005E062A">
                                    <w:rPr>
                                      <w:rFonts w:cs="Arial"/>
                                      <w:b/>
                                      <w:sz w:val="22"/>
                                      <w:szCs w:val="22"/>
                                      <w:lang w:eastAsia="zh-HK"/>
                                    </w:rPr>
                                    <w:t xml:space="preserve">Establishment of records retention and </w:t>
                                  </w:r>
                                  <w:r w:rsidRPr="005E062A">
                                    <w:rPr>
                                      <w:rFonts w:cs="Arial"/>
                                      <w:b/>
                                      <w:sz w:val="22"/>
                                      <w:szCs w:val="22"/>
                                    </w:rPr>
                                    <w:t>disposal schedules</w:t>
                                  </w:r>
                                  <w:r w:rsidRPr="005E062A">
                                    <w:rPr>
                                      <w:rFonts w:cs="Arial"/>
                                      <w:b/>
                                      <w:sz w:val="22"/>
                                      <w:szCs w:val="22"/>
                                      <w:lang w:eastAsia="zh-HK"/>
                                    </w:rPr>
                                    <w:t xml:space="preserve"> (disposal schedules)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6" o:spid="_x0000_s1061" type="#_x0000_t202" style="position:absolute;left:0;text-align:left;margin-left:-6.15pt;margin-top:2pt;width:143.2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" strokeweight="1.5pt">
                      <v:textbox>
                        <w:txbxContent>
                          <w:p w:rsidR="009A4F49" w:rsidRPr="005E062A" w:rsidRDefault="009A4F49" w:rsidP="00440249">
                            <w:pPr>
                              <w:spacing w:line="0" w:lineRule="atLeast"/>
                              <w:jc w:val="center"/>
                              <w:rPr>
                                <w:rFonts w:cs="Arial"/>
                                <w:b/>
                                <w:sz w:val="22"/>
                                <w:szCs w:val="22"/>
                                <w:lang w:eastAsia="zh-HK"/>
                              </w:rPr>
                            </w:pPr>
                            <w:r w:rsidRPr="005E062A">
                              <w:rPr>
                                <w:rFonts w:cs="Arial"/>
                                <w:b/>
                                <w:sz w:val="22"/>
                                <w:szCs w:val="22"/>
                                <w:lang w:eastAsia="zh-HK"/>
                              </w:rPr>
                              <w:t xml:space="preserve">Establishment of records retention and </w:t>
                            </w:r>
                            <w:r w:rsidRPr="005E062A">
                              <w:rPr>
                                <w:rFonts w:cs="Arial"/>
                                <w:b/>
                                <w:sz w:val="22"/>
                                <w:szCs w:val="22"/>
                              </w:rPr>
                              <w:t>disposal schedules</w:t>
                            </w:r>
                            <w:r w:rsidRPr="005E062A">
                              <w:rPr>
                                <w:rFonts w:cs="Arial"/>
                                <w:b/>
                                <w:sz w:val="22"/>
                                <w:szCs w:val="22"/>
                                <w:lang w:eastAsia="zh-HK"/>
                              </w:rPr>
                              <w:t xml:space="preserve"> (disposal schedules)</w:t>
                            </w:r>
                          </w:p>
                        </w:txbxContent>
                      </v:textbox>
                    </v:shape>
                  </w:pict>
                </mc:Fallback>
              </mc:AlternateContent>
            </w: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60"/>
              <w:rPr>
                <w:rFonts w:cs="Arial"/>
                <w:u w:val="single"/>
                <w:lang w:eastAsia="zh-HK"/>
              </w:rPr>
            </w:pPr>
            <w:r w:rsidRPr="004004DF">
              <w:rPr>
                <w:rFonts w:cs="Arial"/>
                <w:b/>
                <w:u w:val="single"/>
              </w:rPr>
              <w:t>GC09</w:t>
            </w:r>
            <w:r w:rsidRPr="004004DF">
              <w:rPr>
                <w:rFonts w:cs="Arial"/>
                <w:b/>
                <w:u w:val="single"/>
                <w:lang w:eastAsia="zh-HK"/>
              </w:rPr>
              <w:t xml:space="preserve"> (on establishing disposal schedules)</w:t>
            </w:r>
            <w:r w:rsidRPr="004004DF">
              <w:rPr>
                <w:rFonts w:cs="Arial"/>
                <w:u w:val="single"/>
              </w:rPr>
              <w:t>:</w:t>
            </w:r>
            <w:r w:rsidRPr="004004DF">
              <w:rPr>
                <w:rFonts w:cs="Arial"/>
                <w:u w:val="single"/>
                <w:lang w:eastAsia="zh-HK"/>
              </w:rPr>
              <w:t xml:space="preserve"> To establish disposal schedules to ensure systematic planning and orderly implementation of records disposal.</w:t>
            </w:r>
          </w:p>
          <w:p w:rsidR="00B27FD2" w:rsidRPr="004004DF" w:rsidRDefault="00B27FD2" w:rsidP="00D86E22">
            <w:pPr>
              <w:spacing w:before="60" w:after="60"/>
              <w:ind w:left="480"/>
              <w:rPr>
                <w:rFonts w:cs="Arial"/>
                <w:lang w:eastAsia="zh-HK"/>
              </w:rPr>
            </w:pPr>
          </w:p>
          <w:p w:rsidR="00B27FD2" w:rsidRPr="004004DF" w:rsidRDefault="00B27FD2" w:rsidP="00D86E22">
            <w:pPr>
              <w:widowControl/>
              <w:numPr>
                <w:ilvl w:val="0"/>
                <w:numId w:val="52"/>
              </w:numPr>
              <w:tabs>
                <w:tab w:val="clear" w:pos="1418"/>
              </w:tabs>
              <w:adjustRightInd/>
              <w:spacing w:before="60" w:after="60"/>
              <w:rPr>
                <w:rFonts w:cs="Arial"/>
                <w:u w:val="single"/>
                <w:lang w:eastAsia="zh-HK"/>
              </w:rPr>
            </w:pPr>
            <w:r w:rsidRPr="004004DF">
              <w:rPr>
                <w:rFonts w:cs="Arial"/>
                <w:b/>
                <w:u w:val="single"/>
              </w:rPr>
              <w:t>GC09</w:t>
            </w:r>
            <w:r w:rsidRPr="004004DF">
              <w:rPr>
                <w:rFonts w:cs="Arial"/>
                <w:b/>
                <w:u w:val="single"/>
                <w:lang w:eastAsia="zh-HK"/>
              </w:rPr>
              <w:t xml:space="preserve"> (on administrative records)</w:t>
            </w:r>
            <w:r w:rsidRPr="004004DF">
              <w:rPr>
                <w:rFonts w:cs="Arial"/>
                <w:u w:val="single"/>
              </w:rPr>
              <w:t>:</w:t>
            </w:r>
            <w:r w:rsidRPr="004004DF">
              <w:rPr>
                <w:rFonts w:cs="Arial"/>
                <w:u w:val="single"/>
                <w:lang w:eastAsia="zh-HK"/>
              </w:rPr>
              <w:t xml:space="preserve"> To dispose of administrative records, B/Ds should adopt the set of disposal schedules developed by GRS and detailed in RMP4 (ie </w:t>
            </w:r>
            <w:r>
              <w:rPr>
                <w:rFonts w:cs="Arial"/>
                <w:u w:val="single"/>
                <w:lang w:eastAsia="zh-HK"/>
              </w:rPr>
              <w:t xml:space="preserve">Records Management </w:t>
            </w:r>
            <w:r w:rsidRPr="004004DF">
              <w:rPr>
                <w:rFonts w:cs="Arial"/>
                <w:u w:val="single"/>
                <w:lang w:eastAsia="zh-HK"/>
              </w:rPr>
              <w:t>Publication No 4</w:t>
            </w:r>
            <w:r>
              <w:rPr>
                <w:rFonts w:cs="Arial"/>
                <w:u w:val="single"/>
                <w:lang w:eastAsia="zh-HK"/>
              </w:rPr>
              <w:t xml:space="preserve"> - </w:t>
            </w:r>
            <w:r w:rsidRPr="004004DF">
              <w:rPr>
                <w:rFonts w:cs="Arial"/>
                <w:u w:val="single"/>
                <w:lang w:eastAsia="zh-HK"/>
              </w:rPr>
              <w:t xml:space="preserve"> General Administrative Records Disposal Schedules</w:t>
            </w:r>
            <w:r>
              <w:rPr>
                <w:rFonts w:cs="Arial"/>
                <w:u w:val="single"/>
                <w:lang w:eastAsia="zh-HK"/>
              </w:rPr>
              <w:t xml:space="preserve"> (GARDS)</w:t>
            </w:r>
            <w:r>
              <w:rPr>
                <w:rFonts w:cs="Arial" w:hint="eastAsia"/>
                <w:u w:val="single"/>
                <w:lang w:eastAsia="zh-HK"/>
              </w:rPr>
              <w:t>)</w:t>
            </w:r>
            <w:r w:rsidRPr="004004DF">
              <w:rPr>
                <w:rFonts w:cs="Arial"/>
                <w:u w:val="single"/>
                <w:lang w:eastAsia="zh-HK"/>
              </w:rPr>
              <w:t>.</w:t>
            </w:r>
          </w:p>
          <w:p w:rsidR="00B27FD2" w:rsidRPr="004004DF" w:rsidRDefault="00B27FD2" w:rsidP="00D86E22">
            <w:pPr>
              <w:spacing w:before="60" w:after="60"/>
              <w:ind w:left="480"/>
              <w:rPr>
                <w:rFonts w:cs="Arial"/>
                <w:lang w:eastAsia="zh-HK"/>
              </w:rPr>
            </w:pPr>
          </w:p>
          <w:p w:rsidR="00B27FD2" w:rsidRPr="004004DF" w:rsidRDefault="00B27FD2" w:rsidP="00D86E22">
            <w:pPr>
              <w:widowControl/>
              <w:numPr>
                <w:ilvl w:val="0"/>
                <w:numId w:val="52"/>
              </w:numPr>
              <w:tabs>
                <w:tab w:val="clear" w:pos="1418"/>
              </w:tabs>
              <w:adjustRightInd/>
              <w:spacing w:before="60" w:after="60"/>
              <w:rPr>
                <w:rFonts w:cs="Arial"/>
                <w:u w:val="single"/>
                <w:lang w:eastAsia="zh-HK"/>
              </w:rPr>
            </w:pPr>
            <w:r w:rsidRPr="004004DF">
              <w:rPr>
                <w:rFonts w:cs="Arial"/>
                <w:b/>
                <w:u w:val="single"/>
              </w:rPr>
              <w:t>GC09</w:t>
            </w:r>
            <w:r w:rsidRPr="004004DF">
              <w:rPr>
                <w:rFonts w:cs="Arial"/>
                <w:b/>
                <w:u w:val="single"/>
                <w:lang w:eastAsia="zh-HK"/>
              </w:rPr>
              <w:t xml:space="preserve"> (on programme records)</w:t>
            </w:r>
            <w:r w:rsidRPr="004004DF">
              <w:rPr>
                <w:rFonts w:cs="Arial"/>
                <w:u w:val="single"/>
                <w:lang w:eastAsia="zh-HK"/>
              </w:rPr>
              <w:t>:</w:t>
            </w:r>
          </w:p>
          <w:p w:rsidR="00B27FD2" w:rsidRDefault="00B27FD2" w:rsidP="00D86E22">
            <w:pPr>
              <w:widowControl/>
              <w:numPr>
                <w:ilvl w:val="1"/>
                <w:numId w:val="52"/>
              </w:numPr>
              <w:tabs>
                <w:tab w:val="clear" w:pos="1418"/>
              </w:tabs>
              <w:adjustRightInd/>
              <w:spacing w:before="60" w:after="60"/>
              <w:rPr>
                <w:rFonts w:cs="Arial"/>
                <w:u w:val="single"/>
                <w:lang w:eastAsia="zh-HK"/>
              </w:rPr>
            </w:pPr>
            <w:r w:rsidRPr="004004DF">
              <w:rPr>
                <w:rFonts w:cs="Arial"/>
                <w:u w:val="single"/>
                <w:lang w:eastAsia="zh-HK"/>
              </w:rPr>
              <w:t>B/Ds are required to prepare and forward to GRS draft disposal schedules covering all their programme records not later than April 2012. For new series of programme records created after April 2012, B/Ds should forward draft disposal schedules to GRS within a period of two years.</w:t>
            </w:r>
          </w:p>
          <w:p w:rsidR="00B27FD2" w:rsidRPr="004004DF" w:rsidRDefault="00B27FD2" w:rsidP="00D86E22">
            <w:pPr>
              <w:spacing w:before="60" w:after="60"/>
              <w:ind w:left="480"/>
              <w:rPr>
                <w:rFonts w:cs="Arial"/>
                <w:u w:val="single"/>
                <w:lang w:eastAsia="zh-HK"/>
              </w:rPr>
            </w:pPr>
          </w:p>
          <w:p w:rsidR="00B27FD2" w:rsidRPr="004004DF" w:rsidRDefault="00B27FD2" w:rsidP="00D86E22">
            <w:pPr>
              <w:widowControl/>
              <w:numPr>
                <w:ilvl w:val="1"/>
                <w:numId w:val="52"/>
              </w:numPr>
              <w:tabs>
                <w:tab w:val="clear" w:pos="1418"/>
              </w:tabs>
              <w:adjustRightInd/>
              <w:spacing w:before="60" w:after="60"/>
              <w:rPr>
                <w:rFonts w:cs="Arial"/>
                <w:u w:val="single"/>
                <w:lang w:eastAsia="zh-HK"/>
              </w:rPr>
            </w:pPr>
            <w:r w:rsidRPr="004004DF">
              <w:rPr>
                <w:rFonts w:cs="Arial"/>
                <w:u w:val="single"/>
                <w:lang w:eastAsia="zh-HK"/>
              </w:rPr>
              <w:t>These draft disposal schedules should be endorsed by an officer not below the rank of Senior Executive Officer (</w:t>
            </w:r>
            <w:r w:rsidRPr="004004DF">
              <w:rPr>
                <w:rFonts w:cs="Arial"/>
                <w:b/>
                <w:u w:val="single"/>
                <w:lang w:eastAsia="zh-HK"/>
              </w:rPr>
              <w:t>SEO</w:t>
            </w:r>
            <w:r w:rsidRPr="004004DF">
              <w:rPr>
                <w:rFonts w:cs="Arial"/>
                <w:u w:val="single"/>
                <w:lang w:eastAsia="zh-HK"/>
              </w:rPr>
              <w:t>) or equivalent.</w:t>
            </w:r>
          </w:p>
          <w:p w:rsidR="00B27FD2" w:rsidRPr="004004DF" w:rsidRDefault="00B27FD2" w:rsidP="00D86E22">
            <w:pPr>
              <w:spacing w:before="60" w:after="60"/>
              <w:ind w:left="480"/>
              <w:rPr>
                <w:rFonts w:cs="Arial"/>
                <w:lang w:eastAsia="zh-HK"/>
              </w:rPr>
            </w:pPr>
          </w:p>
          <w:p w:rsidR="00B27FD2" w:rsidRPr="004004DF" w:rsidRDefault="00B27FD2" w:rsidP="00D86E22">
            <w:pPr>
              <w:widowControl/>
              <w:numPr>
                <w:ilvl w:val="1"/>
                <w:numId w:val="52"/>
              </w:numPr>
              <w:tabs>
                <w:tab w:val="clear" w:pos="1418"/>
              </w:tabs>
              <w:adjustRightInd/>
              <w:spacing w:before="60" w:after="60"/>
              <w:rPr>
                <w:rFonts w:cs="Arial"/>
                <w:u w:val="single"/>
                <w:lang w:eastAsia="zh-HK"/>
              </w:rPr>
            </w:pPr>
            <w:r w:rsidRPr="004004DF">
              <w:rPr>
                <w:rFonts w:cs="Arial"/>
                <w:u w:val="single"/>
                <w:lang w:eastAsia="zh-HK"/>
              </w:rPr>
              <w:t>GRS will consider the draft disposal schedules and discuss with the B/D</w:t>
            </w:r>
            <w:r w:rsidRPr="004004DF">
              <w:rPr>
                <w:rFonts w:cs="Arial"/>
                <w:i/>
                <w:iCs/>
                <w:u w:val="single"/>
                <w:lang w:eastAsia="zh-HK"/>
              </w:rPr>
              <w:t xml:space="preserve"> </w:t>
            </w:r>
            <w:r w:rsidRPr="004004DF">
              <w:rPr>
                <w:rFonts w:cs="Arial"/>
                <w:u w:val="single"/>
                <w:lang w:eastAsia="zh-HK"/>
              </w:rPr>
              <w:t>concerned with a view to finalising the disposal schedules.</w:t>
            </w:r>
          </w:p>
          <w:p w:rsidR="00B27FD2" w:rsidRPr="004004DF" w:rsidRDefault="00B27FD2" w:rsidP="00D86E22">
            <w:pPr>
              <w:spacing w:before="60" w:after="60"/>
              <w:ind w:left="480"/>
              <w:rPr>
                <w:rFonts w:cs="Arial"/>
                <w:lang w:eastAsia="zh-HK"/>
              </w:rPr>
            </w:pPr>
            <w:r w:rsidRPr="004004DF">
              <w:rPr>
                <w:rFonts w:cs="Arial"/>
                <w:b/>
                <w:lang w:eastAsia="zh-HK"/>
              </w:rPr>
              <w:t>Note</w:t>
            </w:r>
            <w:r w:rsidRPr="004004DF">
              <w:rPr>
                <w:rFonts w:cs="Arial"/>
                <w:lang w:eastAsia="zh-HK"/>
              </w:rPr>
              <w:t>:</w:t>
            </w:r>
            <w:r w:rsidRPr="004004DF">
              <w:rPr>
                <w:rFonts w:cs="Arial"/>
                <w:b/>
                <w:lang w:eastAsia="zh-HK"/>
              </w:rPr>
              <w:t xml:space="preserve"> </w:t>
            </w:r>
            <w:r w:rsidRPr="004004DF">
              <w:rPr>
                <w:rFonts w:cs="Arial"/>
                <w:lang w:eastAsia="zh-HK"/>
              </w:rPr>
              <w:t xml:space="preserve">Subsequently, the Director of Administration issued a letter to all B/Ds in March 2014 and stating that </w:t>
            </w:r>
            <w:r w:rsidRPr="004004DF">
              <w:rPr>
                <w:rFonts w:cs="Arial"/>
              </w:rPr>
              <w:t>B/Ds would, upon request by GRS, make ready files for appraisal within a reasonable period of time, say three months.</w:t>
            </w:r>
          </w:p>
          <w:p w:rsidR="00B27FD2" w:rsidRPr="004004DF" w:rsidRDefault="00B27FD2" w:rsidP="00D86E22">
            <w:pPr>
              <w:spacing w:before="60" w:after="60"/>
              <w:ind w:left="480"/>
              <w:rPr>
                <w:rFonts w:cs="Arial"/>
                <w:lang w:eastAsia="zh-HK"/>
              </w:rPr>
            </w:pPr>
          </w:p>
          <w:p w:rsidR="00B27FD2" w:rsidRPr="004004DF" w:rsidRDefault="00B27FD2" w:rsidP="00D86E22">
            <w:pPr>
              <w:widowControl/>
              <w:numPr>
                <w:ilvl w:val="0"/>
                <w:numId w:val="52"/>
              </w:numPr>
              <w:tabs>
                <w:tab w:val="clear" w:pos="1418"/>
              </w:tabs>
              <w:adjustRightInd/>
              <w:spacing w:before="60" w:after="60"/>
              <w:rPr>
                <w:rFonts w:cs="Arial"/>
                <w:u w:val="single"/>
                <w:lang w:eastAsia="zh-HK"/>
              </w:rPr>
            </w:pPr>
            <w:r w:rsidRPr="004004DF">
              <w:rPr>
                <w:rFonts w:cs="Arial"/>
                <w:b/>
                <w:u w:val="single"/>
              </w:rPr>
              <w:t>GC09</w:t>
            </w:r>
            <w:r w:rsidRPr="004004DF">
              <w:rPr>
                <w:rFonts w:cs="Arial"/>
                <w:b/>
                <w:u w:val="single"/>
                <w:lang w:eastAsia="zh-HK"/>
              </w:rPr>
              <w:t xml:space="preserve"> (Finalised disposal schedules)</w:t>
            </w:r>
            <w:r w:rsidRPr="004004DF">
              <w:rPr>
                <w:rFonts w:cs="Arial"/>
                <w:u w:val="single"/>
              </w:rPr>
              <w:t>:</w:t>
            </w:r>
            <w:r w:rsidRPr="004004DF">
              <w:rPr>
                <w:rFonts w:cs="Arial"/>
                <w:u w:val="single"/>
                <w:lang w:eastAsia="zh-HK"/>
              </w:rPr>
              <w:t xml:space="preserve"> Finalised disposal schedules should be signed by an officer not below the rank of SEO or equivalent in the B/D</w:t>
            </w:r>
            <w:r w:rsidRPr="004004DF">
              <w:rPr>
                <w:rFonts w:cs="Arial"/>
                <w:i/>
                <w:iCs/>
                <w:u w:val="single"/>
                <w:lang w:eastAsia="zh-HK"/>
              </w:rPr>
              <w:t xml:space="preserve"> </w:t>
            </w:r>
            <w:r w:rsidRPr="004004DF">
              <w:rPr>
                <w:rFonts w:cs="Arial"/>
                <w:u w:val="single"/>
                <w:lang w:eastAsia="zh-HK"/>
              </w:rPr>
              <w:t>concerned.</w:t>
            </w:r>
          </w:p>
          <w:p w:rsidR="00B27FD2" w:rsidRPr="004004DF" w:rsidRDefault="00B27FD2" w:rsidP="00D86E22">
            <w:pPr>
              <w:spacing w:before="60" w:after="60"/>
              <w:ind w:left="480"/>
              <w:rPr>
                <w:rFonts w:cs="Arial"/>
                <w:lang w:eastAsia="zh-HK"/>
              </w:rPr>
            </w:pPr>
          </w:p>
        </w:tc>
      </w:tr>
      <w:tr w:rsidR="00B27FD2" w:rsidRPr="004004DF" w:rsidTr="00D86E22">
        <w:trPr>
          <w:trHeight w:val="983"/>
        </w:trPr>
        <w:tc>
          <w:tcPr>
            <w:tcW w:w="2880" w:type="dxa"/>
            <w:shd w:val="clear" w:color="auto" w:fill="auto"/>
          </w:tcPr>
          <w:p w:rsidR="00B27FD2" w:rsidRPr="004004DF" w:rsidRDefault="00764270" w:rsidP="00D86E22">
            <w:pPr>
              <w:rPr>
                <w:rFonts w:cs="Arial"/>
                <w:noProof/>
                <w:lang w:eastAsia="zh-HK"/>
              </w:rPr>
            </w:pPr>
            <w:r>
              <w:rPr>
                <w:noProof/>
                <w:snapToGrid/>
              </w:rPr>
              <w:lastRenderedPageBreak/>
              <mc:AlternateContent>
                <mc:Choice Requires="wps">
                  <w:drawing>
                    <wp:anchor distT="0" distB="0" distL="114300" distR="114300" simplePos="0" relativeHeight="251659776" behindDoc="0" locked="0" layoutInCell="1" allowOverlap="1">
                      <wp:simplePos x="0" y="0"/>
                      <wp:positionH relativeFrom="column">
                        <wp:posOffset>-78105</wp:posOffset>
                      </wp:positionH>
                      <wp:positionV relativeFrom="paragraph">
                        <wp:posOffset>63500</wp:posOffset>
                      </wp:positionV>
                      <wp:extent cx="1838325" cy="638175"/>
                      <wp:effectExtent l="0" t="0" r="28575" b="28575"/>
                      <wp:wrapNone/>
                      <wp:docPr id="304" name="文字方塊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38175"/>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0" w:lineRule="atLeast"/>
                                    <w:jc w:val="center"/>
                                    <w:rPr>
                                      <w:rFonts w:cs="Arial"/>
                                      <w:b/>
                                      <w:szCs w:val="26"/>
                                    </w:rPr>
                                  </w:pPr>
                                  <w:r w:rsidRPr="00DB3FEC">
                                    <w:rPr>
                                      <w:rFonts w:cs="Arial"/>
                                      <w:b/>
                                      <w:sz w:val="22"/>
                                    </w:rPr>
                                    <w:t>Review</w:t>
                                  </w:r>
                                  <w:r w:rsidRPr="00DB3FEC">
                                    <w:rPr>
                                      <w:rFonts w:cs="Arial"/>
                                      <w:b/>
                                      <w:sz w:val="22"/>
                                      <w:lang w:eastAsia="zh-HK"/>
                                    </w:rPr>
                                    <w:t xml:space="preserve"> of</w:t>
                                  </w:r>
                                  <w:r w:rsidRPr="00DB3FEC">
                                    <w:rPr>
                                      <w:rFonts w:cs="Arial"/>
                                      <w:b/>
                                      <w:sz w:val="22"/>
                                    </w:rPr>
                                    <w:t xml:space="preserve"> disposal schedules regularly by B/Ds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8" o:spid="_x0000_s1062" type="#_x0000_t202" style="position:absolute;left:0;text-align:left;margin-left:-6.15pt;margin-top:5pt;width:144.7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" strokeweight="1.5pt">
                      <v:textbox>
                        <w:txbxContent>
                          <w:p w:rsidR="009A4F49" w:rsidRPr="00DB3FEC" w:rsidRDefault="009A4F49" w:rsidP="00440249">
                            <w:pPr>
                              <w:spacing w:line="0" w:lineRule="atLeast"/>
                              <w:jc w:val="center"/>
                              <w:rPr>
                                <w:rFonts w:cs="Arial"/>
                                <w:b/>
                                <w:szCs w:val="26"/>
                              </w:rPr>
                            </w:pPr>
                            <w:r w:rsidRPr="00DB3FEC">
                              <w:rPr>
                                <w:rFonts w:cs="Arial"/>
                                <w:b/>
                                <w:sz w:val="22"/>
                              </w:rPr>
                              <w:t>Review</w:t>
                            </w:r>
                            <w:r w:rsidRPr="00DB3FEC">
                              <w:rPr>
                                <w:rFonts w:cs="Arial"/>
                                <w:b/>
                                <w:sz w:val="22"/>
                                <w:lang w:eastAsia="zh-HK"/>
                              </w:rPr>
                              <w:t xml:space="preserve"> of</w:t>
                            </w:r>
                            <w:r w:rsidRPr="00DB3FEC">
                              <w:rPr>
                                <w:rFonts w:cs="Arial"/>
                                <w:b/>
                                <w:sz w:val="22"/>
                              </w:rPr>
                              <w:t xml:space="preserve"> disposal schedules regularly by B/Ds</w:t>
                            </w:r>
                          </w:p>
                        </w:txbxContent>
                      </v:textbox>
                    </v:shape>
                  </w:pict>
                </mc:Fallback>
              </mc:AlternateContent>
            </w:r>
          </w:p>
        </w:tc>
        <w:tc>
          <w:tcPr>
            <w:tcW w:w="5486" w:type="dxa"/>
            <w:shd w:val="clear" w:color="auto" w:fill="auto"/>
          </w:tcPr>
          <w:p w:rsidR="00B27FD2" w:rsidRPr="004004DF" w:rsidRDefault="00B27FD2" w:rsidP="00D86E22">
            <w:pPr>
              <w:widowControl/>
              <w:numPr>
                <w:ilvl w:val="0"/>
                <w:numId w:val="53"/>
              </w:numPr>
              <w:tabs>
                <w:tab w:val="clear" w:pos="1418"/>
              </w:tabs>
              <w:adjustRightInd/>
              <w:spacing w:before="60" w:after="60"/>
              <w:rPr>
                <w:rFonts w:cs="Arial"/>
                <w:b/>
              </w:rPr>
            </w:pPr>
            <w:r w:rsidRPr="004004DF">
              <w:rPr>
                <w:rFonts w:cs="Arial"/>
                <w:b/>
                <w:lang w:eastAsia="zh-HK"/>
              </w:rPr>
              <w:t>RMM 617</w:t>
            </w:r>
            <w:r w:rsidRPr="004004DF">
              <w:rPr>
                <w:rFonts w:cs="Arial"/>
                <w:lang w:eastAsia="zh-HK"/>
              </w:rPr>
              <w:t>:</w:t>
            </w:r>
            <w:r w:rsidRPr="004004DF">
              <w:rPr>
                <w:rFonts w:cs="Arial"/>
                <w:b/>
                <w:lang w:eastAsia="zh-HK"/>
              </w:rPr>
              <w:t xml:space="preserve"> </w:t>
            </w:r>
            <w:r w:rsidRPr="004004DF">
              <w:rPr>
                <w:rFonts w:cs="Arial"/>
                <w:lang w:eastAsia="zh-HK"/>
              </w:rPr>
              <w:t xml:space="preserve">All records retention and disposal schedules should be reviewed at least every </w:t>
            </w:r>
            <w:r>
              <w:rPr>
                <w:rFonts w:cs="Arial"/>
                <w:lang w:eastAsia="zh-HK"/>
              </w:rPr>
              <w:t>five</w:t>
            </w:r>
            <w:r w:rsidRPr="004004DF">
              <w:rPr>
                <w:rFonts w:cs="Arial"/>
                <w:lang w:eastAsia="zh-HK"/>
              </w:rPr>
              <w:t xml:space="preserve"> years to determine whether amendments are required.</w:t>
            </w:r>
          </w:p>
          <w:p w:rsidR="00B27FD2" w:rsidRDefault="00B27FD2" w:rsidP="00D86E22">
            <w:pPr>
              <w:spacing w:before="60" w:after="60"/>
              <w:ind w:left="480"/>
              <w:rPr>
                <w:rFonts w:cs="Arial"/>
                <w:b/>
                <w:lang w:eastAsia="zh-HK"/>
              </w:rPr>
            </w:pPr>
          </w:p>
          <w:p w:rsidR="00B27FD2" w:rsidRPr="004004DF" w:rsidRDefault="00B27FD2" w:rsidP="00D86E22">
            <w:pPr>
              <w:spacing w:before="60" w:after="60"/>
              <w:ind w:left="480"/>
              <w:rPr>
                <w:rFonts w:cs="Arial"/>
                <w:color w:val="FF0000"/>
                <w:lang w:eastAsia="zh-HK"/>
              </w:rPr>
            </w:pPr>
            <w:r w:rsidRPr="004004DF">
              <w:rPr>
                <w:rFonts w:cs="Arial"/>
                <w:b/>
                <w:lang w:eastAsia="zh-HK"/>
              </w:rPr>
              <w:t>Note</w:t>
            </w:r>
            <w:r w:rsidRPr="004004DF">
              <w:rPr>
                <w:rFonts w:cs="Arial"/>
                <w:lang w:eastAsia="zh-HK"/>
              </w:rPr>
              <w:t>:</w:t>
            </w:r>
            <w:r w:rsidRPr="004004DF">
              <w:rPr>
                <w:rFonts w:cs="Arial"/>
                <w:b/>
                <w:lang w:eastAsia="zh-HK"/>
              </w:rPr>
              <w:t xml:space="preserve"> </w:t>
            </w:r>
            <w:r w:rsidRPr="00D86E22">
              <w:rPr>
                <w:rFonts w:cs="Arial"/>
                <w:b/>
                <w:shd w:val="clear" w:color="auto" w:fill="FFFFFF"/>
                <w:lang w:eastAsia="zh-HK"/>
              </w:rPr>
              <w:t xml:space="preserve">Guideline cum Checklist </w:t>
            </w:r>
            <w:r w:rsidRPr="004004DF">
              <w:rPr>
                <w:rFonts w:cs="Arial"/>
                <w:lang w:eastAsia="zh-HK"/>
              </w:rPr>
              <w:t>(ie</w:t>
            </w:r>
            <w:r w:rsidRPr="004004DF">
              <w:rPr>
                <w:rFonts w:cs="Arial"/>
                <w:b/>
                <w:lang w:eastAsia="zh-HK"/>
              </w:rPr>
              <w:t xml:space="preserve"> </w:t>
            </w:r>
            <w:r w:rsidRPr="004004DF">
              <w:rPr>
                <w:rFonts w:cs="Arial"/>
                <w:lang w:eastAsia="zh-HK"/>
              </w:rPr>
              <w:t>Guideline cum Checklist for Review of Records Retention and Disposal Schedules) has been developed to facilitate the review</w:t>
            </w:r>
            <w:r w:rsidRPr="004004DF">
              <w:rPr>
                <w:rFonts w:cs="Arial"/>
              </w:rPr>
              <w:t>.</w:t>
            </w:r>
          </w:p>
          <w:p w:rsidR="00B27FD2" w:rsidRPr="004004DF" w:rsidRDefault="00B27FD2" w:rsidP="00D86E22">
            <w:pPr>
              <w:spacing w:before="60" w:after="60"/>
              <w:ind w:leftChars="14" w:left="34"/>
              <w:rPr>
                <w:rFonts w:cs="Arial"/>
                <w:b/>
                <w:lang w:eastAsia="zh-HK"/>
              </w:rPr>
            </w:pPr>
          </w:p>
        </w:tc>
      </w:tr>
      <w:tr w:rsidR="00B27FD2" w:rsidRPr="004004DF" w:rsidTr="00D86E22">
        <w:trPr>
          <w:trHeight w:val="709"/>
        </w:trPr>
        <w:tc>
          <w:tcPr>
            <w:tcW w:w="2880" w:type="dxa"/>
            <w:shd w:val="clear" w:color="auto" w:fill="auto"/>
          </w:tcPr>
          <w:p w:rsidR="00B27FD2" w:rsidRPr="004004DF" w:rsidRDefault="00764270" w:rsidP="00D86E22">
            <w:pPr>
              <w:rPr>
                <w:rFonts w:cs="Arial"/>
                <w:noProof/>
                <w:u w:val="single"/>
              </w:rPr>
            </w:pPr>
            <w:r>
              <w:rPr>
                <w:noProof/>
                <w:snapToGrid/>
              </w:rPr>
              <mc:AlternateContent>
                <mc:Choice Requires="wps">
                  <w:drawing>
                    <wp:anchor distT="0" distB="0" distL="114300" distR="114300" simplePos="0" relativeHeight="251675136" behindDoc="0" locked="0" layoutInCell="1" allowOverlap="1">
                      <wp:simplePos x="0" y="0"/>
                      <wp:positionH relativeFrom="column">
                        <wp:posOffset>-78105</wp:posOffset>
                      </wp:positionH>
                      <wp:positionV relativeFrom="paragraph">
                        <wp:posOffset>72390</wp:posOffset>
                      </wp:positionV>
                      <wp:extent cx="1838325" cy="323850"/>
                      <wp:effectExtent l="0" t="0" r="28575" b="19050"/>
                      <wp:wrapNone/>
                      <wp:docPr id="30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23850"/>
                              </a:xfrm>
                              <a:prstGeom prst="rect">
                                <a:avLst/>
                              </a:prstGeom>
                              <a:solidFill>
                                <a:srgbClr val="FFFFFF"/>
                              </a:solidFill>
                              <a:ln w="19050">
                                <a:solidFill>
                                  <a:srgbClr val="000000"/>
                                </a:solidFill>
                                <a:miter lim="800000"/>
                                <a:headEnd/>
                                <a:tailEnd/>
                              </a:ln>
                            </wps:spPr>
                            <wps:txbx>
                              <w:txbxContent>
                                <w:p w:rsidR="009A4F49" w:rsidRPr="00DB3FEC" w:rsidRDefault="009A4F49" w:rsidP="00D86E22">
                                  <w:pPr>
                                    <w:rPr>
                                      <w:rFonts w:cs="Arial"/>
                                      <w:b/>
                                      <w:sz w:val="22"/>
                                      <w:szCs w:val="26"/>
                                      <w:lang w:eastAsia="zh-HK"/>
                                    </w:rPr>
                                  </w:pPr>
                                  <w:r w:rsidRPr="00DB3FEC">
                                    <w:rPr>
                                      <w:rFonts w:cs="Arial"/>
                                      <w:b/>
                                      <w:sz w:val="22"/>
                                      <w:szCs w:val="26"/>
                                      <w:lang w:eastAsia="zh-HK"/>
                                    </w:rPr>
                                    <w:t>V</w:t>
                                  </w:r>
                                  <w:r w:rsidRPr="00DB3FEC">
                                    <w:rPr>
                                      <w:rFonts w:cs="Arial"/>
                                      <w:b/>
                                      <w:sz w:val="22"/>
                                      <w:szCs w:val="26"/>
                                    </w:rPr>
                                    <w:t xml:space="preserve">ital </w:t>
                                  </w:r>
                                  <w:r w:rsidRPr="00DB3FEC">
                                    <w:rPr>
                                      <w:rFonts w:cs="Arial"/>
                                      <w:b/>
                                      <w:sz w:val="22"/>
                                      <w:szCs w:val="26"/>
                                      <w:lang w:eastAsia="zh-HK"/>
                                    </w:rPr>
                                    <w:t>r</w:t>
                                  </w:r>
                                  <w:r w:rsidRPr="00DB3FEC">
                                    <w:rPr>
                                      <w:rFonts w:cs="Arial"/>
                                      <w:b/>
                                      <w:sz w:val="22"/>
                                      <w:szCs w:val="26"/>
                                    </w:rPr>
                                    <w:t>ecords</w:t>
                                  </w:r>
                                  <w:r w:rsidRPr="00DB3FEC">
                                    <w:rPr>
                                      <w:rFonts w:cs="Arial"/>
                                      <w:b/>
                                      <w:sz w:val="22"/>
                                      <w:szCs w:val="26"/>
                                      <w:lang w:eastAsia="zh-HK"/>
                                    </w:rPr>
                                    <w:t xml:space="preserve">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63" type="#_x0000_t202" style="position:absolute;left:0;text-align:left;margin-left:-6.15pt;margin-top:5.7pt;width:144.75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" strokeweight="1.5pt">
                      <v:textbox>
                        <w:txbxContent>
                          <w:p w:rsidR="009A4F49" w:rsidRPr="00DB3FEC" w:rsidRDefault="009A4F49" w:rsidP="00D86E22">
                            <w:pPr>
                              <w:rPr>
                                <w:rFonts w:cs="Arial"/>
                                <w:b/>
                                <w:sz w:val="22"/>
                                <w:szCs w:val="26"/>
                                <w:lang w:eastAsia="zh-HK"/>
                              </w:rPr>
                            </w:pPr>
                            <w:r w:rsidRPr="00DB3FEC">
                              <w:rPr>
                                <w:rFonts w:cs="Arial"/>
                                <w:b/>
                                <w:sz w:val="22"/>
                                <w:szCs w:val="26"/>
                                <w:lang w:eastAsia="zh-HK"/>
                              </w:rPr>
                              <w:t>V</w:t>
                            </w:r>
                            <w:r w:rsidRPr="00DB3FEC">
                              <w:rPr>
                                <w:rFonts w:cs="Arial"/>
                                <w:b/>
                                <w:sz w:val="22"/>
                                <w:szCs w:val="26"/>
                              </w:rPr>
                              <w:t xml:space="preserve">ital </w:t>
                            </w:r>
                            <w:r w:rsidRPr="00DB3FEC">
                              <w:rPr>
                                <w:rFonts w:cs="Arial"/>
                                <w:b/>
                                <w:sz w:val="22"/>
                                <w:szCs w:val="26"/>
                                <w:lang w:eastAsia="zh-HK"/>
                              </w:rPr>
                              <w:t>r</w:t>
                            </w:r>
                            <w:r w:rsidRPr="00DB3FEC">
                              <w:rPr>
                                <w:rFonts w:cs="Arial"/>
                                <w:b/>
                                <w:sz w:val="22"/>
                                <w:szCs w:val="26"/>
                              </w:rPr>
                              <w:t>ecords</w:t>
                            </w:r>
                            <w:r w:rsidRPr="00DB3FEC">
                              <w:rPr>
                                <w:rFonts w:cs="Arial"/>
                                <w:b/>
                                <w:sz w:val="22"/>
                                <w:szCs w:val="26"/>
                                <w:lang w:eastAsia="zh-HK"/>
                              </w:rPr>
                              <w:t xml:space="preserve"> protection</w:t>
                            </w:r>
                          </w:p>
                        </w:txbxContent>
                      </v:textbox>
                    </v:shape>
                  </w:pict>
                </mc:Fallback>
              </mc:AlternateContent>
            </w:r>
          </w:p>
          <w:p w:rsidR="00B27FD2" w:rsidRPr="004004DF" w:rsidRDefault="00B27FD2" w:rsidP="00D86E22">
            <w:pPr>
              <w:rPr>
                <w:rFonts w:cs="Arial"/>
                <w:noProof/>
                <w:u w:val="single"/>
              </w:rPr>
            </w:pPr>
          </w:p>
          <w:p w:rsidR="00B27FD2" w:rsidRPr="004004DF" w:rsidRDefault="00B27FD2" w:rsidP="00D86E22">
            <w:pPr>
              <w:rPr>
                <w:rFonts w:cs="Arial"/>
                <w:noProof/>
                <w:u w:val="single"/>
              </w:rPr>
            </w:pPr>
          </w:p>
        </w:tc>
        <w:tc>
          <w:tcPr>
            <w:tcW w:w="5486" w:type="dxa"/>
            <w:shd w:val="clear" w:color="auto" w:fill="auto"/>
          </w:tcPr>
          <w:p w:rsidR="00B27FD2" w:rsidRPr="004004DF" w:rsidRDefault="00B27FD2" w:rsidP="00D86E22">
            <w:pPr>
              <w:pStyle w:val="NormalIndent"/>
              <w:widowControl/>
              <w:numPr>
                <w:ilvl w:val="0"/>
                <w:numId w:val="52"/>
              </w:numPr>
              <w:tabs>
                <w:tab w:val="clear" w:pos="1418"/>
              </w:tabs>
              <w:autoSpaceDE w:val="0"/>
              <w:autoSpaceDN w:val="0"/>
              <w:spacing w:before="60" w:after="60"/>
              <w:rPr>
                <w:rFonts w:cs="Arial"/>
                <w:u w:val="single"/>
                <w:lang w:eastAsia="zh-HK"/>
              </w:rPr>
            </w:pPr>
            <w:r w:rsidRPr="004004DF">
              <w:rPr>
                <w:rFonts w:cs="Arial"/>
                <w:b/>
                <w:u w:val="single"/>
                <w:lang w:eastAsia="zh-HK"/>
              </w:rPr>
              <w:t>GC09 (on protection of vital records)</w:t>
            </w:r>
            <w:r w:rsidRPr="004004DF">
              <w:rPr>
                <w:rFonts w:cs="Arial"/>
                <w:u w:val="single"/>
                <w:lang w:eastAsia="zh-HK"/>
              </w:rPr>
              <w:t>: B/Ds should identify and protect their vital records and draw up an action plan not later than April 2012 to establish and implement a vital records protection programme.</w:t>
            </w:r>
          </w:p>
          <w:p w:rsidR="00B27FD2" w:rsidRPr="004004DF" w:rsidRDefault="00B27FD2" w:rsidP="00D86E22">
            <w:pPr>
              <w:tabs>
                <w:tab w:val="num" w:pos="480"/>
              </w:tabs>
              <w:spacing w:before="60" w:after="60"/>
              <w:ind w:left="480" w:hanging="480"/>
              <w:rPr>
                <w:rFonts w:cs="Arial"/>
                <w:b/>
                <w:highlight w:val="yellow"/>
                <w:lang w:eastAsia="zh-HK"/>
              </w:rPr>
            </w:pPr>
          </w:p>
        </w:tc>
      </w:tr>
      <w:tr w:rsidR="00B27FD2" w:rsidRPr="004004DF" w:rsidTr="00D86E22">
        <w:trPr>
          <w:trHeight w:val="1819"/>
        </w:trPr>
        <w:tc>
          <w:tcPr>
            <w:tcW w:w="2880" w:type="dxa"/>
            <w:shd w:val="clear" w:color="auto" w:fill="auto"/>
          </w:tcPr>
          <w:p w:rsidR="00B27FD2" w:rsidRPr="004004DF" w:rsidRDefault="00B27FD2" w:rsidP="00D86E22">
            <w:pPr>
              <w:rPr>
                <w:rFonts w:cs="Arial"/>
                <w:noProof/>
                <w:u w:val="single"/>
              </w:rPr>
            </w:pP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60"/>
              <w:rPr>
                <w:rFonts w:cs="Arial"/>
                <w:b/>
                <w:lang w:eastAsia="zh-HK"/>
              </w:rPr>
            </w:pPr>
            <w:r w:rsidRPr="004004DF">
              <w:rPr>
                <w:rFonts w:cs="Arial"/>
                <w:b/>
                <w:lang w:eastAsia="zh-HK"/>
              </w:rPr>
              <w:t>Other References on Managing Active and Inactive Records</w:t>
            </w:r>
          </w:p>
          <w:p w:rsidR="00B27FD2" w:rsidRPr="004004DF" w:rsidRDefault="00B27FD2" w:rsidP="00D86E22">
            <w:pPr>
              <w:pStyle w:val="NormalIndent"/>
              <w:widowControl/>
              <w:numPr>
                <w:ilvl w:val="1"/>
                <w:numId w:val="52"/>
              </w:numPr>
              <w:tabs>
                <w:tab w:val="clear" w:pos="1418"/>
              </w:tabs>
              <w:autoSpaceDE w:val="0"/>
              <w:autoSpaceDN w:val="0"/>
              <w:spacing w:before="60" w:after="60"/>
              <w:rPr>
                <w:rFonts w:cs="Arial"/>
                <w:lang w:eastAsia="zh-HK"/>
              </w:rPr>
            </w:pPr>
            <w:r w:rsidRPr="004004DF">
              <w:rPr>
                <w:rFonts w:cs="Arial"/>
                <w:lang w:eastAsia="zh-HK"/>
              </w:rPr>
              <w:t>RMM</w:t>
            </w:r>
          </w:p>
          <w:p w:rsidR="00B27FD2" w:rsidRPr="004004DF" w:rsidRDefault="00B27FD2" w:rsidP="00D86E22">
            <w:pPr>
              <w:pStyle w:val="NormalIndent"/>
              <w:widowControl/>
              <w:numPr>
                <w:ilvl w:val="1"/>
                <w:numId w:val="52"/>
              </w:numPr>
              <w:tabs>
                <w:tab w:val="clear" w:pos="1418"/>
              </w:tabs>
              <w:autoSpaceDE w:val="0"/>
              <w:autoSpaceDN w:val="0"/>
              <w:spacing w:before="60" w:after="60"/>
              <w:rPr>
                <w:rFonts w:cs="Arial"/>
                <w:lang w:eastAsia="zh-HK"/>
              </w:rPr>
            </w:pPr>
            <w:r w:rsidRPr="004004DF">
              <w:rPr>
                <w:rFonts w:cs="Arial"/>
                <w:lang w:eastAsia="zh-HK"/>
              </w:rPr>
              <w:t>RMP1</w:t>
            </w:r>
            <w:r w:rsidRPr="008F4DDA">
              <w:rPr>
                <w:rFonts w:cs="Arial"/>
                <w:lang w:eastAsia="zh-HK"/>
              </w:rPr>
              <w:t xml:space="preserve"> (ie </w:t>
            </w:r>
            <w:r>
              <w:rPr>
                <w:rFonts w:cs="Arial"/>
                <w:lang w:eastAsia="zh-HK"/>
              </w:rPr>
              <w:t xml:space="preserve">Records Management </w:t>
            </w:r>
            <w:r w:rsidRPr="008F4DDA">
              <w:rPr>
                <w:rFonts w:cs="Arial"/>
                <w:lang w:eastAsia="zh-HK"/>
              </w:rPr>
              <w:t>Publication No 1</w:t>
            </w:r>
            <w:r>
              <w:rPr>
                <w:rFonts w:cs="Arial"/>
                <w:lang w:eastAsia="zh-HK"/>
              </w:rPr>
              <w:t xml:space="preserve"> - </w:t>
            </w:r>
            <w:r w:rsidRPr="008F4DDA">
              <w:rPr>
                <w:rFonts w:cs="Arial"/>
                <w:lang w:eastAsia="zh-HK"/>
              </w:rPr>
              <w:t xml:space="preserve"> A Practical Guide to Records Scheduling and Disposal)</w:t>
            </w:r>
          </w:p>
          <w:p w:rsidR="00B27FD2" w:rsidRPr="004004DF" w:rsidRDefault="00B27FD2" w:rsidP="00D86E22">
            <w:pPr>
              <w:pStyle w:val="NormalIndent"/>
              <w:widowControl/>
              <w:numPr>
                <w:ilvl w:val="1"/>
                <w:numId w:val="52"/>
              </w:numPr>
              <w:tabs>
                <w:tab w:val="clear" w:pos="1418"/>
              </w:tabs>
              <w:autoSpaceDE w:val="0"/>
              <w:autoSpaceDN w:val="0"/>
              <w:spacing w:before="60" w:after="60"/>
              <w:rPr>
                <w:rFonts w:cs="Arial"/>
                <w:lang w:eastAsia="zh-HK"/>
              </w:rPr>
            </w:pPr>
            <w:r w:rsidRPr="004004DF">
              <w:rPr>
                <w:rFonts w:cs="Arial"/>
                <w:lang w:eastAsia="zh-HK"/>
              </w:rPr>
              <w:t>RMP4</w:t>
            </w:r>
          </w:p>
          <w:p w:rsidR="00B27FD2" w:rsidRPr="004004DF" w:rsidRDefault="00B27FD2" w:rsidP="00D86E22">
            <w:pPr>
              <w:pStyle w:val="NormalIndent"/>
              <w:widowControl/>
              <w:numPr>
                <w:ilvl w:val="1"/>
                <w:numId w:val="52"/>
              </w:numPr>
              <w:tabs>
                <w:tab w:val="clear" w:pos="1418"/>
              </w:tabs>
              <w:autoSpaceDE w:val="0"/>
              <w:autoSpaceDN w:val="0"/>
              <w:spacing w:before="60" w:after="60"/>
              <w:rPr>
                <w:rFonts w:cs="Arial"/>
                <w:lang w:eastAsia="zh-HK"/>
              </w:rPr>
            </w:pPr>
            <w:r w:rsidRPr="004004DF">
              <w:rPr>
                <w:rFonts w:cs="Arial"/>
                <w:lang w:eastAsia="zh-HK"/>
              </w:rPr>
              <w:t>RMP6</w:t>
            </w:r>
            <w:r>
              <w:rPr>
                <w:rFonts w:cs="Arial"/>
                <w:lang w:eastAsia="zh-HK"/>
              </w:rPr>
              <w:t xml:space="preserve"> (ie Records Management Publication No 6 – Manual on Vital Records Protection)</w:t>
            </w:r>
          </w:p>
          <w:p w:rsidR="00B27FD2" w:rsidRPr="004004DF" w:rsidRDefault="00B27FD2" w:rsidP="00D86E22">
            <w:pPr>
              <w:pStyle w:val="NormalIndent"/>
              <w:widowControl/>
              <w:numPr>
                <w:ilvl w:val="1"/>
                <w:numId w:val="52"/>
              </w:numPr>
              <w:shd w:val="clear" w:color="auto" w:fill="FFFFFF"/>
              <w:tabs>
                <w:tab w:val="clear" w:pos="1418"/>
              </w:tabs>
              <w:autoSpaceDE w:val="0"/>
              <w:autoSpaceDN w:val="0"/>
              <w:spacing w:before="60" w:after="60"/>
              <w:rPr>
                <w:rFonts w:cs="Arial"/>
                <w:lang w:eastAsia="zh-HK"/>
              </w:rPr>
            </w:pPr>
            <w:r w:rsidRPr="00D86E22">
              <w:rPr>
                <w:rFonts w:cs="Arial"/>
                <w:shd w:val="clear" w:color="auto" w:fill="FFFFFF"/>
                <w:lang w:eastAsia="zh-HK"/>
              </w:rPr>
              <w:t>GFP</w:t>
            </w:r>
          </w:p>
          <w:p w:rsidR="00B27FD2" w:rsidRPr="004004DF" w:rsidRDefault="00B27FD2" w:rsidP="00D86E22">
            <w:pPr>
              <w:pStyle w:val="NormalIndent"/>
              <w:widowControl/>
              <w:numPr>
                <w:ilvl w:val="1"/>
                <w:numId w:val="52"/>
              </w:numPr>
              <w:shd w:val="clear" w:color="auto" w:fill="FFFFFF"/>
              <w:tabs>
                <w:tab w:val="clear" w:pos="1418"/>
              </w:tabs>
              <w:autoSpaceDE w:val="0"/>
              <w:autoSpaceDN w:val="0"/>
              <w:spacing w:before="60" w:after="60"/>
              <w:rPr>
                <w:rFonts w:cs="Arial"/>
                <w:lang w:eastAsia="zh-HK"/>
              </w:rPr>
            </w:pPr>
            <w:r w:rsidRPr="00D86E22">
              <w:rPr>
                <w:rFonts w:cs="Arial"/>
                <w:shd w:val="clear" w:color="auto" w:fill="FFFFFF"/>
                <w:lang w:eastAsia="zh-HK"/>
              </w:rPr>
              <w:t>GBR</w:t>
            </w:r>
            <w:r w:rsidRPr="004004DF">
              <w:rPr>
                <w:rFonts w:cs="Arial"/>
                <w:lang w:eastAsia="zh-HK"/>
              </w:rPr>
              <w:t xml:space="preserve"> (ie Guidelines on Bulk Relocation of Government Records)</w:t>
            </w:r>
          </w:p>
          <w:p w:rsidR="00B27FD2" w:rsidRPr="004004DF" w:rsidRDefault="00B27FD2" w:rsidP="00D86E22">
            <w:pPr>
              <w:widowControl/>
              <w:numPr>
                <w:ilvl w:val="1"/>
                <w:numId w:val="52"/>
              </w:numPr>
              <w:shd w:val="clear" w:color="auto" w:fill="FFFFFF"/>
              <w:tabs>
                <w:tab w:val="clear" w:pos="1418"/>
              </w:tabs>
              <w:adjustRightInd/>
              <w:spacing w:before="60" w:after="60"/>
              <w:rPr>
                <w:rFonts w:cs="Arial"/>
                <w:lang w:eastAsia="zh-HK"/>
              </w:rPr>
            </w:pPr>
            <w:r w:rsidRPr="00D86E22">
              <w:rPr>
                <w:rFonts w:cs="Arial"/>
                <w:shd w:val="clear" w:color="auto" w:fill="FFFFFF"/>
              </w:rPr>
              <w:t>DOR</w:t>
            </w:r>
            <w:r w:rsidRPr="004004DF">
              <w:rPr>
                <w:rFonts w:cs="Arial"/>
              </w:rPr>
              <w:t xml:space="preserve"> (ie Disposal of Original Records (for records that have been digitised and stored in a digital form))</w:t>
            </w:r>
          </w:p>
          <w:p w:rsidR="00B27FD2" w:rsidRPr="004004DF" w:rsidRDefault="00B27FD2" w:rsidP="00D86E22">
            <w:pPr>
              <w:pStyle w:val="NormalIndent"/>
              <w:widowControl/>
              <w:numPr>
                <w:ilvl w:val="1"/>
                <w:numId w:val="52"/>
              </w:numPr>
              <w:shd w:val="clear" w:color="auto" w:fill="FFFFFF"/>
              <w:tabs>
                <w:tab w:val="clear" w:pos="1418"/>
              </w:tabs>
              <w:autoSpaceDE w:val="0"/>
              <w:autoSpaceDN w:val="0"/>
              <w:spacing w:before="60" w:after="60"/>
              <w:rPr>
                <w:rFonts w:cs="Arial"/>
                <w:lang w:eastAsia="zh-HK"/>
              </w:rPr>
            </w:pPr>
            <w:r w:rsidRPr="00D86E22">
              <w:rPr>
                <w:rFonts w:cs="Arial"/>
                <w:shd w:val="clear" w:color="auto" w:fill="FFFFFF"/>
                <w:lang w:eastAsia="zh-HK"/>
              </w:rPr>
              <w:t>HPER (ie A Handbook on Preservation of Electronic Records)</w:t>
            </w:r>
            <w:r w:rsidRPr="004004DF">
              <w:rPr>
                <w:rFonts w:cs="Arial"/>
                <w:lang w:eastAsia="zh-HK"/>
              </w:rPr>
              <w:t xml:space="preserve"> </w:t>
            </w:r>
          </w:p>
          <w:p w:rsidR="00B27FD2" w:rsidRPr="004004DF" w:rsidRDefault="00B27FD2" w:rsidP="00D86E22">
            <w:pPr>
              <w:pStyle w:val="NormalIndent"/>
              <w:widowControl/>
              <w:numPr>
                <w:ilvl w:val="1"/>
                <w:numId w:val="52"/>
              </w:numPr>
              <w:tabs>
                <w:tab w:val="clear" w:pos="1418"/>
              </w:tabs>
              <w:autoSpaceDE w:val="0"/>
              <w:autoSpaceDN w:val="0"/>
              <w:spacing w:before="60" w:after="60"/>
              <w:rPr>
                <w:rFonts w:cs="Arial"/>
                <w:lang w:eastAsia="zh-HK"/>
              </w:rPr>
            </w:pPr>
            <w:r w:rsidRPr="004004DF">
              <w:rPr>
                <w:rFonts w:cs="Arial"/>
                <w:lang w:eastAsia="zh-HK"/>
              </w:rPr>
              <w:t xml:space="preserve">GMRHE </w:t>
            </w:r>
          </w:p>
          <w:p w:rsidR="00B27FD2" w:rsidRPr="004004DF" w:rsidRDefault="00B27FD2" w:rsidP="00D86E22">
            <w:pPr>
              <w:pStyle w:val="NormalIndent"/>
              <w:widowControl/>
              <w:numPr>
                <w:ilvl w:val="1"/>
                <w:numId w:val="52"/>
              </w:numPr>
              <w:tabs>
                <w:tab w:val="clear" w:pos="1418"/>
              </w:tabs>
              <w:autoSpaceDE w:val="0"/>
              <w:autoSpaceDN w:val="0"/>
              <w:spacing w:before="60" w:after="60"/>
              <w:rPr>
                <w:rFonts w:cs="Arial"/>
                <w:lang w:eastAsia="zh-HK"/>
              </w:rPr>
            </w:pPr>
            <w:r w:rsidRPr="004004DF">
              <w:rPr>
                <w:rFonts w:cs="Arial"/>
                <w:lang w:eastAsia="zh-HK"/>
              </w:rPr>
              <w:t>Handbook 2015</w:t>
            </w:r>
          </w:p>
          <w:p w:rsidR="00B27FD2" w:rsidRPr="004004DF" w:rsidRDefault="00B27FD2" w:rsidP="00D86E22">
            <w:pPr>
              <w:pStyle w:val="NormalIndent"/>
              <w:autoSpaceDE w:val="0"/>
              <w:autoSpaceDN w:val="0"/>
              <w:spacing w:before="60" w:after="60"/>
              <w:ind w:left="196"/>
              <w:rPr>
                <w:rFonts w:cs="Arial"/>
                <w:b/>
                <w:lang w:eastAsia="zh-HK"/>
              </w:rPr>
            </w:pPr>
          </w:p>
        </w:tc>
      </w:tr>
    </w:tbl>
    <w:p w:rsidR="00B27FD2" w:rsidRPr="004004DF" w:rsidRDefault="00B27FD2" w:rsidP="00D86E22">
      <w:pPr>
        <w:rPr>
          <w:rFonts w:cs="Arial"/>
          <w:b/>
          <w:noProof/>
          <w:lang w:eastAsia="zh-HK"/>
        </w:rPr>
      </w:pPr>
    </w:p>
    <w:p w:rsidR="00B27FD2" w:rsidRPr="004004DF" w:rsidRDefault="00B27FD2" w:rsidP="00D86E22">
      <w:pPr>
        <w:rPr>
          <w:rFonts w:cs="Arial"/>
          <w:b/>
          <w:noProof/>
          <w:lang w:eastAsia="zh-HK"/>
        </w:rPr>
      </w:pPr>
      <w:r w:rsidRPr="004004DF">
        <w:rPr>
          <w:rFonts w:cs="Arial"/>
          <w:b/>
          <w:noProof/>
          <w:lang w:eastAsia="zh-HK"/>
        </w:rPr>
        <w:br w:type="page"/>
      </w:r>
    </w:p>
    <w:p w:rsidR="00B27FD2" w:rsidRPr="004004DF" w:rsidRDefault="00B27FD2" w:rsidP="00D86E22">
      <w:pPr>
        <w:pStyle w:val="ListParagraph"/>
        <w:widowControl/>
        <w:numPr>
          <w:ilvl w:val="1"/>
          <w:numId w:val="54"/>
        </w:numPr>
        <w:tabs>
          <w:tab w:val="clear" w:pos="1418"/>
        </w:tabs>
        <w:adjustRightInd/>
        <w:ind w:hanging="720"/>
        <w:jc w:val="left"/>
        <w:rPr>
          <w:rFonts w:cs="Arial"/>
          <w:b/>
          <w:noProof/>
        </w:rPr>
      </w:pPr>
      <w:r w:rsidRPr="004004DF">
        <w:rPr>
          <w:rFonts w:cs="Arial"/>
          <w:b/>
          <w:noProof/>
        </w:rPr>
        <w:t xml:space="preserve">Disposal – </w:t>
      </w:r>
      <w:r>
        <w:rPr>
          <w:rFonts w:cs="Arial" w:hint="eastAsia"/>
          <w:b/>
          <w:noProof/>
        </w:rPr>
        <w:t>t</w:t>
      </w:r>
      <w:r w:rsidRPr="004004DF">
        <w:rPr>
          <w:rFonts w:cs="Arial"/>
          <w:b/>
          <w:noProof/>
        </w:rPr>
        <w:t xml:space="preserve">ransfer for </w:t>
      </w:r>
      <w:r>
        <w:rPr>
          <w:rFonts w:cs="Arial" w:hint="eastAsia"/>
          <w:b/>
          <w:noProof/>
        </w:rPr>
        <w:t>a</w:t>
      </w:r>
      <w:r w:rsidRPr="004004DF">
        <w:rPr>
          <w:rFonts w:cs="Arial"/>
          <w:b/>
          <w:noProof/>
        </w:rPr>
        <w:t xml:space="preserve">ppraisal and </w:t>
      </w:r>
      <w:r>
        <w:rPr>
          <w:rFonts w:cs="Arial" w:hint="eastAsia"/>
          <w:b/>
          <w:noProof/>
        </w:rPr>
        <w:t>p</w:t>
      </w:r>
      <w:r w:rsidRPr="004004DF">
        <w:rPr>
          <w:rFonts w:cs="Arial"/>
          <w:b/>
          <w:noProof/>
        </w:rPr>
        <w:t xml:space="preserve">reservation, and </w:t>
      </w:r>
      <w:r>
        <w:rPr>
          <w:rFonts w:cs="Arial" w:hint="eastAsia"/>
          <w:b/>
          <w:noProof/>
        </w:rPr>
        <w:t>d</w:t>
      </w:r>
      <w:r w:rsidRPr="004004DF">
        <w:rPr>
          <w:rFonts w:cs="Arial"/>
          <w:b/>
          <w:noProof/>
        </w:rPr>
        <w:t>estruction</w:t>
      </w:r>
    </w:p>
    <w:p w:rsidR="00B27FD2" w:rsidRPr="004004DF" w:rsidRDefault="00B27FD2" w:rsidP="00D86E22">
      <w:pPr>
        <w:rPr>
          <w:rFonts w:cs="Arial"/>
          <w:lang w:eastAsia="zh-HK"/>
        </w:rPr>
      </w:pPr>
    </w:p>
    <w:tbl>
      <w:tblPr>
        <w:tblW w:w="8366" w:type="dxa"/>
        <w:tblInd w:w="108" w:type="dxa"/>
        <w:tblLook w:val="01E0" w:firstRow="1" w:lastRow="1" w:firstColumn="1" w:lastColumn="1" w:noHBand="0" w:noVBand="0"/>
      </w:tblPr>
      <w:tblGrid>
        <w:gridCol w:w="2880"/>
        <w:gridCol w:w="5486"/>
      </w:tblGrid>
      <w:tr w:rsidR="00B27FD2" w:rsidRPr="004004DF" w:rsidTr="00D86E22">
        <w:trPr>
          <w:tblHeader/>
        </w:trPr>
        <w:tc>
          <w:tcPr>
            <w:tcW w:w="2880" w:type="dxa"/>
            <w:shd w:val="clear" w:color="auto" w:fill="auto"/>
          </w:tcPr>
          <w:p w:rsidR="00B27FD2" w:rsidRPr="004004DF" w:rsidRDefault="00B27FD2" w:rsidP="00B8463D">
            <w:pPr>
              <w:spacing w:after="120"/>
              <w:jc w:val="center"/>
              <w:rPr>
                <w:rFonts w:cs="Arial"/>
                <w:b/>
                <w:u w:val="single"/>
                <w:lang w:eastAsia="zh-HK"/>
              </w:rPr>
            </w:pPr>
            <w:r w:rsidRPr="004004DF">
              <w:rPr>
                <w:rFonts w:cs="Arial"/>
                <w:b/>
                <w:u w:val="single"/>
                <w:lang w:eastAsia="zh-HK"/>
              </w:rPr>
              <w:t>Major Processes</w:t>
            </w:r>
          </w:p>
        </w:tc>
        <w:tc>
          <w:tcPr>
            <w:tcW w:w="5486" w:type="dxa"/>
            <w:shd w:val="clear" w:color="auto" w:fill="auto"/>
          </w:tcPr>
          <w:p w:rsidR="00B27FD2" w:rsidRPr="004004DF" w:rsidRDefault="00B27FD2" w:rsidP="00B8463D">
            <w:pPr>
              <w:spacing w:after="120"/>
              <w:jc w:val="center"/>
              <w:rPr>
                <w:rFonts w:cs="Arial"/>
                <w:b/>
                <w:lang w:eastAsia="zh-HK"/>
              </w:rPr>
            </w:pPr>
            <w:r w:rsidRPr="004004DF">
              <w:rPr>
                <w:rFonts w:cs="Arial"/>
                <w:b/>
                <w:u w:val="single"/>
                <w:lang w:eastAsia="zh-HK"/>
              </w:rPr>
              <w:t xml:space="preserve">Applicable </w:t>
            </w:r>
            <w:r w:rsidRPr="00733C21">
              <w:rPr>
                <w:rFonts w:cs="Arial"/>
                <w:b/>
                <w:u w:val="single"/>
                <w:lang w:eastAsia="zh-HK"/>
              </w:rPr>
              <w:t>General Circulars</w:t>
            </w:r>
            <w:r w:rsidRPr="004004DF">
              <w:rPr>
                <w:rFonts w:cs="Arial"/>
                <w:b/>
                <w:u w:val="single"/>
                <w:lang w:eastAsia="zh-HK"/>
              </w:rPr>
              <w:t xml:space="preserve"> / </w:t>
            </w:r>
            <w:r>
              <w:rPr>
                <w:rFonts w:cs="Arial"/>
                <w:b/>
                <w:u w:val="single"/>
                <w:lang w:eastAsia="zh-HK"/>
              </w:rPr>
              <w:t>Circular Memoranda</w:t>
            </w:r>
            <w:r w:rsidRPr="004004DF">
              <w:rPr>
                <w:rFonts w:cs="Arial"/>
                <w:b/>
                <w:u w:val="single"/>
                <w:lang w:eastAsia="zh-HK"/>
              </w:rPr>
              <w:t xml:space="preserve"> / Guidelines</w:t>
            </w:r>
          </w:p>
        </w:tc>
      </w:tr>
      <w:tr w:rsidR="00B27FD2" w:rsidRPr="004004DF" w:rsidTr="00D86E22">
        <w:trPr>
          <w:trHeight w:val="2385"/>
        </w:trPr>
        <w:tc>
          <w:tcPr>
            <w:tcW w:w="2880" w:type="dxa"/>
            <w:shd w:val="clear" w:color="auto" w:fill="auto"/>
          </w:tcPr>
          <w:p w:rsidR="00B27FD2" w:rsidRPr="004004DF" w:rsidRDefault="00764270" w:rsidP="00D86E22">
            <w:pPr>
              <w:rPr>
                <w:rFonts w:cs="Arial"/>
                <w:noProof/>
              </w:rPr>
            </w:pPr>
            <w:r>
              <w:rPr>
                <w:noProof/>
                <w:snapToGrid/>
              </w:rPr>
              <mc:AlternateContent>
                <mc:Choice Requires="wps">
                  <w:drawing>
                    <wp:anchor distT="0" distB="0" distL="114300" distR="114300" simplePos="0" relativeHeight="251644416" behindDoc="0" locked="0" layoutInCell="1" allowOverlap="1">
                      <wp:simplePos x="0" y="0"/>
                      <wp:positionH relativeFrom="column">
                        <wp:posOffset>575945</wp:posOffset>
                      </wp:positionH>
                      <wp:positionV relativeFrom="paragraph">
                        <wp:posOffset>556895</wp:posOffset>
                      </wp:positionV>
                      <wp:extent cx="445135" cy="1025525"/>
                      <wp:effectExtent l="19050" t="0" r="12065" b="41275"/>
                      <wp:wrapNone/>
                      <wp:docPr id="310" name="向下箭號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10255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359" o:spid="_x0000_s1026" type="#_x0000_t67" style="position:absolute;margin-left:45.35pt;margin-top:43.85pt;width:35.05pt;height:8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" adj="16912" fillcolor="window" strokecolor="windowText" strokeweight="2pt">
                      <v:path arrowok="t"/>
                    </v:shape>
                  </w:pict>
                </mc:Fallback>
              </mc:AlternateContent>
            </w:r>
            <w:r>
              <w:rPr>
                <w:noProof/>
                <w:snapToGrid/>
              </w:rPr>
              <mc:AlternateContent>
                <mc:Choice Requires="wps">
                  <w:drawing>
                    <wp:anchor distT="0" distB="0" distL="114300" distR="114300" simplePos="0" relativeHeight="251645440" behindDoc="0" locked="0" layoutInCell="1" allowOverlap="1">
                      <wp:simplePos x="0" y="0"/>
                      <wp:positionH relativeFrom="column">
                        <wp:posOffset>-78105</wp:posOffset>
                      </wp:positionH>
                      <wp:positionV relativeFrom="paragraph">
                        <wp:posOffset>89535</wp:posOffset>
                      </wp:positionV>
                      <wp:extent cx="1819275" cy="466725"/>
                      <wp:effectExtent l="0" t="0" r="28575" b="28575"/>
                      <wp:wrapNone/>
                      <wp:docPr id="314" name="文字方塊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66725"/>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0" w:lineRule="atLeast"/>
                                    <w:jc w:val="center"/>
                                    <w:rPr>
                                      <w:rFonts w:cs="Arial"/>
                                      <w:b/>
                                      <w:sz w:val="22"/>
                                      <w:lang w:eastAsia="zh-HK"/>
                                    </w:rPr>
                                  </w:pPr>
                                  <w:r w:rsidRPr="00DB3FEC">
                                    <w:rPr>
                                      <w:rFonts w:cs="Arial"/>
                                      <w:b/>
                                      <w:sz w:val="22"/>
                                      <w:lang w:eastAsia="zh-HK"/>
                                    </w:rPr>
                                    <w:t>Disposal of</w:t>
                                  </w:r>
                                </w:p>
                                <w:p w:rsidR="009A4F49" w:rsidRPr="00CE4465" w:rsidRDefault="009A4F49" w:rsidP="00440249">
                                  <w:pPr>
                                    <w:spacing w:line="0" w:lineRule="atLeast"/>
                                    <w:jc w:val="center"/>
                                    <w:rPr>
                                      <w:rFonts w:cs="Arial"/>
                                      <w:b/>
                                      <w:lang w:eastAsia="zh-HK"/>
                                    </w:rPr>
                                  </w:pPr>
                                  <w:r w:rsidRPr="00DB3FEC">
                                    <w:rPr>
                                      <w:rFonts w:cs="Arial"/>
                                      <w:b/>
                                      <w:sz w:val="22"/>
                                      <w:lang w:eastAsia="zh-HK"/>
                                    </w:rPr>
                                    <w:t>time-expired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5" o:spid="_x0000_s1064" type="#_x0000_t202" style="position:absolute;left:0;text-align:left;margin-left:-6.15pt;margin-top:7.05pt;width:143.25pt;height:3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" strokeweight="1.5pt">
                      <v:textbox>
                        <w:txbxContent>
                          <w:p w:rsidR="009A4F49" w:rsidRPr="00DB3FEC" w:rsidRDefault="009A4F49" w:rsidP="00440249">
                            <w:pPr>
                              <w:spacing w:line="0" w:lineRule="atLeast"/>
                              <w:jc w:val="center"/>
                              <w:rPr>
                                <w:rFonts w:cs="Arial"/>
                                <w:b/>
                                <w:sz w:val="22"/>
                                <w:lang w:eastAsia="zh-HK"/>
                              </w:rPr>
                            </w:pPr>
                            <w:r w:rsidRPr="00DB3FEC">
                              <w:rPr>
                                <w:rFonts w:cs="Arial"/>
                                <w:b/>
                                <w:sz w:val="22"/>
                                <w:lang w:eastAsia="zh-HK"/>
                              </w:rPr>
                              <w:t>Disposal of</w:t>
                            </w:r>
                          </w:p>
                          <w:p w:rsidR="009A4F49" w:rsidRPr="00CE4465" w:rsidRDefault="009A4F49" w:rsidP="00440249">
                            <w:pPr>
                              <w:spacing w:line="0" w:lineRule="atLeast"/>
                              <w:jc w:val="center"/>
                              <w:rPr>
                                <w:rFonts w:cs="Arial"/>
                                <w:b/>
                                <w:lang w:eastAsia="zh-HK"/>
                              </w:rPr>
                            </w:pPr>
                            <w:r w:rsidRPr="00DB3FEC">
                              <w:rPr>
                                <w:rFonts w:cs="Arial"/>
                                <w:b/>
                                <w:sz w:val="22"/>
                                <w:lang w:eastAsia="zh-HK"/>
                              </w:rPr>
                              <w:t>time-expired records</w:t>
                            </w:r>
                          </w:p>
                        </w:txbxContent>
                      </v:textbox>
                    </v:shape>
                  </w:pict>
                </mc:Fallback>
              </mc:AlternateContent>
            </w: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b/>
                <w:u w:val="single"/>
              </w:rPr>
            </w:pPr>
            <w:r w:rsidRPr="004004DF">
              <w:rPr>
                <w:rFonts w:cs="Arial"/>
                <w:b/>
                <w:u w:val="single"/>
              </w:rPr>
              <w:t>GC09</w:t>
            </w:r>
            <w:r w:rsidRPr="004004DF">
              <w:rPr>
                <w:rFonts w:cs="Arial"/>
                <w:u w:val="single"/>
              </w:rPr>
              <w:t>:</w:t>
            </w:r>
            <w:r w:rsidRPr="004004DF">
              <w:rPr>
                <w:rFonts w:cs="Arial"/>
                <w:b/>
                <w:u w:val="single"/>
              </w:rPr>
              <w:t xml:space="preserve"> </w:t>
            </w:r>
            <w:r w:rsidRPr="004004DF">
              <w:rPr>
                <w:rFonts w:cs="Arial"/>
                <w:u w:val="single"/>
              </w:rPr>
              <w:t>B/Ds should dispose of time-expired records at least once every two years for all their administrative records, which are covered by GARDS, and for all their programme records with approved disposal schedules.</w:t>
            </w:r>
          </w:p>
          <w:p w:rsidR="00B27FD2" w:rsidRPr="004004DF" w:rsidRDefault="00B27FD2" w:rsidP="00D86E22">
            <w:pPr>
              <w:widowControl/>
              <w:numPr>
                <w:ilvl w:val="0"/>
                <w:numId w:val="53"/>
              </w:numPr>
              <w:tabs>
                <w:tab w:val="clear" w:pos="1418"/>
              </w:tabs>
              <w:adjustRightInd/>
              <w:spacing w:before="60" w:afterLines="60" w:after="216"/>
              <w:rPr>
                <w:rFonts w:cs="Arial"/>
                <w:b/>
              </w:rPr>
            </w:pPr>
            <w:r w:rsidRPr="004004DF">
              <w:rPr>
                <w:rFonts w:cs="Arial"/>
                <w:b/>
                <w:lang w:eastAsia="zh-HK"/>
              </w:rPr>
              <w:t>RMM 637</w:t>
            </w:r>
            <w:r w:rsidRPr="004004DF">
              <w:rPr>
                <w:rFonts w:cs="Arial"/>
                <w:lang w:eastAsia="zh-HK"/>
              </w:rPr>
              <w:t>: All government records reaching 30 years old should be appraised by the P</w:t>
            </w:r>
            <w:r>
              <w:rPr>
                <w:rFonts w:cs="Arial"/>
                <w:lang w:eastAsia="zh-HK"/>
              </w:rPr>
              <w:t xml:space="preserve">ublic </w:t>
            </w:r>
            <w:r w:rsidRPr="004004DF">
              <w:rPr>
                <w:rFonts w:cs="Arial"/>
                <w:lang w:eastAsia="zh-HK"/>
              </w:rPr>
              <w:t>R</w:t>
            </w:r>
            <w:r>
              <w:rPr>
                <w:rFonts w:cs="Arial"/>
                <w:lang w:eastAsia="zh-HK"/>
              </w:rPr>
              <w:t xml:space="preserve">ecords </w:t>
            </w:r>
            <w:r w:rsidRPr="004004DF">
              <w:rPr>
                <w:rFonts w:cs="Arial"/>
                <w:lang w:eastAsia="zh-HK"/>
              </w:rPr>
              <w:t>O</w:t>
            </w:r>
            <w:r>
              <w:rPr>
                <w:rFonts w:cs="Arial"/>
                <w:lang w:eastAsia="zh-HK"/>
              </w:rPr>
              <w:t>ffice</w:t>
            </w:r>
            <w:r w:rsidRPr="004004DF">
              <w:rPr>
                <w:rFonts w:cs="Arial"/>
                <w:lang w:eastAsia="zh-HK"/>
              </w:rPr>
              <w:t xml:space="preserve"> to determine whether or not they possess archival value for permanent preservation.</w:t>
            </w:r>
          </w:p>
        </w:tc>
      </w:tr>
      <w:tr w:rsidR="00B27FD2" w:rsidRPr="004004DF" w:rsidTr="00D86E22">
        <w:trPr>
          <w:trHeight w:val="1145"/>
        </w:trPr>
        <w:tc>
          <w:tcPr>
            <w:tcW w:w="2880" w:type="dxa"/>
            <w:shd w:val="clear" w:color="auto" w:fill="auto"/>
          </w:tcPr>
          <w:p w:rsidR="00B27FD2" w:rsidRPr="004004DF" w:rsidRDefault="00764270" w:rsidP="00D86E22">
            <w:pPr>
              <w:rPr>
                <w:rFonts w:cs="Arial"/>
                <w:noProof/>
                <w:u w:val="single"/>
              </w:rPr>
            </w:pPr>
            <w:r>
              <w:rPr>
                <w:noProof/>
                <w:snapToGrid/>
              </w:rPr>
              <mc:AlternateContent>
                <mc:Choice Requires="wps">
                  <w:drawing>
                    <wp:anchor distT="0" distB="0" distL="114300" distR="114300" simplePos="0" relativeHeight="251646464" behindDoc="0" locked="0" layoutInCell="1" allowOverlap="1">
                      <wp:simplePos x="0" y="0"/>
                      <wp:positionH relativeFrom="column">
                        <wp:posOffset>1150620</wp:posOffset>
                      </wp:positionH>
                      <wp:positionV relativeFrom="paragraph">
                        <wp:posOffset>472440</wp:posOffset>
                      </wp:positionV>
                      <wp:extent cx="352425" cy="609600"/>
                      <wp:effectExtent l="19050" t="0" r="28575" b="38100"/>
                      <wp:wrapNone/>
                      <wp:docPr id="323" name="向下箭號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6096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4" o:spid="_x0000_s1026" type="#_x0000_t67" style="position:absolute;margin-left:90.6pt;margin-top:37.2pt;width:27.7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" adj="15356" fillcolor="window" strokecolor="windowText" strokeweight="2pt">
                      <v:path arrowok="t"/>
                    </v:shape>
                  </w:pict>
                </mc:Fallback>
              </mc:AlternateContent>
            </w:r>
            <w:r>
              <w:rPr>
                <w:noProof/>
                <w:snapToGrid/>
              </w:rPr>
              <mc:AlternateContent>
                <mc:Choice Requires="wps">
                  <w:drawing>
                    <wp:anchor distT="0" distB="0" distL="114300" distR="114300" simplePos="0" relativeHeight="251651584" behindDoc="0" locked="0" layoutInCell="1" allowOverlap="1">
                      <wp:simplePos x="0" y="0"/>
                      <wp:positionH relativeFrom="column">
                        <wp:posOffset>179070</wp:posOffset>
                      </wp:positionH>
                      <wp:positionV relativeFrom="paragraph">
                        <wp:posOffset>472440</wp:posOffset>
                      </wp:positionV>
                      <wp:extent cx="352425" cy="581025"/>
                      <wp:effectExtent l="19050" t="0" r="28575" b="47625"/>
                      <wp:wrapNone/>
                      <wp:docPr id="326" name="向下箭號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5810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91" o:spid="_x0000_s1026" type="#_x0000_t67" style="position:absolute;margin-left:14.1pt;margin-top:37.2pt;width:27.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" adj="15049" fillcolor="window" strokecolor="windowText" strokeweight="2pt">
                      <v:path arrowok="t"/>
                    </v:shape>
                  </w:pict>
                </mc:Fallback>
              </mc:AlternateContent>
            </w:r>
            <w:r>
              <w:rPr>
                <w:noProof/>
                <w:snapToGrid/>
              </w:rPr>
              <mc:AlternateContent>
                <mc:Choice Requires="wps">
                  <w:drawing>
                    <wp:anchor distT="0" distB="0" distL="114300" distR="114300" simplePos="0" relativeHeight="251642368" behindDoc="0" locked="0" layoutInCell="1" allowOverlap="1">
                      <wp:simplePos x="0" y="0"/>
                      <wp:positionH relativeFrom="column">
                        <wp:posOffset>-78105</wp:posOffset>
                      </wp:positionH>
                      <wp:positionV relativeFrom="paragraph">
                        <wp:posOffset>34290</wp:posOffset>
                      </wp:positionV>
                      <wp:extent cx="1847850" cy="438150"/>
                      <wp:effectExtent l="0" t="0" r="19050" b="19050"/>
                      <wp:wrapNone/>
                      <wp:docPr id="327" name="文字方塊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38150"/>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0" w:lineRule="atLeast"/>
                                    <w:jc w:val="center"/>
                                    <w:rPr>
                                      <w:rFonts w:cs="Arial"/>
                                      <w:b/>
                                      <w:szCs w:val="26"/>
                                    </w:rPr>
                                  </w:pPr>
                                  <w:r w:rsidRPr="00DB3FEC">
                                    <w:rPr>
                                      <w:rFonts w:cs="Arial"/>
                                      <w:b/>
                                      <w:sz w:val="22"/>
                                      <w:lang w:eastAsia="zh-HK"/>
                                    </w:rPr>
                                    <w:t>Internal control for disposal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5" o:spid="_x0000_s1065" type="#_x0000_t202" style="position:absolute;left:0;text-align:left;margin-left:-6.15pt;margin-top:2.7pt;width:145.5pt;height: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" strokeweight="1.5pt">
                      <v:textbox>
                        <w:txbxContent>
                          <w:p w:rsidR="009A4F49" w:rsidRPr="00DB3FEC" w:rsidRDefault="009A4F49" w:rsidP="00440249">
                            <w:pPr>
                              <w:spacing w:line="0" w:lineRule="atLeast"/>
                              <w:jc w:val="center"/>
                              <w:rPr>
                                <w:rFonts w:cs="Arial"/>
                                <w:b/>
                                <w:szCs w:val="26"/>
                              </w:rPr>
                            </w:pPr>
                            <w:r w:rsidRPr="00DB3FEC">
                              <w:rPr>
                                <w:rFonts w:cs="Arial"/>
                                <w:b/>
                                <w:sz w:val="22"/>
                                <w:lang w:eastAsia="zh-HK"/>
                              </w:rPr>
                              <w:t>Internal control for disposal of records</w:t>
                            </w:r>
                          </w:p>
                        </w:txbxContent>
                      </v:textbox>
                    </v:shape>
                  </w:pict>
                </mc:Fallback>
              </mc:AlternateContent>
            </w: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i/>
              </w:rPr>
            </w:pPr>
            <w:r w:rsidRPr="004004DF">
              <w:rPr>
                <w:rFonts w:cs="Arial"/>
                <w:b/>
                <w:u w:val="single"/>
              </w:rPr>
              <w:t>GC09</w:t>
            </w:r>
            <w:r w:rsidRPr="004004DF">
              <w:rPr>
                <w:rFonts w:cs="Arial"/>
                <w:u w:val="single"/>
              </w:rPr>
              <w:t>: Disposal of records, including destruction of records, should be considered and endorsed in writing by a senior officer not below the rank of S</w:t>
            </w:r>
            <w:r w:rsidRPr="004004DF">
              <w:rPr>
                <w:rFonts w:cs="Arial"/>
                <w:u w:val="single"/>
                <w:lang w:eastAsia="zh-HK"/>
              </w:rPr>
              <w:t>EO</w:t>
            </w:r>
            <w:r w:rsidRPr="004004DF">
              <w:rPr>
                <w:rFonts w:cs="Arial"/>
                <w:u w:val="single"/>
              </w:rPr>
              <w:t xml:space="preserve"> or equivalent in the B/D.</w:t>
            </w:r>
          </w:p>
        </w:tc>
      </w:tr>
      <w:tr w:rsidR="00B27FD2" w:rsidRPr="004004DF" w:rsidTr="00D86E22">
        <w:tc>
          <w:tcPr>
            <w:tcW w:w="2880" w:type="dxa"/>
            <w:shd w:val="clear" w:color="auto" w:fill="auto"/>
          </w:tcPr>
          <w:p w:rsidR="00B27FD2" w:rsidRPr="004004DF" w:rsidRDefault="00764270" w:rsidP="00D86E22">
            <w:pPr>
              <w:rPr>
                <w:rFonts w:cs="Arial"/>
                <w:b/>
                <w:u w:val="single"/>
                <w:lang w:eastAsia="zh-HK"/>
              </w:rPr>
            </w:pPr>
            <w:r>
              <w:rPr>
                <w:noProof/>
                <w:snapToGrid/>
              </w:rPr>
              <mc:AlternateContent>
                <mc:Choice Requires="wps">
                  <w:drawing>
                    <wp:anchor distT="0" distB="0" distL="114300" distR="114300" simplePos="0" relativeHeight="251647488" behindDoc="0" locked="0" layoutInCell="1" allowOverlap="1">
                      <wp:simplePos x="0" y="0"/>
                      <wp:positionH relativeFrom="column">
                        <wp:posOffset>807720</wp:posOffset>
                      </wp:positionH>
                      <wp:positionV relativeFrom="paragraph">
                        <wp:posOffset>17145</wp:posOffset>
                      </wp:positionV>
                      <wp:extent cx="962025" cy="1414145"/>
                      <wp:effectExtent l="0" t="0" r="28575" b="14605"/>
                      <wp:wrapNone/>
                      <wp:docPr id="328"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14145"/>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0" w:lineRule="atLeast"/>
                                    <w:jc w:val="center"/>
                                    <w:rPr>
                                      <w:rFonts w:cs="Arial"/>
                                      <w:b/>
                                      <w:sz w:val="22"/>
                                      <w:szCs w:val="26"/>
                                      <w:lang w:eastAsia="zh-HK"/>
                                    </w:rPr>
                                  </w:pPr>
                                  <w:r w:rsidRPr="00DB3FEC">
                                    <w:rPr>
                                      <w:rFonts w:cs="Arial"/>
                                      <w:b/>
                                      <w:sz w:val="22"/>
                                      <w:szCs w:val="26"/>
                                      <w:lang w:eastAsia="zh-HK"/>
                                    </w:rPr>
                                    <w:t>For records having NO archival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66" type="#_x0000_t202" style="position:absolute;left:0;text-align:left;margin-left:63.6pt;margin-top:1.35pt;width:75.75pt;height:11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" strokeweight="1.5pt">
                      <v:textbox>
                        <w:txbxContent>
                          <w:p w:rsidR="009A4F49" w:rsidRPr="00DB3FEC" w:rsidRDefault="009A4F49" w:rsidP="00440249">
                            <w:pPr>
                              <w:spacing w:line="0" w:lineRule="atLeast"/>
                              <w:jc w:val="center"/>
                              <w:rPr>
                                <w:rFonts w:cs="Arial"/>
                                <w:b/>
                                <w:sz w:val="22"/>
                                <w:szCs w:val="26"/>
                                <w:lang w:eastAsia="zh-HK"/>
                              </w:rPr>
                            </w:pPr>
                            <w:r w:rsidRPr="00DB3FEC">
                              <w:rPr>
                                <w:rFonts w:cs="Arial"/>
                                <w:b/>
                                <w:sz w:val="22"/>
                                <w:szCs w:val="26"/>
                                <w:lang w:eastAsia="zh-HK"/>
                              </w:rPr>
                              <w:t>For records having NO archival value</w:t>
                            </w:r>
                          </w:p>
                        </w:txbxContent>
                      </v:textbox>
                    </v:shape>
                  </w:pict>
                </mc:Fallback>
              </mc:AlternateContent>
            </w:r>
            <w:r>
              <w:rPr>
                <w:noProof/>
                <w:snapToGrid/>
              </w:rPr>
              <mc:AlternateContent>
                <mc:Choice Requires="wps">
                  <w:drawing>
                    <wp:anchor distT="0" distB="0" distL="114300" distR="114300" simplePos="0" relativeHeight="251652608" behindDoc="0" locked="0" layoutInCell="1" allowOverlap="1">
                      <wp:simplePos x="0" y="0"/>
                      <wp:positionH relativeFrom="column">
                        <wp:posOffset>-78105</wp:posOffset>
                      </wp:positionH>
                      <wp:positionV relativeFrom="paragraph">
                        <wp:posOffset>26670</wp:posOffset>
                      </wp:positionV>
                      <wp:extent cx="800100" cy="1400175"/>
                      <wp:effectExtent l="0" t="0" r="19050" b="28575"/>
                      <wp:wrapNone/>
                      <wp:docPr id="329" name="文字方塊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0175"/>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0" w:lineRule="atLeast"/>
                                    <w:jc w:val="center"/>
                                    <w:rPr>
                                      <w:rFonts w:cs="Arial"/>
                                      <w:b/>
                                      <w:sz w:val="22"/>
                                      <w:szCs w:val="26"/>
                                      <w:lang w:eastAsia="zh-HK"/>
                                    </w:rPr>
                                  </w:pPr>
                                  <w:r w:rsidRPr="00DB3FEC">
                                    <w:rPr>
                                      <w:rFonts w:cs="Arial"/>
                                      <w:b/>
                                      <w:sz w:val="22"/>
                                      <w:szCs w:val="26"/>
                                      <w:lang w:eastAsia="zh-HK"/>
                                    </w:rPr>
                                    <w:t>For records having archival value or potential archival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4" o:spid="_x0000_s1067" type="#_x0000_t202" style="position:absolute;left:0;text-align:left;margin-left:-6.15pt;margin-top:2.1pt;width:63pt;height:11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" strokeweight="1.5pt">
                      <v:textbox>
                        <w:txbxContent>
                          <w:p w:rsidR="009A4F49" w:rsidRPr="00DB3FEC" w:rsidRDefault="009A4F49" w:rsidP="00440249">
                            <w:pPr>
                              <w:spacing w:line="0" w:lineRule="atLeast"/>
                              <w:jc w:val="center"/>
                              <w:rPr>
                                <w:rFonts w:cs="Arial"/>
                                <w:b/>
                                <w:sz w:val="22"/>
                                <w:szCs w:val="26"/>
                                <w:lang w:eastAsia="zh-HK"/>
                              </w:rPr>
                            </w:pPr>
                            <w:r w:rsidRPr="00DB3FEC">
                              <w:rPr>
                                <w:rFonts w:cs="Arial"/>
                                <w:b/>
                                <w:sz w:val="22"/>
                                <w:szCs w:val="26"/>
                                <w:lang w:eastAsia="zh-HK"/>
                              </w:rPr>
                              <w:t>For records having archival value or potential archival value</w:t>
                            </w:r>
                          </w:p>
                        </w:txbxContent>
                      </v:textbox>
                    </v:shape>
                  </w:pict>
                </mc:Fallback>
              </mc:AlternateContent>
            </w: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764270" w:rsidP="00D86E22">
            <w:pPr>
              <w:rPr>
                <w:rFonts w:cs="Arial"/>
                <w:b/>
                <w:u w:val="single"/>
                <w:lang w:eastAsia="zh-HK"/>
              </w:rPr>
            </w:pPr>
            <w:r>
              <w:rPr>
                <w:noProof/>
                <w:snapToGrid/>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1114425</wp:posOffset>
                      </wp:positionV>
                      <wp:extent cx="1085850" cy="1609725"/>
                      <wp:effectExtent l="0" t="0" r="19050" b="28575"/>
                      <wp:wrapNone/>
                      <wp:docPr id="332"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09725"/>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spacing w:line="0" w:lineRule="atLeast"/>
                                    <w:jc w:val="center"/>
                                    <w:rPr>
                                      <w:rFonts w:cs="Arial"/>
                                      <w:b/>
                                      <w:sz w:val="26"/>
                                      <w:szCs w:val="26"/>
                                    </w:rPr>
                                  </w:pPr>
                                  <w:r w:rsidRPr="00DB3FEC">
                                    <w:rPr>
                                      <w:rFonts w:cs="Arial"/>
                                      <w:b/>
                                      <w:sz w:val="22"/>
                                    </w:rPr>
                                    <w:t>Obtain GRS Director</w:t>
                                  </w:r>
                                  <w:r>
                                    <w:rPr>
                                      <w:rFonts w:cs="Arial"/>
                                      <w:b/>
                                      <w:sz w:val="22"/>
                                    </w:rPr>
                                    <w:t>'</w:t>
                                  </w:r>
                                  <w:r w:rsidRPr="00DB3FEC">
                                    <w:rPr>
                                      <w:rFonts w:cs="Arial"/>
                                      <w:b/>
                                      <w:sz w:val="22"/>
                                    </w:rPr>
                                    <w:t>s prior agreement on destruction of any government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8" type="#_x0000_t202" style="position:absolute;left:0;text-align:left;margin-left:53.85pt;margin-top:87.75pt;width:85.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" strokeweight="1.5pt">
                      <v:textbox>
                        <w:txbxContent>
                          <w:p w:rsidR="009A4F49" w:rsidRPr="00DB3FEC" w:rsidRDefault="009A4F49" w:rsidP="00440249">
                            <w:pPr>
                              <w:spacing w:line="0" w:lineRule="atLeast"/>
                              <w:jc w:val="center"/>
                              <w:rPr>
                                <w:rFonts w:cs="Arial"/>
                                <w:b/>
                                <w:sz w:val="26"/>
                                <w:szCs w:val="26"/>
                              </w:rPr>
                            </w:pPr>
                            <w:r w:rsidRPr="00DB3FEC">
                              <w:rPr>
                                <w:rFonts w:cs="Arial"/>
                                <w:b/>
                                <w:sz w:val="22"/>
                              </w:rPr>
                              <w:t>Obtain GRS Director</w:t>
                            </w:r>
                            <w:r>
                              <w:rPr>
                                <w:rFonts w:cs="Arial"/>
                                <w:b/>
                                <w:sz w:val="22"/>
                              </w:rPr>
                              <w:t>'</w:t>
                            </w:r>
                            <w:r w:rsidRPr="00DB3FEC">
                              <w:rPr>
                                <w:rFonts w:cs="Arial"/>
                                <w:b/>
                                <w:sz w:val="22"/>
                              </w:rPr>
                              <w:t>s prior agreement on destruction of any government records</w:t>
                            </w:r>
                          </w:p>
                        </w:txbxContent>
                      </v:textbox>
                    </v:shape>
                  </w:pict>
                </mc:Fallback>
              </mc:AlternateContent>
            </w:r>
            <w:r>
              <w:rPr>
                <w:noProof/>
                <w:snapToGrid/>
              </w:rPr>
              <mc:AlternateContent>
                <mc:Choice Requires="wps">
                  <w:drawing>
                    <wp:anchor distT="0" distB="0" distL="114300" distR="114300" simplePos="0" relativeHeight="251654656" behindDoc="0" locked="0" layoutInCell="1" allowOverlap="1">
                      <wp:simplePos x="0" y="0"/>
                      <wp:positionH relativeFrom="column">
                        <wp:posOffset>1150620</wp:posOffset>
                      </wp:positionH>
                      <wp:positionV relativeFrom="paragraph">
                        <wp:posOffset>209550</wp:posOffset>
                      </wp:positionV>
                      <wp:extent cx="352425" cy="904875"/>
                      <wp:effectExtent l="19050" t="0" r="28575" b="47625"/>
                      <wp:wrapNone/>
                      <wp:docPr id="331" name="向下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9048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8" o:spid="_x0000_s1026" type="#_x0000_t67" style="position:absolute;margin-left:90.6pt;margin-top:16.5pt;width:27.75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" adj="17394" fillcolor="window" strokecolor="windowText" strokeweight="2pt">
                      <v:path arrowok="t"/>
                    </v:shape>
                  </w:pict>
                </mc:Fallback>
              </mc:AlternateContent>
            </w:r>
            <w:r>
              <w:rPr>
                <w:noProof/>
                <w:snapToGrid/>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205740</wp:posOffset>
                      </wp:positionV>
                      <wp:extent cx="352425" cy="3251835"/>
                      <wp:effectExtent l="19050" t="0" r="28575" b="43815"/>
                      <wp:wrapNone/>
                      <wp:docPr id="330" name="向下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5183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5" o:spid="_x0000_s1026" type="#_x0000_t67" style="position:absolute;margin-left:15pt;margin-top:16.2pt;width:27.75pt;height:25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" adj="20430" fillcolor="window" strokecolor="windowText" strokeweight="2pt">
                      <v:path arrowok="t"/>
                    </v:shape>
                  </w:pict>
                </mc:Fallback>
              </mc:AlternateContent>
            </w: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u w:val="single"/>
              </w:rPr>
            </w:pPr>
            <w:r w:rsidRPr="004004DF">
              <w:rPr>
                <w:rFonts w:cs="Arial"/>
                <w:b/>
                <w:u w:val="single"/>
              </w:rPr>
              <w:t>GC09</w:t>
            </w:r>
            <w:r w:rsidRPr="004004DF">
              <w:rPr>
                <w:rFonts w:cs="Arial"/>
                <w:u w:val="single"/>
              </w:rPr>
              <w:t>:</w:t>
            </w:r>
            <w:r w:rsidRPr="004004DF">
              <w:rPr>
                <w:rFonts w:cs="Arial"/>
                <w:u w:val="single"/>
                <w:lang w:eastAsia="zh-HK"/>
              </w:rPr>
              <w:t xml:space="preserve"> </w:t>
            </w:r>
            <w:r w:rsidRPr="004004DF">
              <w:rPr>
                <w:rFonts w:cs="Arial"/>
                <w:u w:val="single"/>
              </w:rPr>
              <w:t>B</w:t>
            </w:r>
            <w:r w:rsidRPr="004004DF">
              <w:rPr>
                <w:rFonts w:cs="Arial"/>
                <w:u w:val="single"/>
                <w:lang w:eastAsia="zh-HK"/>
              </w:rPr>
              <w:t>/</w:t>
            </w:r>
            <w:r w:rsidRPr="004004DF">
              <w:rPr>
                <w:rFonts w:cs="Arial"/>
                <w:u w:val="single"/>
              </w:rPr>
              <w:t>Ds should designate an officer not below the rank of Executive Officer II or equivalent to ensure that the disposal process is</w:t>
            </w:r>
            <w:r w:rsidRPr="004004DF">
              <w:rPr>
                <w:rFonts w:cs="Arial"/>
                <w:u w:val="single"/>
                <w:lang w:eastAsia="zh-HK"/>
              </w:rPr>
              <w:t xml:space="preserve"> </w:t>
            </w:r>
            <w:r w:rsidRPr="004004DF">
              <w:rPr>
                <w:rFonts w:cs="Arial"/>
                <w:u w:val="single"/>
              </w:rPr>
              <w:t>properly</w:t>
            </w:r>
            <w:r w:rsidRPr="004004DF">
              <w:rPr>
                <w:rFonts w:cs="Arial"/>
                <w:u w:val="single"/>
                <w:lang w:eastAsia="zh-HK"/>
              </w:rPr>
              <w:t xml:space="preserve"> </w:t>
            </w:r>
            <w:r w:rsidRPr="004004DF">
              <w:rPr>
                <w:rFonts w:cs="Arial"/>
                <w:u w:val="single"/>
              </w:rPr>
              <w:t>supervised and the records disposal procedures are complied with.</w:t>
            </w:r>
          </w:p>
          <w:p w:rsidR="00B27FD2" w:rsidRPr="004004DF" w:rsidRDefault="00B27FD2" w:rsidP="00D86E22">
            <w:pPr>
              <w:spacing w:before="60" w:afterLines="60" w:after="216"/>
              <w:rPr>
                <w:rFonts w:cs="Arial"/>
                <w:b/>
                <w:lang w:eastAsia="zh-HK"/>
              </w:rPr>
            </w:pPr>
          </w:p>
          <w:p w:rsidR="00B27FD2" w:rsidRPr="004004DF" w:rsidRDefault="00B27FD2" w:rsidP="00D86E22">
            <w:pPr>
              <w:spacing w:before="60" w:afterLines="60" w:after="216"/>
              <w:rPr>
                <w:rFonts w:cs="Arial"/>
                <w:b/>
                <w:lang w:eastAsia="zh-HK"/>
              </w:rPr>
            </w:pPr>
          </w:p>
          <w:p w:rsidR="00B27FD2" w:rsidRDefault="00B27FD2" w:rsidP="00D86E22">
            <w:pPr>
              <w:spacing w:before="60" w:afterLines="60" w:after="216"/>
              <w:rPr>
                <w:rFonts w:cs="Arial"/>
                <w:i/>
                <w:color w:val="FF0000"/>
                <w:szCs w:val="20"/>
                <w:lang w:eastAsia="zh-HK"/>
              </w:rPr>
            </w:pPr>
          </w:p>
          <w:p w:rsidR="00B27FD2" w:rsidRPr="00402FDB" w:rsidRDefault="00B27FD2" w:rsidP="00D86E22">
            <w:pPr>
              <w:spacing w:before="60" w:afterLines="60" w:after="216"/>
              <w:rPr>
                <w:rFonts w:cs="Arial"/>
                <w:b/>
                <w:lang w:eastAsia="zh-HK"/>
              </w:rPr>
            </w:pPr>
          </w:p>
          <w:p w:rsidR="00B27FD2" w:rsidRPr="004004DF" w:rsidRDefault="00B27FD2" w:rsidP="00D86E22">
            <w:pPr>
              <w:spacing w:before="60" w:afterLines="60" w:after="216"/>
              <w:rPr>
                <w:rFonts w:cs="Arial"/>
                <w:b/>
                <w:lang w:eastAsia="zh-HK"/>
              </w:rPr>
            </w:pPr>
          </w:p>
          <w:p w:rsidR="00B27FD2" w:rsidRPr="004004DF" w:rsidRDefault="00B27FD2" w:rsidP="00D86E22">
            <w:pPr>
              <w:spacing w:before="60" w:afterLines="60" w:after="216"/>
              <w:rPr>
                <w:rFonts w:cs="Arial"/>
                <w:b/>
                <w:lang w:eastAsia="zh-HK"/>
              </w:rPr>
            </w:pPr>
          </w:p>
        </w:tc>
      </w:tr>
      <w:tr w:rsidR="00B27FD2" w:rsidRPr="004004DF" w:rsidTr="00D86E22">
        <w:tc>
          <w:tcPr>
            <w:tcW w:w="2880" w:type="dxa"/>
            <w:shd w:val="clear" w:color="auto" w:fill="auto"/>
          </w:tcPr>
          <w:p w:rsidR="00B27FD2" w:rsidRPr="004004DF" w:rsidRDefault="00764270" w:rsidP="00D86E22">
            <w:pPr>
              <w:rPr>
                <w:rFonts w:cs="Arial"/>
                <w:noProof/>
              </w:rPr>
            </w:pPr>
            <w:r>
              <w:rPr>
                <w:noProof/>
                <w:snapToGrid/>
              </w:rPr>
              <mc:AlternateContent>
                <mc:Choice Requires="wps">
                  <w:drawing>
                    <wp:anchor distT="0" distB="0" distL="114300" distR="114300" simplePos="0" relativeHeight="251650560" behindDoc="0" locked="0" layoutInCell="1" allowOverlap="1">
                      <wp:simplePos x="0" y="0"/>
                      <wp:positionH relativeFrom="column">
                        <wp:posOffset>1112520</wp:posOffset>
                      </wp:positionH>
                      <wp:positionV relativeFrom="paragraph">
                        <wp:posOffset>850265</wp:posOffset>
                      </wp:positionV>
                      <wp:extent cx="352425" cy="530860"/>
                      <wp:effectExtent l="19050" t="0" r="28575" b="40640"/>
                      <wp:wrapNone/>
                      <wp:docPr id="333" name="向下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53086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22" o:spid="_x0000_s1026" type="#_x0000_t67" style="position:absolute;margin-left:87.6pt;margin-top:66.95pt;width:27.75pt;height:4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" adj="14430" fillcolor="window" strokecolor="windowText" strokeweight="2pt">
                      <v:path arrowok="t"/>
                    </v:shape>
                  </w:pict>
                </mc:Fallback>
              </mc:AlternateContent>
            </w:r>
            <w:r>
              <w:rPr>
                <w:noProof/>
                <w:snapToGrid/>
              </w:rPr>
              <mc:AlternateContent>
                <mc:Choice Requires="wps">
                  <w:drawing>
                    <wp:anchor distT="0" distB="0" distL="114300" distR="114300" simplePos="0" relativeHeight="251657728" behindDoc="0" locked="0" layoutInCell="1" allowOverlap="1">
                      <wp:simplePos x="0" y="0"/>
                      <wp:positionH relativeFrom="column">
                        <wp:posOffset>735965</wp:posOffset>
                      </wp:positionH>
                      <wp:positionV relativeFrom="paragraph">
                        <wp:posOffset>1381760</wp:posOffset>
                      </wp:positionV>
                      <wp:extent cx="1104900" cy="254000"/>
                      <wp:effectExtent l="0" t="0" r="19050" b="12700"/>
                      <wp:wrapNone/>
                      <wp:docPr id="334"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4000"/>
                              </a:xfrm>
                              <a:prstGeom prst="rect">
                                <a:avLst/>
                              </a:prstGeom>
                              <a:solidFill>
                                <a:srgbClr val="FFFFFF"/>
                              </a:solidFill>
                              <a:ln w="19050">
                                <a:solidFill>
                                  <a:srgbClr val="000000"/>
                                </a:solidFill>
                                <a:miter lim="800000"/>
                                <a:headEnd/>
                                <a:tailEnd/>
                              </a:ln>
                            </wps:spPr>
                            <wps:txbx>
                              <w:txbxContent>
                                <w:p w:rsidR="009A4F49" w:rsidRPr="00DB3FEC" w:rsidRDefault="009A4F49" w:rsidP="00D86E22">
                                  <w:pPr>
                                    <w:spacing w:line="0" w:lineRule="atLeast"/>
                                    <w:rPr>
                                      <w:rFonts w:cs="Arial"/>
                                      <w:b/>
                                      <w:sz w:val="26"/>
                                      <w:szCs w:val="26"/>
                                      <w:lang w:eastAsia="zh-HK"/>
                                    </w:rPr>
                                  </w:pPr>
                                  <w:r w:rsidRPr="00DB3FEC">
                                    <w:rPr>
                                      <w:rFonts w:cs="Arial"/>
                                      <w:b/>
                                      <w:sz w:val="22"/>
                                      <w:lang w:eastAsia="zh-HK"/>
                                    </w:rPr>
                                    <w:t>Destruction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69" type="#_x0000_t202" style="position:absolute;left:0;text-align:left;margin-left:57.95pt;margin-top:108.8pt;width:87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" strokeweight="1.5pt">
                      <v:textbox>
                        <w:txbxContent>
                          <w:p w:rsidR="009A4F49" w:rsidRPr="00DB3FEC" w:rsidRDefault="009A4F49" w:rsidP="00D86E22">
                            <w:pPr>
                              <w:spacing w:line="0" w:lineRule="atLeast"/>
                              <w:rPr>
                                <w:rFonts w:cs="Arial"/>
                                <w:b/>
                                <w:sz w:val="26"/>
                                <w:szCs w:val="26"/>
                                <w:lang w:eastAsia="zh-HK"/>
                              </w:rPr>
                            </w:pPr>
                            <w:r w:rsidRPr="00DB3FEC">
                              <w:rPr>
                                <w:rFonts w:cs="Arial"/>
                                <w:b/>
                                <w:sz w:val="22"/>
                                <w:lang w:eastAsia="zh-HK"/>
                              </w:rPr>
                              <w:t>Destruction</w:t>
                            </w:r>
                          </w:p>
                        </w:txbxContent>
                      </v:textbox>
                    </v:shape>
                  </w:pict>
                </mc:Fallback>
              </mc:AlternateContent>
            </w: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u w:val="single"/>
              </w:rPr>
            </w:pPr>
            <w:r w:rsidRPr="004004DF">
              <w:rPr>
                <w:rFonts w:cs="Arial"/>
                <w:b/>
                <w:u w:val="single"/>
              </w:rPr>
              <w:t>GC09</w:t>
            </w:r>
            <w:r w:rsidRPr="004004DF">
              <w:rPr>
                <w:rFonts w:cs="Arial"/>
                <w:u w:val="single"/>
              </w:rPr>
              <w:t>: B/Ds must obtain the prior agreement of the GRS Director before they destroy any government records.</w:t>
            </w:r>
          </w:p>
          <w:p w:rsidR="00B27FD2" w:rsidRPr="004004DF" w:rsidRDefault="00B27FD2" w:rsidP="00D86E22">
            <w:pPr>
              <w:spacing w:before="60" w:afterLines="60" w:after="216"/>
              <w:rPr>
                <w:rFonts w:cs="Arial"/>
                <w:lang w:eastAsia="zh-HK"/>
              </w:rPr>
            </w:pPr>
          </w:p>
          <w:p w:rsidR="00B27FD2" w:rsidRPr="004004DF" w:rsidRDefault="00B27FD2" w:rsidP="00D86E22">
            <w:pPr>
              <w:spacing w:before="60" w:afterLines="60" w:after="216"/>
              <w:rPr>
                <w:rFonts w:cs="Arial"/>
                <w:lang w:eastAsia="zh-HK"/>
              </w:rPr>
            </w:pPr>
          </w:p>
          <w:p w:rsidR="00B27FD2" w:rsidRPr="004004DF" w:rsidRDefault="00B27FD2" w:rsidP="00D86E22">
            <w:pPr>
              <w:spacing w:before="60" w:afterLines="60" w:after="216"/>
              <w:rPr>
                <w:rFonts w:cs="Arial"/>
              </w:rPr>
            </w:pPr>
          </w:p>
        </w:tc>
      </w:tr>
      <w:tr w:rsidR="00B27FD2" w:rsidRPr="004004DF" w:rsidTr="00D86E22">
        <w:tc>
          <w:tcPr>
            <w:tcW w:w="2880" w:type="dxa"/>
            <w:shd w:val="clear" w:color="auto" w:fill="auto"/>
          </w:tcPr>
          <w:p w:rsidR="00B27FD2" w:rsidRPr="004004DF" w:rsidRDefault="00764270" w:rsidP="00D86E22">
            <w:pPr>
              <w:rPr>
                <w:rFonts w:cs="Arial"/>
                <w:b/>
                <w:u w:val="single"/>
                <w:lang w:eastAsia="zh-HK"/>
              </w:rPr>
            </w:pPr>
            <w:r>
              <w:rPr>
                <w:noProof/>
                <w:snapToGrid/>
              </w:rPr>
              <w:lastRenderedPageBreak/>
              <mc:AlternateContent>
                <mc:Choice Requires="wps">
                  <w:drawing>
                    <wp:anchor distT="0" distB="0" distL="114300" distR="114300" simplePos="0" relativeHeight="251643392" behindDoc="0" locked="0" layoutInCell="1" allowOverlap="1">
                      <wp:simplePos x="0" y="0"/>
                      <wp:positionH relativeFrom="column">
                        <wp:posOffset>-68580</wp:posOffset>
                      </wp:positionH>
                      <wp:positionV relativeFrom="paragraph">
                        <wp:posOffset>37465</wp:posOffset>
                      </wp:positionV>
                      <wp:extent cx="1819275" cy="1329055"/>
                      <wp:effectExtent l="0" t="0" r="28575" b="23495"/>
                      <wp:wrapNone/>
                      <wp:docPr id="335" name="文字方塊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29055"/>
                              </a:xfrm>
                              <a:prstGeom prst="rect">
                                <a:avLst/>
                              </a:prstGeom>
                              <a:solidFill>
                                <a:srgbClr val="FFFFFF"/>
                              </a:solidFill>
                              <a:ln w="19050">
                                <a:solidFill>
                                  <a:srgbClr val="000000"/>
                                </a:solidFill>
                                <a:miter lim="800000"/>
                                <a:headEnd/>
                                <a:tailEnd/>
                              </a:ln>
                            </wps:spPr>
                            <wps:txbx>
                              <w:txbxContent>
                                <w:p w:rsidR="009A4F49" w:rsidRPr="009901F8" w:rsidRDefault="009A4F49" w:rsidP="00440249">
                                  <w:pPr>
                                    <w:spacing w:line="0" w:lineRule="atLeast"/>
                                    <w:jc w:val="center"/>
                                    <w:rPr>
                                      <w:rFonts w:cs="Arial"/>
                                      <w:b/>
                                      <w:sz w:val="20"/>
                                      <w:szCs w:val="20"/>
                                      <w:lang w:eastAsia="zh-HK"/>
                                    </w:rPr>
                                  </w:pPr>
                                  <w:r w:rsidRPr="009901F8">
                                    <w:rPr>
                                      <w:rFonts w:cs="Arial"/>
                                      <w:b/>
                                      <w:sz w:val="20"/>
                                      <w:szCs w:val="20"/>
                                      <w:lang w:eastAsia="zh-HK"/>
                                    </w:rPr>
                                    <w:t>Transfer records having archival value or potential archival value</w:t>
                                  </w:r>
                                </w:p>
                                <w:p w:rsidR="009A4F49" w:rsidRPr="009901F8" w:rsidRDefault="009A4F49" w:rsidP="00440249">
                                  <w:pPr>
                                    <w:spacing w:line="0" w:lineRule="atLeast"/>
                                    <w:jc w:val="center"/>
                                    <w:rPr>
                                      <w:rFonts w:cs="Arial"/>
                                      <w:b/>
                                      <w:sz w:val="20"/>
                                      <w:szCs w:val="20"/>
                                      <w:lang w:eastAsia="zh-HK"/>
                                    </w:rPr>
                                  </w:pPr>
                                  <w:r w:rsidRPr="009901F8">
                                    <w:rPr>
                                      <w:rFonts w:cs="Arial"/>
                                      <w:b/>
                                      <w:sz w:val="20"/>
                                      <w:szCs w:val="20"/>
                                      <w:lang w:eastAsia="zh-HK"/>
                                    </w:rPr>
                                    <w:t>(as appraised by P</w:t>
                                  </w:r>
                                  <w:r>
                                    <w:rPr>
                                      <w:rFonts w:cs="Arial"/>
                                      <w:b/>
                                      <w:sz w:val="20"/>
                                      <w:szCs w:val="20"/>
                                      <w:lang w:eastAsia="zh-HK"/>
                                    </w:rPr>
                                    <w:t xml:space="preserve">ublic </w:t>
                                  </w:r>
                                  <w:r w:rsidRPr="009901F8">
                                    <w:rPr>
                                      <w:rFonts w:cs="Arial"/>
                                      <w:b/>
                                      <w:sz w:val="20"/>
                                      <w:szCs w:val="20"/>
                                      <w:lang w:eastAsia="zh-HK"/>
                                    </w:rPr>
                                    <w:t>R</w:t>
                                  </w:r>
                                  <w:r>
                                    <w:rPr>
                                      <w:rFonts w:cs="Arial"/>
                                      <w:b/>
                                      <w:sz w:val="20"/>
                                      <w:szCs w:val="20"/>
                                      <w:lang w:eastAsia="zh-HK"/>
                                    </w:rPr>
                                    <w:t xml:space="preserve">ecords </w:t>
                                  </w:r>
                                  <w:r w:rsidRPr="009901F8">
                                    <w:rPr>
                                      <w:rFonts w:cs="Arial"/>
                                      <w:b/>
                                      <w:sz w:val="20"/>
                                      <w:szCs w:val="20"/>
                                      <w:lang w:eastAsia="zh-HK"/>
                                    </w:rPr>
                                    <w:t>O</w:t>
                                  </w:r>
                                  <w:r>
                                    <w:rPr>
                                      <w:rFonts w:cs="Arial"/>
                                      <w:b/>
                                      <w:sz w:val="20"/>
                                      <w:szCs w:val="20"/>
                                      <w:lang w:eastAsia="zh-HK"/>
                                    </w:rPr>
                                    <w:t>ffice</w:t>
                                  </w:r>
                                  <w:r w:rsidRPr="009901F8">
                                    <w:rPr>
                                      <w:rFonts w:cs="Arial"/>
                                      <w:b/>
                                      <w:sz w:val="20"/>
                                      <w:szCs w:val="20"/>
                                      <w:lang w:eastAsia="zh-HK"/>
                                    </w:rPr>
                                    <w:t xml:space="preserve"> and indicated in the approved dispos</w:t>
                                  </w:r>
                                  <w:r>
                                    <w:rPr>
                                      <w:rFonts w:cs="Arial"/>
                                      <w:b/>
                                      <w:sz w:val="20"/>
                                      <w:szCs w:val="20"/>
                                      <w:lang w:eastAsia="zh-HK"/>
                                    </w:rPr>
                                    <w:t>al</w:t>
                                  </w:r>
                                  <w:r w:rsidRPr="009901F8">
                                    <w:rPr>
                                      <w:rFonts w:cs="Arial"/>
                                      <w:b/>
                                      <w:sz w:val="20"/>
                                      <w:szCs w:val="20"/>
                                      <w:lang w:eastAsia="zh-HK"/>
                                    </w:rPr>
                                    <w:t xml:space="preserve"> schedules) to </w:t>
                                  </w:r>
                                  <w:r>
                                    <w:rPr>
                                      <w:rFonts w:cs="Arial"/>
                                      <w:b/>
                                      <w:sz w:val="20"/>
                                      <w:szCs w:val="20"/>
                                      <w:lang w:eastAsia="zh-HK"/>
                                    </w:rPr>
                                    <w:t xml:space="preserve">the </w:t>
                                  </w:r>
                                  <w:r w:rsidRPr="009901F8">
                                    <w:rPr>
                                      <w:rFonts w:cs="Arial"/>
                                      <w:b/>
                                      <w:sz w:val="20"/>
                                      <w:szCs w:val="20"/>
                                      <w:lang w:eastAsia="zh-HK"/>
                                    </w:rPr>
                                    <w:t>P</w:t>
                                  </w:r>
                                  <w:r>
                                    <w:rPr>
                                      <w:rFonts w:cs="Arial"/>
                                      <w:b/>
                                      <w:sz w:val="20"/>
                                      <w:szCs w:val="20"/>
                                      <w:lang w:eastAsia="zh-HK"/>
                                    </w:rPr>
                                    <w:t xml:space="preserve">ublic </w:t>
                                  </w:r>
                                  <w:r w:rsidRPr="009901F8">
                                    <w:rPr>
                                      <w:rFonts w:cs="Arial"/>
                                      <w:b/>
                                      <w:sz w:val="20"/>
                                      <w:szCs w:val="20"/>
                                      <w:lang w:eastAsia="zh-HK"/>
                                    </w:rPr>
                                    <w:t>R</w:t>
                                  </w:r>
                                  <w:r>
                                    <w:rPr>
                                      <w:rFonts w:cs="Arial"/>
                                      <w:b/>
                                      <w:sz w:val="20"/>
                                      <w:szCs w:val="20"/>
                                      <w:lang w:eastAsia="zh-HK"/>
                                    </w:rPr>
                                    <w:t xml:space="preserve">ecords </w:t>
                                  </w:r>
                                  <w:r w:rsidRPr="009901F8">
                                    <w:rPr>
                                      <w:rFonts w:cs="Arial"/>
                                      <w:b/>
                                      <w:sz w:val="20"/>
                                      <w:szCs w:val="20"/>
                                      <w:lang w:eastAsia="zh-HK"/>
                                    </w:rPr>
                                    <w:t>O</w:t>
                                  </w:r>
                                  <w:r>
                                    <w:rPr>
                                      <w:rFonts w:cs="Arial"/>
                                      <w:b/>
                                      <w:sz w:val="20"/>
                                      <w:szCs w:val="20"/>
                                      <w:lang w:eastAsia="zh-HK"/>
                                    </w:rPr>
                                    <w:t>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9" o:spid="_x0000_s1070" type="#_x0000_t202" style="position:absolute;left:0;text-align:left;margin-left:-5.4pt;margin-top:2.95pt;width:143.25pt;height:10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" strokeweight="1.5pt">
                      <v:textbox>
                        <w:txbxContent>
                          <w:p w:rsidR="009A4F49" w:rsidRPr="009901F8" w:rsidRDefault="009A4F49" w:rsidP="00440249">
                            <w:pPr>
                              <w:spacing w:line="0" w:lineRule="atLeast"/>
                              <w:jc w:val="center"/>
                              <w:rPr>
                                <w:rFonts w:cs="Arial"/>
                                <w:b/>
                                <w:sz w:val="20"/>
                                <w:szCs w:val="20"/>
                                <w:lang w:eastAsia="zh-HK"/>
                              </w:rPr>
                            </w:pPr>
                            <w:r w:rsidRPr="009901F8">
                              <w:rPr>
                                <w:rFonts w:cs="Arial"/>
                                <w:b/>
                                <w:sz w:val="20"/>
                                <w:szCs w:val="20"/>
                                <w:lang w:eastAsia="zh-HK"/>
                              </w:rPr>
                              <w:t>Transfer records having archival value or potential archival value</w:t>
                            </w:r>
                          </w:p>
                          <w:p w:rsidR="009A4F49" w:rsidRPr="009901F8" w:rsidRDefault="009A4F49" w:rsidP="00440249">
                            <w:pPr>
                              <w:spacing w:line="0" w:lineRule="atLeast"/>
                              <w:jc w:val="center"/>
                              <w:rPr>
                                <w:rFonts w:cs="Arial"/>
                                <w:b/>
                                <w:sz w:val="20"/>
                                <w:szCs w:val="20"/>
                                <w:lang w:eastAsia="zh-HK"/>
                              </w:rPr>
                            </w:pPr>
                            <w:r w:rsidRPr="009901F8">
                              <w:rPr>
                                <w:rFonts w:cs="Arial"/>
                                <w:b/>
                                <w:sz w:val="20"/>
                                <w:szCs w:val="20"/>
                                <w:lang w:eastAsia="zh-HK"/>
                              </w:rPr>
                              <w:t>(as appraised by P</w:t>
                            </w:r>
                            <w:r>
                              <w:rPr>
                                <w:rFonts w:cs="Arial"/>
                                <w:b/>
                                <w:sz w:val="20"/>
                                <w:szCs w:val="20"/>
                                <w:lang w:eastAsia="zh-HK"/>
                              </w:rPr>
                              <w:t xml:space="preserve">ublic </w:t>
                            </w:r>
                            <w:r w:rsidRPr="009901F8">
                              <w:rPr>
                                <w:rFonts w:cs="Arial"/>
                                <w:b/>
                                <w:sz w:val="20"/>
                                <w:szCs w:val="20"/>
                                <w:lang w:eastAsia="zh-HK"/>
                              </w:rPr>
                              <w:t>R</w:t>
                            </w:r>
                            <w:r>
                              <w:rPr>
                                <w:rFonts w:cs="Arial"/>
                                <w:b/>
                                <w:sz w:val="20"/>
                                <w:szCs w:val="20"/>
                                <w:lang w:eastAsia="zh-HK"/>
                              </w:rPr>
                              <w:t xml:space="preserve">ecords </w:t>
                            </w:r>
                            <w:r w:rsidRPr="009901F8">
                              <w:rPr>
                                <w:rFonts w:cs="Arial"/>
                                <w:b/>
                                <w:sz w:val="20"/>
                                <w:szCs w:val="20"/>
                                <w:lang w:eastAsia="zh-HK"/>
                              </w:rPr>
                              <w:t>O</w:t>
                            </w:r>
                            <w:r>
                              <w:rPr>
                                <w:rFonts w:cs="Arial"/>
                                <w:b/>
                                <w:sz w:val="20"/>
                                <w:szCs w:val="20"/>
                                <w:lang w:eastAsia="zh-HK"/>
                              </w:rPr>
                              <w:t>ffice</w:t>
                            </w:r>
                            <w:r w:rsidRPr="009901F8">
                              <w:rPr>
                                <w:rFonts w:cs="Arial"/>
                                <w:b/>
                                <w:sz w:val="20"/>
                                <w:szCs w:val="20"/>
                                <w:lang w:eastAsia="zh-HK"/>
                              </w:rPr>
                              <w:t xml:space="preserve"> and indicated in the approved dispos</w:t>
                            </w:r>
                            <w:r>
                              <w:rPr>
                                <w:rFonts w:cs="Arial"/>
                                <w:b/>
                                <w:sz w:val="20"/>
                                <w:szCs w:val="20"/>
                                <w:lang w:eastAsia="zh-HK"/>
                              </w:rPr>
                              <w:t>al</w:t>
                            </w:r>
                            <w:r w:rsidRPr="009901F8">
                              <w:rPr>
                                <w:rFonts w:cs="Arial"/>
                                <w:b/>
                                <w:sz w:val="20"/>
                                <w:szCs w:val="20"/>
                                <w:lang w:eastAsia="zh-HK"/>
                              </w:rPr>
                              <w:t xml:space="preserve"> schedules) to </w:t>
                            </w:r>
                            <w:r>
                              <w:rPr>
                                <w:rFonts w:cs="Arial"/>
                                <w:b/>
                                <w:sz w:val="20"/>
                                <w:szCs w:val="20"/>
                                <w:lang w:eastAsia="zh-HK"/>
                              </w:rPr>
                              <w:t xml:space="preserve">the </w:t>
                            </w:r>
                            <w:r w:rsidRPr="009901F8">
                              <w:rPr>
                                <w:rFonts w:cs="Arial"/>
                                <w:b/>
                                <w:sz w:val="20"/>
                                <w:szCs w:val="20"/>
                                <w:lang w:eastAsia="zh-HK"/>
                              </w:rPr>
                              <w:t>P</w:t>
                            </w:r>
                            <w:r>
                              <w:rPr>
                                <w:rFonts w:cs="Arial"/>
                                <w:b/>
                                <w:sz w:val="20"/>
                                <w:szCs w:val="20"/>
                                <w:lang w:eastAsia="zh-HK"/>
                              </w:rPr>
                              <w:t xml:space="preserve">ublic </w:t>
                            </w:r>
                            <w:r w:rsidRPr="009901F8">
                              <w:rPr>
                                <w:rFonts w:cs="Arial"/>
                                <w:b/>
                                <w:sz w:val="20"/>
                                <w:szCs w:val="20"/>
                                <w:lang w:eastAsia="zh-HK"/>
                              </w:rPr>
                              <w:t>R</w:t>
                            </w:r>
                            <w:r>
                              <w:rPr>
                                <w:rFonts w:cs="Arial"/>
                                <w:b/>
                                <w:sz w:val="20"/>
                                <w:szCs w:val="20"/>
                                <w:lang w:eastAsia="zh-HK"/>
                              </w:rPr>
                              <w:t xml:space="preserve">ecords </w:t>
                            </w:r>
                            <w:r w:rsidRPr="009901F8">
                              <w:rPr>
                                <w:rFonts w:cs="Arial"/>
                                <w:b/>
                                <w:sz w:val="20"/>
                                <w:szCs w:val="20"/>
                                <w:lang w:eastAsia="zh-HK"/>
                              </w:rPr>
                              <w:t>O</w:t>
                            </w:r>
                            <w:r>
                              <w:rPr>
                                <w:rFonts w:cs="Arial"/>
                                <w:b/>
                                <w:sz w:val="20"/>
                                <w:szCs w:val="20"/>
                                <w:lang w:eastAsia="zh-HK"/>
                              </w:rPr>
                              <w:t>ffice</w:t>
                            </w:r>
                          </w:p>
                        </w:txbxContent>
                      </v:textbox>
                    </v:shape>
                  </w:pict>
                </mc:Fallback>
              </mc:AlternateContent>
            </w: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p w:rsidR="00B27FD2" w:rsidRPr="004004DF" w:rsidRDefault="00B27FD2" w:rsidP="00D86E22">
            <w:pPr>
              <w:rPr>
                <w:rFonts w:cs="Arial"/>
                <w:b/>
                <w:u w:val="single"/>
                <w:lang w:eastAsia="zh-HK"/>
              </w:rPr>
            </w:pP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u w:val="single"/>
                <w:lang w:eastAsia="zh-HK"/>
              </w:rPr>
            </w:pPr>
            <w:r w:rsidRPr="004004DF">
              <w:rPr>
                <w:rFonts w:cs="Arial"/>
                <w:b/>
                <w:u w:val="single"/>
                <w:lang w:eastAsia="zh-HK"/>
              </w:rPr>
              <w:t>GC09</w:t>
            </w:r>
            <w:r w:rsidRPr="004004DF">
              <w:rPr>
                <w:rFonts w:cs="Arial"/>
                <w:u w:val="single"/>
                <w:lang w:eastAsia="zh-HK"/>
              </w:rPr>
              <w:t>: B/Ds should transfer their records having archival value to the Public Records Office of GRS according to the respective disposal schedules</w:t>
            </w:r>
            <w:r>
              <w:rPr>
                <w:rFonts w:cs="Arial"/>
                <w:u w:val="single"/>
                <w:lang w:eastAsia="zh-HK"/>
              </w:rPr>
              <w:t>.</w:t>
            </w:r>
          </w:p>
          <w:p w:rsidR="00B27FD2" w:rsidRPr="004004DF" w:rsidRDefault="00B27FD2" w:rsidP="00D86E22">
            <w:pPr>
              <w:spacing w:before="60" w:afterLines="60" w:after="216"/>
              <w:ind w:left="480"/>
              <w:rPr>
                <w:rFonts w:cs="Arial"/>
                <w:b/>
                <w:lang w:eastAsia="zh-HK"/>
              </w:rPr>
            </w:pPr>
            <w:r w:rsidRPr="004004DF">
              <w:rPr>
                <w:rFonts w:cs="Arial"/>
                <w:b/>
                <w:lang w:eastAsia="zh-HK"/>
              </w:rPr>
              <w:t>Note</w:t>
            </w:r>
            <w:r w:rsidRPr="004004DF">
              <w:rPr>
                <w:rFonts w:cs="Arial"/>
                <w:lang w:eastAsia="zh-HK"/>
              </w:rPr>
              <w:t>:</w:t>
            </w:r>
            <w:r w:rsidRPr="004004DF">
              <w:rPr>
                <w:rFonts w:cs="Arial"/>
                <w:b/>
                <w:lang w:eastAsia="zh-HK"/>
              </w:rPr>
              <w:t xml:space="preserve"> </w:t>
            </w:r>
            <w:r w:rsidRPr="004004DF">
              <w:rPr>
                <w:rFonts w:cs="Arial"/>
                <w:lang w:eastAsia="zh-HK"/>
              </w:rPr>
              <w:t>Subsequently, the Director of Administration issued a letter to all B/Ds in March 2014, urging B/Ds to transfer time-expired records having archival value/ potential archival value to the GRS on time.</w:t>
            </w:r>
          </w:p>
        </w:tc>
      </w:tr>
      <w:tr w:rsidR="00B27FD2" w:rsidRPr="004004DF" w:rsidTr="00D86E22">
        <w:tc>
          <w:tcPr>
            <w:tcW w:w="2880" w:type="dxa"/>
            <w:shd w:val="clear" w:color="auto" w:fill="auto"/>
          </w:tcPr>
          <w:p w:rsidR="00B27FD2" w:rsidRPr="004004DF" w:rsidRDefault="00764270" w:rsidP="00D86E22">
            <w:pPr>
              <w:rPr>
                <w:rFonts w:cs="Arial"/>
                <w:noProof/>
              </w:rPr>
            </w:pPr>
            <w:r>
              <w:rPr>
                <w:noProof/>
                <w:snapToGrid/>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3810</wp:posOffset>
                      </wp:positionV>
                      <wp:extent cx="1819275" cy="979170"/>
                      <wp:effectExtent l="0" t="0" r="28575" b="11430"/>
                      <wp:wrapNone/>
                      <wp:docPr id="338" name="文字方塊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79170"/>
                              </a:xfrm>
                              <a:prstGeom prst="rect">
                                <a:avLst/>
                              </a:prstGeom>
                              <a:solidFill>
                                <a:srgbClr val="FFFFFF"/>
                              </a:solidFill>
                              <a:ln w="19050">
                                <a:solidFill>
                                  <a:srgbClr val="000000"/>
                                </a:solidFill>
                                <a:miter lim="800000"/>
                                <a:headEnd/>
                                <a:tailEnd/>
                              </a:ln>
                            </wps:spPr>
                            <wps:txbx>
                              <w:txbxContent>
                                <w:p w:rsidR="009A4F49" w:rsidRPr="00DB3FEC" w:rsidRDefault="009A4F49" w:rsidP="00773524">
                                  <w:pPr>
                                    <w:jc w:val="center"/>
                                    <w:rPr>
                                      <w:rFonts w:cs="Arial"/>
                                      <w:sz w:val="22"/>
                                    </w:rPr>
                                  </w:pPr>
                                  <w:r w:rsidRPr="00DB3FEC">
                                    <w:rPr>
                                      <w:rFonts w:cs="Arial"/>
                                      <w:b/>
                                      <w:szCs w:val="26"/>
                                      <w:lang w:eastAsia="zh-HK"/>
                                    </w:rPr>
                                    <w:t>Deferred transfer of time-expired records having archival value or potential archival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3" o:spid="_x0000_s1071" type="#_x0000_t202" style="position:absolute;left:0;text-align:left;margin-left:-5.4pt;margin-top:.3pt;width:143.25pt;height:7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" strokeweight="1.5pt">
                      <v:textbox>
                        <w:txbxContent>
                          <w:p w:rsidR="009A4F49" w:rsidRPr="00DB3FEC" w:rsidRDefault="009A4F49" w:rsidP="00773524">
                            <w:pPr>
                              <w:jc w:val="center"/>
                              <w:rPr>
                                <w:rFonts w:cs="Arial"/>
                                <w:sz w:val="22"/>
                              </w:rPr>
                            </w:pPr>
                            <w:r w:rsidRPr="00DB3FEC">
                              <w:rPr>
                                <w:rFonts w:cs="Arial"/>
                                <w:b/>
                                <w:szCs w:val="26"/>
                                <w:lang w:eastAsia="zh-HK"/>
                              </w:rPr>
                              <w:t>Deferred transfer of time-expired records having archival value or potential archival value</w:t>
                            </w:r>
                          </w:p>
                        </w:txbxContent>
                      </v:textbox>
                    </v:shape>
                  </w:pict>
                </mc:Fallback>
              </mc:AlternateContent>
            </w:r>
          </w:p>
          <w:p w:rsidR="00B27FD2" w:rsidRPr="004004DF" w:rsidRDefault="00B27FD2" w:rsidP="00D86E22">
            <w:pPr>
              <w:rPr>
                <w:rFonts w:cs="Arial"/>
                <w:noProof/>
              </w:rPr>
            </w:pPr>
          </w:p>
          <w:p w:rsidR="00B27FD2" w:rsidRPr="004004DF" w:rsidRDefault="00B27FD2" w:rsidP="00D86E22">
            <w:pPr>
              <w:rPr>
                <w:rFonts w:cs="Arial"/>
                <w:noProof/>
              </w:rPr>
            </w:pPr>
          </w:p>
          <w:p w:rsidR="00B27FD2" w:rsidRPr="004004DF" w:rsidRDefault="00B27FD2" w:rsidP="00D86E22">
            <w:pPr>
              <w:rPr>
                <w:rFonts w:cs="Arial"/>
                <w:noProof/>
              </w:rPr>
            </w:pPr>
          </w:p>
          <w:p w:rsidR="00B27FD2" w:rsidRPr="004004DF" w:rsidRDefault="00B27FD2" w:rsidP="00D86E22">
            <w:pPr>
              <w:rPr>
                <w:rFonts w:cs="Arial"/>
                <w:noProof/>
              </w:rPr>
            </w:pPr>
          </w:p>
          <w:p w:rsidR="00B27FD2" w:rsidRPr="005F464C" w:rsidRDefault="00B27FD2" w:rsidP="00D86E22">
            <w:pPr>
              <w:rPr>
                <w:rFonts w:cs="Arial"/>
                <w:noProof/>
              </w:rPr>
            </w:pP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u w:val="single"/>
                <w:lang w:eastAsia="zh-HK"/>
              </w:rPr>
            </w:pPr>
            <w:r w:rsidRPr="004004DF">
              <w:rPr>
                <w:rFonts w:cs="Arial"/>
                <w:b/>
                <w:u w:val="single"/>
              </w:rPr>
              <w:t>GC09</w:t>
            </w:r>
            <w:r w:rsidRPr="004004DF">
              <w:rPr>
                <w:rFonts w:cs="Arial"/>
                <w:u w:val="single"/>
              </w:rPr>
              <w:t>:</w:t>
            </w:r>
            <w:r w:rsidRPr="004004DF">
              <w:rPr>
                <w:rFonts w:cs="Arial"/>
                <w:u w:val="single"/>
                <w:lang w:eastAsia="zh-HK"/>
              </w:rPr>
              <w:t xml:space="preserve"> </w:t>
            </w:r>
            <w:r w:rsidRPr="004004DF">
              <w:rPr>
                <w:rFonts w:cs="Arial"/>
                <w:u w:val="single"/>
              </w:rPr>
              <w:t xml:space="preserve">If there are valid reasons to defer the transfer of time-expired records having archival value or potential archival value to </w:t>
            </w:r>
            <w:r>
              <w:rPr>
                <w:rFonts w:cs="Arial"/>
                <w:u w:val="single"/>
              </w:rPr>
              <w:t xml:space="preserve">the </w:t>
            </w:r>
            <w:r w:rsidRPr="004004DF">
              <w:rPr>
                <w:rFonts w:cs="Arial"/>
                <w:u w:val="single"/>
                <w:lang w:eastAsia="zh-HK"/>
              </w:rPr>
              <w:t>P</w:t>
            </w:r>
            <w:r>
              <w:rPr>
                <w:rFonts w:cs="Arial"/>
                <w:u w:val="single"/>
                <w:lang w:eastAsia="zh-HK"/>
              </w:rPr>
              <w:t xml:space="preserve">ublic </w:t>
            </w:r>
            <w:r w:rsidRPr="004004DF">
              <w:rPr>
                <w:rFonts w:cs="Arial"/>
                <w:u w:val="single"/>
                <w:lang w:eastAsia="zh-HK"/>
              </w:rPr>
              <w:t>R</w:t>
            </w:r>
            <w:r>
              <w:rPr>
                <w:rFonts w:cs="Arial"/>
                <w:u w:val="single"/>
                <w:lang w:eastAsia="zh-HK"/>
              </w:rPr>
              <w:t xml:space="preserve">ecords </w:t>
            </w:r>
            <w:r w:rsidRPr="004004DF">
              <w:rPr>
                <w:rFonts w:cs="Arial"/>
                <w:u w:val="single"/>
                <w:lang w:eastAsia="zh-HK"/>
              </w:rPr>
              <w:t>O</w:t>
            </w:r>
            <w:r>
              <w:rPr>
                <w:rFonts w:cs="Arial"/>
                <w:u w:val="single"/>
                <w:lang w:eastAsia="zh-HK"/>
              </w:rPr>
              <w:t>ffice</w:t>
            </w:r>
            <w:r w:rsidRPr="004004DF">
              <w:rPr>
                <w:rFonts w:cs="Arial"/>
                <w:u w:val="single"/>
                <w:lang w:eastAsia="zh-HK"/>
              </w:rPr>
              <w:t xml:space="preserve"> </w:t>
            </w:r>
            <w:r w:rsidRPr="004004DF">
              <w:rPr>
                <w:rFonts w:cs="Arial"/>
                <w:u w:val="single"/>
              </w:rPr>
              <w:t xml:space="preserve">of GRS for retention or appraisal by more than two years, they should be set out in writing for agreement by a directorate officer in the concerned </w:t>
            </w:r>
            <w:r w:rsidRPr="004004DF">
              <w:rPr>
                <w:rFonts w:cs="Arial"/>
                <w:iCs/>
                <w:u w:val="single"/>
                <w:lang w:eastAsia="zh-HK"/>
              </w:rPr>
              <w:t>B/D</w:t>
            </w:r>
            <w:r w:rsidRPr="004004DF">
              <w:rPr>
                <w:rFonts w:cs="Arial"/>
                <w:i/>
                <w:iCs/>
                <w:u w:val="single"/>
              </w:rPr>
              <w:t xml:space="preserve">. </w:t>
            </w:r>
            <w:r w:rsidRPr="004004DF">
              <w:rPr>
                <w:rFonts w:cs="Arial"/>
                <w:u w:val="single"/>
              </w:rPr>
              <w:t>Such cases have to be brought up to the directorate officer for direction during the next disposal exer</w:t>
            </w:r>
            <w:r w:rsidRPr="004004DF">
              <w:rPr>
                <w:rFonts w:cs="Arial"/>
                <w:u w:val="single"/>
                <w:lang w:eastAsia="zh-HK"/>
              </w:rPr>
              <w:t>ci</w:t>
            </w:r>
            <w:r w:rsidRPr="004004DF">
              <w:rPr>
                <w:rFonts w:cs="Arial"/>
                <w:u w:val="single"/>
              </w:rPr>
              <w:t>se.</w:t>
            </w:r>
          </w:p>
          <w:p w:rsidR="00B27FD2" w:rsidRPr="004004DF" w:rsidRDefault="00B27FD2" w:rsidP="00D86E22">
            <w:pPr>
              <w:widowControl/>
              <w:numPr>
                <w:ilvl w:val="0"/>
                <w:numId w:val="52"/>
              </w:numPr>
              <w:tabs>
                <w:tab w:val="clear" w:pos="1418"/>
              </w:tabs>
              <w:adjustRightInd/>
              <w:spacing w:before="60" w:afterLines="60" w:after="216"/>
              <w:ind w:left="482" w:hanging="482"/>
              <w:rPr>
                <w:rFonts w:cs="Arial"/>
                <w:b/>
                <w:lang w:eastAsia="zh-HK"/>
              </w:rPr>
            </w:pPr>
            <w:r w:rsidRPr="004004DF">
              <w:rPr>
                <w:rFonts w:cs="Arial"/>
                <w:b/>
                <w:lang w:eastAsia="zh-HK"/>
              </w:rPr>
              <w:t>Note</w:t>
            </w:r>
            <w:r w:rsidRPr="004004DF">
              <w:rPr>
                <w:rFonts w:cs="Arial"/>
                <w:lang w:eastAsia="zh-HK"/>
              </w:rPr>
              <w:t>:</w:t>
            </w:r>
            <w:r w:rsidRPr="004004DF">
              <w:rPr>
                <w:rFonts w:cs="Arial"/>
                <w:b/>
                <w:lang w:eastAsia="zh-HK"/>
              </w:rPr>
              <w:t xml:space="preserve"> </w:t>
            </w:r>
            <w:r w:rsidRPr="004004DF">
              <w:rPr>
                <w:rFonts w:cs="Arial"/>
                <w:lang w:eastAsia="zh-HK"/>
              </w:rPr>
              <w:t>Subsequently, the Director of Administration issued a letter to all B/Ds in March 2014 and tightened the requirement. For deferrals for more than two years, B/Ds are required to obtain the written agreement of a directorate officer in the concerned B/D at the level of deputy secretary/deputy head of department and consult GRS in advance.</w:t>
            </w:r>
            <w:r w:rsidRPr="00F07034">
              <w:rPr>
                <w:rFonts w:cs="Arial"/>
                <w:lang w:eastAsia="zh-HK"/>
              </w:rPr>
              <w:t xml:space="preserve"> </w:t>
            </w:r>
          </w:p>
        </w:tc>
      </w:tr>
      <w:tr w:rsidR="00B27FD2" w:rsidRPr="004004DF" w:rsidTr="00D86E22">
        <w:tc>
          <w:tcPr>
            <w:tcW w:w="2880" w:type="dxa"/>
            <w:shd w:val="clear" w:color="auto" w:fill="auto"/>
          </w:tcPr>
          <w:p w:rsidR="00B27FD2" w:rsidRPr="004004DF" w:rsidRDefault="00764270" w:rsidP="00D86E22">
            <w:pPr>
              <w:rPr>
                <w:rFonts w:cs="Arial"/>
                <w:noProof/>
              </w:rPr>
            </w:pPr>
            <w:r>
              <w:rPr>
                <w:noProof/>
                <w:snapToGrid/>
              </w:rPr>
              <mc:AlternateContent>
                <mc:Choice Requires="wps">
                  <w:drawing>
                    <wp:anchor distT="0" distB="0" distL="114300" distR="114300" simplePos="0" relativeHeight="251649536" behindDoc="0" locked="0" layoutInCell="1" allowOverlap="1">
                      <wp:simplePos x="0" y="0"/>
                      <wp:positionH relativeFrom="column">
                        <wp:posOffset>-68580</wp:posOffset>
                      </wp:positionH>
                      <wp:positionV relativeFrom="paragraph">
                        <wp:posOffset>42545</wp:posOffset>
                      </wp:positionV>
                      <wp:extent cx="1819275" cy="609600"/>
                      <wp:effectExtent l="0" t="0" r="28575" b="19050"/>
                      <wp:wrapNone/>
                      <wp:docPr id="339" name="文字方塊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09600"/>
                              </a:xfrm>
                              <a:prstGeom prst="rect">
                                <a:avLst/>
                              </a:prstGeom>
                              <a:solidFill>
                                <a:srgbClr val="FFFFFF"/>
                              </a:solidFill>
                              <a:ln w="19050">
                                <a:solidFill>
                                  <a:srgbClr val="000000"/>
                                </a:solidFill>
                                <a:miter lim="800000"/>
                                <a:headEnd/>
                                <a:tailEnd/>
                              </a:ln>
                            </wps:spPr>
                            <wps:txbx>
                              <w:txbxContent>
                                <w:p w:rsidR="009A4F49" w:rsidRPr="00DB3FEC" w:rsidRDefault="009A4F49" w:rsidP="00773524">
                                  <w:pPr>
                                    <w:jc w:val="center"/>
                                    <w:rPr>
                                      <w:rFonts w:cs="Arial"/>
                                      <w:sz w:val="20"/>
                                    </w:rPr>
                                  </w:pPr>
                                  <w:r w:rsidRPr="00DB3FEC">
                                    <w:rPr>
                                      <w:rFonts w:cs="Arial"/>
                                      <w:b/>
                                      <w:sz w:val="22"/>
                                      <w:szCs w:val="26"/>
                                      <w:lang w:eastAsia="zh-HK"/>
                                    </w:rPr>
                                    <w:t>Handling of cases of unauthorised destruction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9" o:spid="_x0000_s1072" type="#_x0000_t202" style="position:absolute;left:0;text-align:left;margin-left:-5.4pt;margin-top:3.35pt;width:143.2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" strokeweight="1.5pt">
                      <v:textbox>
                        <w:txbxContent>
                          <w:p w:rsidR="009A4F49" w:rsidRPr="00DB3FEC" w:rsidRDefault="009A4F49" w:rsidP="00773524">
                            <w:pPr>
                              <w:jc w:val="center"/>
                              <w:rPr>
                                <w:rFonts w:cs="Arial"/>
                                <w:sz w:val="20"/>
                              </w:rPr>
                            </w:pPr>
                            <w:r w:rsidRPr="00DB3FEC">
                              <w:rPr>
                                <w:rFonts w:cs="Arial"/>
                                <w:b/>
                                <w:sz w:val="22"/>
                                <w:szCs w:val="26"/>
                                <w:lang w:eastAsia="zh-HK"/>
                              </w:rPr>
                              <w:t>Handling of cases of unauthorised destruction</w:t>
                            </w:r>
                          </w:p>
                        </w:txbxContent>
                      </v:textbox>
                    </v:shape>
                  </w:pict>
                </mc:Fallback>
              </mc:AlternateContent>
            </w:r>
          </w:p>
          <w:p w:rsidR="00B27FD2" w:rsidRPr="004004DF" w:rsidRDefault="00B27FD2" w:rsidP="00D86E22">
            <w:pPr>
              <w:rPr>
                <w:rFonts w:cs="Arial"/>
                <w:noProof/>
              </w:rPr>
            </w:pPr>
          </w:p>
          <w:p w:rsidR="00B27FD2" w:rsidRPr="004004DF" w:rsidRDefault="00B27FD2" w:rsidP="00D86E22">
            <w:pPr>
              <w:rPr>
                <w:rFonts w:cs="Arial"/>
                <w:noProof/>
              </w:rPr>
            </w:pPr>
          </w:p>
          <w:p w:rsidR="00B27FD2" w:rsidRPr="004004DF" w:rsidRDefault="00B27FD2" w:rsidP="00D86E22">
            <w:pPr>
              <w:rPr>
                <w:rFonts w:cs="Arial"/>
                <w:noProof/>
              </w:rPr>
            </w:pPr>
          </w:p>
          <w:p w:rsidR="00B27FD2" w:rsidRPr="004004DF" w:rsidRDefault="00B27FD2" w:rsidP="00D86E22">
            <w:pPr>
              <w:rPr>
                <w:rFonts w:cs="Arial"/>
                <w:noProof/>
              </w:rPr>
            </w:pPr>
          </w:p>
          <w:p w:rsidR="00B27FD2" w:rsidRPr="004004DF" w:rsidRDefault="00B27FD2" w:rsidP="00D86E22">
            <w:pPr>
              <w:rPr>
                <w:rFonts w:cs="Arial"/>
                <w:noProof/>
              </w:rPr>
            </w:pPr>
          </w:p>
        </w:tc>
        <w:tc>
          <w:tcPr>
            <w:tcW w:w="5486" w:type="dxa"/>
            <w:shd w:val="clear" w:color="auto" w:fill="auto"/>
          </w:tcPr>
          <w:p w:rsidR="00B27FD2" w:rsidRPr="004004DF" w:rsidRDefault="00B27FD2" w:rsidP="00D86E22">
            <w:pPr>
              <w:widowControl/>
              <w:numPr>
                <w:ilvl w:val="0"/>
                <w:numId w:val="52"/>
              </w:numPr>
              <w:tabs>
                <w:tab w:val="clear" w:pos="1418"/>
              </w:tabs>
              <w:adjustRightInd/>
              <w:spacing w:before="60" w:afterLines="60" w:after="216"/>
              <w:rPr>
                <w:rFonts w:cs="Arial"/>
                <w:u w:val="single"/>
                <w:lang w:eastAsia="zh-HK"/>
              </w:rPr>
            </w:pPr>
            <w:r w:rsidRPr="004004DF">
              <w:rPr>
                <w:rFonts w:cs="Arial"/>
                <w:b/>
                <w:u w:val="single"/>
              </w:rPr>
              <w:t>GC09</w:t>
            </w:r>
            <w:r w:rsidRPr="004004DF">
              <w:rPr>
                <w:rFonts w:cs="Arial"/>
                <w:u w:val="single"/>
              </w:rPr>
              <w:t>:</w:t>
            </w:r>
            <w:r w:rsidRPr="004004DF">
              <w:rPr>
                <w:rFonts w:cs="Arial"/>
                <w:u w:val="single"/>
                <w:lang w:eastAsia="zh-HK"/>
              </w:rPr>
              <w:t xml:space="preserve"> Any unauthorised destruction of records should be immediately reported to the DRM and a copy of such report sent to GRS simultaneously. Upon receipt of such report, the DRM should (a) ascertain the facts and identify the circumstances leading to the unauthorised destruction; (b)</w:t>
            </w:r>
            <w:r>
              <w:rPr>
                <w:rFonts w:cs="Arial"/>
                <w:u w:val="single"/>
                <w:lang w:eastAsia="zh-HK"/>
              </w:rPr>
              <w:t> </w:t>
            </w:r>
            <w:r w:rsidRPr="004004DF">
              <w:rPr>
                <w:rFonts w:cs="Arial"/>
                <w:u w:val="single"/>
                <w:lang w:eastAsia="zh-HK"/>
              </w:rPr>
              <w:t>reconstruct the records where necessary; (c)</w:t>
            </w:r>
            <w:r>
              <w:rPr>
                <w:rFonts w:cs="Arial"/>
                <w:u w:val="single"/>
                <w:lang w:eastAsia="zh-HK"/>
              </w:rPr>
              <w:t> </w:t>
            </w:r>
            <w:r w:rsidRPr="004004DF">
              <w:rPr>
                <w:rFonts w:cs="Arial"/>
                <w:u w:val="single"/>
                <w:lang w:eastAsia="zh-HK"/>
              </w:rPr>
              <w:t>take steps to prevent recurrence; (d)</w:t>
            </w:r>
            <w:r>
              <w:rPr>
                <w:rFonts w:cs="Arial"/>
                <w:u w:val="single"/>
                <w:lang w:eastAsia="zh-HK"/>
              </w:rPr>
              <w:t> </w:t>
            </w:r>
            <w:r w:rsidRPr="004004DF">
              <w:rPr>
                <w:rFonts w:cs="Arial"/>
                <w:u w:val="single"/>
                <w:lang w:eastAsia="zh-HK"/>
              </w:rPr>
              <w:t>consider whether any disciplinary action or other administrative action is necessary; and (e) report his findings and actions on (a)</w:t>
            </w:r>
            <w:r>
              <w:rPr>
                <w:rFonts w:cs="Arial"/>
                <w:u w:val="single"/>
                <w:lang w:eastAsia="zh-HK"/>
              </w:rPr>
              <w:t> </w:t>
            </w:r>
            <w:r w:rsidRPr="004004DF">
              <w:rPr>
                <w:rFonts w:cs="Arial"/>
                <w:u w:val="single"/>
                <w:lang w:eastAsia="zh-HK"/>
              </w:rPr>
              <w:t>to (d) above to GRS within three months.</w:t>
            </w:r>
          </w:p>
        </w:tc>
      </w:tr>
      <w:tr w:rsidR="00B27FD2" w:rsidRPr="004004DF" w:rsidTr="00D86E22">
        <w:tc>
          <w:tcPr>
            <w:tcW w:w="2880" w:type="dxa"/>
            <w:shd w:val="clear" w:color="auto" w:fill="auto"/>
          </w:tcPr>
          <w:p w:rsidR="00B27FD2" w:rsidRPr="004004DF" w:rsidRDefault="00764270" w:rsidP="00D86E22">
            <w:pPr>
              <w:keepNext/>
              <w:rPr>
                <w:rFonts w:cs="Arial"/>
                <w:noProof/>
              </w:rPr>
            </w:pPr>
            <w:r>
              <w:rPr>
                <w:noProof/>
                <w:snapToGrid/>
              </w:rPr>
              <w:lastRenderedPageBreak/>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43815</wp:posOffset>
                      </wp:positionV>
                      <wp:extent cx="1819275" cy="742950"/>
                      <wp:effectExtent l="0" t="0" r="28575" b="19050"/>
                      <wp:wrapNone/>
                      <wp:docPr id="342"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42950"/>
                              </a:xfrm>
                              <a:prstGeom prst="rect">
                                <a:avLst/>
                              </a:prstGeom>
                              <a:solidFill>
                                <a:srgbClr val="FFFFFF"/>
                              </a:solidFill>
                              <a:ln w="19050">
                                <a:solidFill>
                                  <a:srgbClr val="000000"/>
                                </a:solidFill>
                                <a:miter lim="800000"/>
                                <a:headEnd/>
                                <a:tailEnd/>
                              </a:ln>
                            </wps:spPr>
                            <wps:txbx>
                              <w:txbxContent>
                                <w:p w:rsidR="009A4F49" w:rsidRPr="00DB3FEC" w:rsidRDefault="009A4F49" w:rsidP="00440249">
                                  <w:pPr>
                                    <w:jc w:val="center"/>
                                    <w:rPr>
                                      <w:rFonts w:cs="Arial"/>
                                      <w:sz w:val="20"/>
                                    </w:rPr>
                                  </w:pPr>
                                  <w:r w:rsidRPr="00DB3FEC">
                                    <w:rPr>
                                      <w:rFonts w:cs="Arial"/>
                                      <w:b/>
                                      <w:sz w:val="22"/>
                                      <w:szCs w:val="26"/>
                                      <w:lang w:eastAsia="zh-HK"/>
                                    </w:rPr>
                                    <w:t>Transfer of government records to non-government</w:t>
                                  </w:r>
                                  <w:r>
                                    <w:rPr>
                                      <w:rFonts w:cs="Arial" w:hint="eastAsia"/>
                                      <w:b/>
                                      <w:sz w:val="22"/>
                                      <w:szCs w:val="26"/>
                                      <w:lang w:eastAsia="zh-HK"/>
                                    </w:rPr>
                                    <w:br/>
                                  </w:r>
                                  <w:r w:rsidRPr="00DB3FEC">
                                    <w:rPr>
                                      <w:rFonts w:cs="Arial"/>
                                      <w:b/>
                                      <w:sz w:val="22"/>
                                      <w:szCs w:val="26"/>
                                      <w:lang w:eastAsia="zh-HK"/>
                                    </w:rPr>
                                    <w:t>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73" type="#_x0000_t202" style="position:absolute;left:0;text-align:left;margin-left:-5.4pt;margin-top:3.45pt;width:143.2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" strokeweight="1.5pt">
                      <v:textbox>
                        <w:txbxContent>
                          <w:p w:rsidR="009A4F49" w:rsidRPr="00DB3FEC" w:rsidRDefault="009A4F49" w:rsidP="00440249">
                            <w:pPr>
                              <w:jc w:val="center"/>
                              <w:rPr>
                                <w:rFonts w:cs="Arial"/>
                                <w:sz w:val="20"/>
                              </w:rPr>
                            </w:pPr>
                            <w:r w:rsidRPr="00DB3FEC">
                              <w:rPr>
                                <w:rFonts w:cs="Arial"/>
                                <w:b/>
                                <w:sz w:val="22"/>
                                <w:szCs w:val="26"/>
                                <w:lang w:eastAsia="zh-HK"/>
                              </w:rPr>
                              <w:t>Transfer of government records to non-government</w:t>
                            </w:r>
                            <w:r>
                              <w:rPr>
                                <w:rFonts w:cs="Arial" w:hint="eastAsia"/>
                                <w:b/>
                                <w:sz w:val="22"/>
                                <w:szCs w:val="26"/>
                                <w:lang w:eastAsia="zh-HK"/>
                              </w:rPr>
                              <w:br/>
                            </w:r>
                            <w:r w:rsidRPr="00DB3FEC">
                              <w:rPr>
                                <w:rFonts w:cs="Arial"/>
                                <w:b/>
                                <w:sz w:val="22"/>
                                <w:szCs w:val="26"/>
                                <w:lang w:eastAsia="zh-HK"/>
                              </w:rPr>
                              <w:t>bodies</w:t>
                            </w:r>
                          </w:p>
                        </w:txbxContent>
                      </v:textbox>
                    </v:shape>
                  </w:pict>
                </mc:Fallback>
              </mc:AlternateContent>
            </w:r>
          </w:p>
        </w:tc>
        <w:tc>
          <w:tcPr>
            <w:tcW w:w="5486" w:type="dxa"/>
            <w:shd w:val="clear" w:color="auto" w:fill="auto"/>
          </w:tcPr>
          <w:p w:rsidR="00B27FD2" w:rsidRPr="004004DF" w:rsidRDefault="00B27FD2" w:rsidP="00D86E22">
            <w:pPr>
              <w:keepNext/>
              <w:widowControl/>
              <w:numPr>
                <w:ilvl w:val="0"/>
                <w:numId w:val="52"/>
              </w:numPr>
              <w:tabs>
                <w:tab w:val="clear" w:pos="1418"/>
              </w:tabs>
              <w:adjustRightInd/>
              <w:spacing w:before="60" w:afterLines="60" w:after="216"/>
              <w:rPr>
                <w:rFonts w:cs="Arial"/>
                <w:b/>
                <w:u w:val="single"/>
              </w:rPr>
            </w:pPr>
            <w:r w:rsidRPr="004004DF">
              <w:rPr>
                <w:rFonts w:cs="Arial"/>
                <w:b/>
                <w:u w:val="single"/>
              </w:rPr>
              <w:t>GC09</w:t>
            </w:r>
            <w:r w:rsidRPr="004004DF">
              <w:rPr>
                <w:rFonts w:cs="Arial"/>
                <w:u w:val="single"/>
              </w:rPr>
              <w:t>:</w:t>
            </w:r>
            <w:r w:rsidRPr="004004DF">
              <w:rPr>
                <w:rFonts w:cs="Arial"/>
                <w:u w:val="single"/>
                <w:lang w:eastAsia="zh-HK"/>
              </w:rPr>
              <w:t xml:space="preserve"> The DRM should send a list of records pending transfer to the GRS Director for prior agreement so that appropriate arrangements can be made for records having archival value. </w:t>
            </w:r>
            <w:r w:rsidRPr="004004DF">
              <w:rPr>
                <w:rFonts w:cs="Arial"/>
                <w:u w:val="single"/>
              </w:rPr>
              <w:t>No government records should be transferred outside the Government unless with the prior agreement of the GRS Director.</w:t>
            </w:r>
          </w:p>
        </w:tc>
      </w:tr>
      <w:tr w:rsidR="00B27FD2" w:rsidRPr="004004DF" w:rsidTr="00D86E22">
        <w:tc>
          <w:tcPr>
            <w:tcW w:w="2880" w:type="dxa"/>
            <w:shd w:val="clear" w:color="auto" w:fill="auto"/>
          </w:tcPr>
          <w:p w:rsidR="00B27FD2" w:rsidRPr="004004DF" w:rsidRDefault="00B27FD2" w:rsidP="00D86E22">
            <w:pPr>
              <w:rPr>
                <w:rFonts w:cs="Arial"/>
                <w:noProof/>
              </w:rPr>
            </w:pPr>
          </w:p>
        </w:tc>
        <w:tc>
          <w:tcPr>
            <w:tcW w:w="5486" w:type="dxa"/>
            <w:shd w:val="clear" w:color="auto" w:fill="FFFFFF"/>
          </w:tcPr>
          <w:p w:rsidR="00B27FD2" w:rsidRPr="004004DF" w:rsidRDefault="00B27FD2" w:rsidP="00D86E22">
            <w:pPr>
              <w:widowControl/>
              <w:numPr>
                <w:ilvl w:val="0"/>
                <w:numId w:val="53"/>
              </w:numPr>
              <w:tabs>
                <w:tab w:val="clear" w:pos="1418"/>
              </w:tabs>
              <w:adjustRightInd/>
              <w:spacing w:before="60" w:afterLines="60" w:after="216"/>
              <w:rPr>
                <w:rFonts w:cs="Arial"/>
                <w:b/>
                <w:lang w:eastAsia="zh-HK"/>
              </w:rPr>
            </w:pPr>
            <w:r w:rsidRPr="004004DF">
              <w:rPr>
                <w:rFonts w:cs="Arial"/>
                <w:b/>
                <w:lang w:eastAsia="zh-HK"/>
              </w:rPr>
              <w:t>Other References on Disposal</w:t>
            </w:r>
          </w:p>
          <w:p w:rsidR="00B27FD2" w:rsidRPr="004004DF" w:rsidRDefault="00B27FD2" w:rsidP="00D86E22">
            <w:pPr>
              <w:widowControl/>
              <w:numPr>
                <w:ilvl w:val="1"/>
                <w:numId w:val="52"/>
              </w:numPr>
              <w:tabs>
                <w:tab w:val="clear" w:pos="1418"/>
              </w:tabs>
              <w:adjustRightInd/>
              <w:spacing w:before="60" w:afterLines="60" w:after="216"/>
              <w:rPr>
                <w:rFonts w:cs="Arial"/>
              </w:rPr>
            </w:pPr>
            <w:r w:rsidRPr="004004DF">
              <w:rPr>
                <w:rFonts w:cs="Arial"/>
                <w:lang w:eastAsia="zh-HK"/>
              </w:rPr>
              <w:t>RMM</w:t>
            </w:r>
          </w:p>
          <w:p w:rsidR="00B27FD2" w:rsidRPr="004004DF" w:rsidRDefault="00B27FD2" w:rsidP="00D86E22">
            <w:pPr>
              <w:pStyle w:val="NormalIndent"/>
              <w:widowControl/>
              <w:numPr>
                <w:ilvl w:val="1"/>
                <w:numId w:val="52"/>
              </w:numPr>
              <w:tabs>
                <w:tab w:val="clear" w:pos="1418"/>
              </w:tabs>
              <w:autoSpaceDE w:val="0"/>
              <w:autoSpaceDN w:val="0"/>
              <w:spacing w:before="60" w:afterLines="60" w:after="216"/>
              <w:rPr>
                <w:rFonts w:cs="Arial"/>
                <w:lang w:eastAsia="zh-HK"/>
              </w:rPr>
            </w:pPr>
            <w:r w:rsidRPr="004004DF">
              <w:rPr>
                <w:rFonts w:cs="Arial"/>
              </w:rPr>
              <w:t>RMP1</w:t>
            </w:r>
          </w:p>
          <w:p w:rsidR="00B27FD2" w:rsidRPr="004004DF" w:rsidRDefault="00B27FD2" w:rsidP="00D86E22">
            <w:pPr>
              <w:widowControl/>
              <w:numPr>
                <w:ilvl w:val="1"/>
                <w:numId w:val="52"/>
              </w:numPr>
              <w:tabs>
                <w:tab w:val="clear" w:pos="1418"/>
              </w:tabs>
              <w:adjustRightInd/>
              <w:spacing w:before="60" w:afterLines="60" w:after="216"/>
              <w:rPr>
                <w:rFonts w:cs="Arial"/>
              </w:rPr>
            </w:pPr>
            <w:r w:rsidRPr="004004DF">
              <w:rPr>
                <w:rFonts w:cs="Arial"/>
                <w:lang w:eastAsia="zh-HK"/>
              </w:rPr>
              <w:t>RMP2</w:t>
            </w:r>
          </w:p>
          <w:p w:rsidR="00B27FD2" w:rsidRPr="004004DF" w:rsidRDefault="00B27FD2" w:rsidP="00D86E22">
            <w:pPr>
              <w:widowControl/>
              <w:numPr>
                <w:ilvl w:val="1"/>
                <w:numId w:val="52"/>
              </w:numPr>
              <w:tabs>
                <w:tab w:val="clear" w:pos="1418"/>
              </w:tabs>
              <w:adjustRightInd/>
              <w:spacing w:before="60" w:afterLines="60" w:after="216"/>
              <w:rPr>
                <w:rFonts w:cs="Arial"/>
              </w:rPr>
            </w:pPr>
            <w:r w:rsidRPr="004004DF">
              <w:rPr>
                <w:rFonts w:cs="Arial"/>
              </w:rPr>
              <w:t>RMP4</w:t>
            </w:r>
          </w:p>
          <w:p w:rsidR="00B27FD2" w:rsidRPr="004004DF" w:rsidRDefault="00B27FD2" w:rsidP="00D86E22">
            <w:pPr>
              <w:widowControl/>
              <w:numPr>
                <w:ilvl w:val="1"/>
                <w:numId w:val="52"/>
              </w:numPr>
              <w:tabs>
                <w:tab w:val="clear" w:pos="1418"/>
              </w:tabs>
              <w:adjustRightInd/>
              <w:spacing w:before="60" w:afterLines="60" w:after="216"/>
              <w:rPr>
                <w:rFonts w:cs="Arial"/>
              </w:rPr>
            </w:pPr>
            <w:r w:rsidRPr="004004DF">
              <w:rPr>
                <w:rFonts w:cs="Arial"/>
              </w:rPr>
              <w:t>GTRPA (ie Guidelines for Transferring Records to P</w:t>
            </w:r>
            <w:r>
              <w:rPr>
                <w:rFonts w:cs="Arial"/>
              </w:rPr>
              <w:t xml:space="preserve">ublic </w:t>
            </w:r>
            <w:r w:rsidRPr="004004DF">
              <w:rPr>
                <w:rFonts w:cs="Arial"/>
              </w:rPr>
              <w:t>R</w:t>
            </w:r>
            <w:r>
              <w:rPr>
                <w:rFonts w:cs="Arial"/>
              </w:rPr>
              <w:t xml:space="preserve">ecords </w:t>
            </w:r>
            <w:r w:rsidRPr="004004DF">
              <w:rPr>
                <w:rFonts w:cs="Arial"/>
              </w:rPr>
              <w:t>O</w:t>
            </w:r>
            <w:r>
              <w:rPr>
                <w:rFonts w:cs="Arial"/>
              </w:rPr>
              <w:t>ffice</w:t>
            </w:r>
            <w:r w:rsidRPr="004004DF">
              <w:rPr>
                <w:rFonts w:cs="Arial"/>
              </w:rPr>
              <w:t xml:space="preserve"> of GRS for Appraisal)</w:t>
            </w:r>
          </w:p>
          <w:p w:rsidR="00B27FD2" w:rsidRPr="004004DF" w:rsidRDefault="00B27FD2" w:rsidP="00D86E22">
            <w:pPr>
              <w:widowControl/>
              <w:numPr>
                <w:ilvl w:val="1"/>
                <w:numId w:val="52"/>
              </w:numPr>
              <w:tabs>
                <w:tab w:val="clear" w:pos="1418"/>
              </w:tabs>
              <w:adjustRightInd/>
              <w:spacing w:before="60" w:afterLines="60" w:after="216"/>
              <w:rPr>
                <w:rFonts w:cs="Arial"/>
              </w:rPr>
            </w:pPr>
            <w:r w:rsidRPr="004004DF">
              <w:rPr>
                <w:rFonts w:cs="Arial"/>
                <w:lang w:eastAsia="zh-HK"/>
              </w:rPr>
              <w:t>DOR</w:t>
            </w:r>
          </w:p>
          <w:p w:rsidR="00B27FD2" w:rsidRPr="004004DF" w:rsidRDefault="00B27FD2" w:rsidP="00D86E22">
            <w:pPr>
              <w:widowControl/>
              <w:numPr>
                <w:ilvl w:val="1"/>
                <w:numId w:val="52"/>
              </w:numPr>
              <w:tabs>
                <w:tab w:val="clear" w:pos="1418"/>
              </w:tabs>
              <w:adjustRightInd/>
              <w:spacing w:before="60" w:afterLines="60" w:after="216"/>
              <w:rPr>
                <w:rFonts w:cs="Arial"/>
                <w:b/>
              </w:rPr>
            </w:pPr>
            <w:r w:rsidRPr="004004DF">
              <w:rPr>
                <w:rFonts w:cs="Arial"/>
              </w:rPr>
              <w:t>GMRHE</w:t>
            </w:r>
          </w:p>
        </w:tc>
      </w:tr>
    </w:tbl>
    <w:p w:rsidR="00B27FD2" w:rsidRDefault="00B27FD2" w:rsidP="00D86E22">
      <w:pPr>
        <w:ind w:left="425"/>
        <w:jc w:val="left"/>
        <w:rPr>
          <w:rFonts w:cs="Arial"/>
          <w:noProof/>
          <w:lang w:eastAsia="zh-HK"/>
        </w:rPr>
      </w:pPr>
    </w:p>
    <w:p w:rsidR="00B27FD2" w:rsidRDefault="00B27FD2" w:rsidP="00D86E22">
      <w:pPr>
        <w:ind w:left="425"/>
        <w:jc w:val="left"/>
        <w:rPr>
          <w:rFonts w:cs="Arial"/>
          <w:noProof/>
          <w:lang w:eastAsia="zh-HK"/>
        </w:rPr>
      </w:pPr>
    </w:p>
    <w:p w:rsidR="00B27FD2" w:rsidRDefault="00B27FD2" w:rsidP="00D86E22">
      <w:pPr>
        <w:ind w:left="425"/>
        <w:jc w:val="left"/>
        <w:rPr>
          <w:rFonts w:cs="Arial"/>
          <w:noProof/>
          <w:lang w:eastAsia="zh-HK"/>
        </w:rPr>
      </w:pPr>
    </w:p>
    <w:p w:rsidR="00B27FD2" w:rsidRDefault="00B27FD2" w:rsidP="00D86E22">
      <w:pPr>
        <w:ind w:left="425"/>
        <w:jc w:val="left"/>
        <w:rPr>
          <w:rFonts w:cs="Arial"/>
          <w:noProof/>
          <w:lang w:eastAsia="zh-HK"/>
        </w:rPr>
      </w:pPr>
    </w:p>
    <w:p w:rsidR="00B27FD2" w:rsidRDefault="00B27FD2" w:rsidP="007572E9">
      <w:pPr>
        <w:rPr>
          <w:rFonts w:cs="Arial"/>
          <w:b/>
          <w:sz w:val="20"/>
          <w:szCs w:val="20"/>
        </w:rPr>
        <w:sectPr w:rsidR="00B27FD2" w:rsidSect="00D86E22">
          <w:footerReference w:type="even" r:id="rId26"/>
          <w:footerReference w:type="default" r:id="rId27"/>
          <w:footerReference w:type="first" r:id="rId28"/>
          <w:footnotePr>
            <w:numStart w:val="49"/>
            <w:numRestart w:val="eachSect"/>
          </w:footnotePr>
          <w:pgSz w:w="11906" w:h="16838" w:code="9"/>
          <w:pgMar w:top="1440" w:right="1800" w:bottom="1440" w:left="1800" w:header="720" w:footer="720" w:gutter="0"/>
          <w:cols w:space="425"/>
          <w:docGrid w:type="linesAndChars" w:linePitch="360"/>
        </w:sectPr>
      </w:pPr>
    </w:p>
    <w:p w:rsidR="00B27FD2" w:rsidRPr="00DD3891" w:rsidRDefault="00B27FD2" w:rsidP="00D86E22">
      <w:pPr>
        <w:ind w:left="425"/>
        <w:jc w:val="right"/>
        <w:rPr>
          <w:rFonts w:cs="Arial"/>
          <w:b/>
          <w:noProof/>
          <w:sz w:val="26"/>
          <w:szCs w:val="26"/>
          <w:u w:val="single"/>
          <w:lang w:eastAsia="zh-HK"/>
        </w:rPr>
      </w:pPr>
      <w:r w:rsidRPr="00DD3891">
        <w:rPr>
          <w:rFonts w:cs="Arial"/>
          <w:b/>
          <w:noProof/>
          <w:sz w:val="26"/>
          <w:szCs w:val="26"/>
          <w:u w:val="single"/>
          <w:lang w:eastAsia="zh-HK"/>
        </w:rPr>
        <w:lastRenderedPageBreak/>
        <w:t>Annex II</w:t>
      </w:r>
    </w:p>
    <w:p w:rsidR="00B27FD2" w:rsidRPr="00DD3891" w:rsidRDefault="00B27FD2" w:rsidP="00440249">
      <w:pPr>
        <w:ind w:left="425"/>
        <w:jc w:val="left"/>
        <w:rPr>
          <w:rFonts w:cs="Arial"/>
          <w:b/>
          <w:noProof/>
          <w:sz w:val="26"/>
          <w:szCs w:val="26"/>
          <w:u w:val="single"/>
          <w:lang w:eastAsia="zh-HK"/>
        </w:rPr>
      </w:pPr>
    </w:p>
    <w:p w:rsidR="00B27FD2" w:rsidRPr="00DD3891" w:rsidRDefault="00B27FD2" w:rsidP="00440249">
      <w:pPr>
        <w:ind w:left="425"/>
        <w:jc w:val="left"/>
        <w:rPr>
          <w:rFonts w:cs="Arial"/>
          <w:b/>
          <w:noProof/>
          <w:sz w:val="26"/>
          <w:szCs w:val="26"/>
          <w:u w:val="single"/>
          <w:shd w:val="clear" w:color="auto" w:fill="FFFF66"/>
          <w:lang w:eastAsia="zh-HK"/>
        </w:rPr>
      </w:pPr>
    </w:p>
    <w:p w:rsidR="00B27FD2" w:rsidRPr="00F23E01" w:rsidRDefault="00B27FD2" w:rsidP="00D86E22">
      <w:pPr>
        <w:rPr>
          <w:rFonts w:cs="Arial"/>
          <w:b/>
          <w:lang w:eastAsia="zh-HK"/>
        </w:rPr>
      </w:pPr>
    </w:p>
    <w:p w:rsidR="00B27FD2" w:rsidRPr="00BE6D84" w:rsidRDefault="00B27FD2" w:rsidP="00440249">
      <w:pPr>
        <w:jc w:val="center"/>
        <w:rPr>
          <w:rFonts w:cs="Arial"/>
          <w:b/>
          <w:sz w:val="26"/>
          <w:szCs w:val="26"/>
          <w:u w:val="single"/>
          <w:lang w:eastAsia="zh-HK"/>
        </w:rPr>
      </w:pPr>
      <w:r w:rsidRPr="00BE6D84">
        <w:rPr>
          <w:rFonts w:cs="Arial"/>
          <w:b/>
          <w:sz w:val="26"/>
          <w:szCs w:val="26"/>
          <w:u w:val="single"/>
          <w:lang w:eastAsia="zh-HK"/>
        </w:rPr>
        <w:t xml:space="preserve">Summary of </w:t>
      </w:r>
      <w:r w:rsidRPr="00BE6D84">
        <w:rPr>
          <w:rFonts w:cs="Arial" w:hint="eastAsia"/>
          <w:b/>
          <w:sz w:val="26"/>
          <w:szCs w:val="26"/>
          <w:u w:val="single"/>
          <w:lang w:eastAsia="zh-HK"/>
        </w:rPr>
        <w:t>s</w:t>
      </w:r>
      <w:r w:rsidRPr="00BE6D84">
        <w:rPr>
          <w:rFonts w:cs="Arial"/>
          <w:b/>
          <w:sz w:val="26"/>
          <w:szCs w:val="26"/>
          <w:u w:val="single"/>
          <w:lang w:eastAsia="zh-HK"/>
        </w:rPr>
        <w:t>teps involved in the transfer of</w:t>
      </w:r>
    </w:p>
    <w:p w:rsidR="00B27FD2" w:rsidRPr="00D149CE" w:rsidRDefault="00B27FD2" w:rsidP="00440249">
      <w:pPr>
        <w:jc w:val="center"/>
        <w:rPr>
          <w:rFonts w:cs="Arial"/>
          <w:b/>
          <w:sz w:val="26"/>
          <w:szCs w:val="26"/>
          <w:u w:val="single"/>
          <w:lang w:eastAsia="zh-HK"/>
        </w:rPr>
      </w:pPr>
      <w:r w:rsidRPr="00D149CE">
        <w:rPr>
          <w:rFonts w:cs="Arial"/>
          <w:b/>
          <w:sz w:val="26"/>
          <w:szCs w:val="26"/>
          <w:u w:val="single"/>
          <w:lang w:eastAsia="zh-HK"/>
        </w:rPr>
        <w:t>time-expired records (for both paper and non-paper) process</w:t>
      </w:r>
      <w:r w:rsidRPr="003060CA">
        <w:rPr>
          <w:rStyle w:val="FootnoteReference"/>
          <w:rFonts w:cs="Arial"/>
          <w:sz w:val="26"/>
          <w:szCs w:val="26"/>
          <w:u w:val="single"/>
          <w:lang w:eastAsia="zh-HK"/>
        </w:rPr>
        <w:footnoteReference w:id="646"/>
      </w:r>
    </w:p>
    <w:p w:rsidR="00B27FD2" w:rsidRDefault="00B27FD2" w:rsidP="00D86E22">
      <w:pPr>
        <w:rPr>
          <w:rFonts w:cs="Arial"/>
          <w:lang w:eastAsia="zh-HK"/>
        </w:rPr>
      </w:pPr>
    </w:p>
    <w:p w:rsidR="00B27FD2" w:rsidRPr="00F23E01" w:rsidRDefault="00B27FD2" w:rsidP="00D86E22">
      <w:pPr>
        <w:rPr>
          <w:rFonts w:cs="Arial"/>
          <w:lang w:eastAsia="zh-HK"/>
        </w:rPr>
      </w:pPr>
    </w:p>
    <w:p w:rsidR="00B27FD2" w:rsidRPr="00F23E01" w:rsidRDefault="00B27FD2" w:rsidP="00440249">
      <w:pPr>
        <w:tabs>
          <w:tab w:val="clear" w:pos="1418"/>
          <w:tab w:val="left" w:pos="720"/>
        </w:tabs>
        <w:rPr>
          <w:rFonts w:cs="Arial"/>
          <w:b/>
          <w:lang w:eastAsia="zh-HK"/>
        </w:rPr>
      </w:pPr>
      <w:r w:rsidRPr="00F23E01">
        <w:rPr>
          <w:rFonts w:cs="Arial"/>
          <w:b/>
          <w:lang w:eastAsia="zh-HK"/>
        </w:rPr>
        <w:t>(1)</w:t>
      </w:r>
      <w:r w:rsidRPr="00F23E01">
        <w:rPr>
          <w:rFonts w:cs="Arial"/>
          <w:b/>
          <w:lang w:eastAsia="zh-HK"/>
        </w:rPr>
        <w:tab/>
        <w:t>Records disposal</w:t>
      </w:r>
    </w:p>
    <w:p w:rsidR="00B27FD2" w:rsidRPr="00F23E01" w:rsidRDefault="00B27FD2" w:rsidP="00D86E22">
      <w:pPr>
        <w:rPr>
          <w:rFonts w:cs="Arial"/>
          <w:b/>
          <w:lang w:eastAsia="zh-HK"/>
        </w:rPr>
      </w:pPr>
    </w:p>
    <w:p w:rsidR="00B27FD2" w:rsidRPr="00F23E01" w:rsidRDefault="00B27FD2" w:rsidP="00D86E22">
      <w:pPr>
        <w:rPr>
          <w:rFonts w:cs="Arial"/>
          <w:lang w:eastAsia="zh-HK"/>
        </w:rPr>
      </w:pPr>
      <w:r w:rsidRPr="00F23E01">
        <w:rPr>
          <w:rFonts w:cs="Arial"/>
          <w:lang w:eastAsia="zh-HK"/>
        </w:rPr>
        <w:t>1.1</w:t>
      </w:r>
      <w:r w:rsidRPr="00F23E01">
        <w:rPr>
          <w:rFonts w:cs="Arial"/>
          <w:lang w:eastAsia="zh-HK"/>
        </w:rPr>
        <w:tab/>
      </w:r>
      <w:r w:rsidRPr="00F23E01">
        <w:rPr>
          <w:rFonts w:cs="Arial"/>
          <w:lang w:eastAsia="zh-HK"/>
        </w:rPr>
        <w:tab/>
        <w:t>B</w:t>
      </w:r>
      <w:r>
        <w:rPr>
          <w:rFonts w:cs="Arial"/>
          <w:lang w:eastAsia="zh-HK"/>
        </w:rPr>
        <w:t xml:space="preserve">/Ds </w:t>
      </w:r>
      <w:r w:rsidRPr="00F23E01">
        <w:rPr>
          <w:rFonts w:cs="Arial"/>
          <w:lang w:eastAsia="zh-HK"/>
        </w:rPr>
        <w:t xml:space="preserve">should dispose of time-expired records at least once every two years.  Disposal of administrative records is covered by the </w:t>
      </w:r>
      <w:r>
        <w:rPr>
          <w:rFonts w:cs="Arial"/>
          <w:lang w:eastAsia="zh-HK"/>
        </w:rPr>
        <w:t>GARDS</w:t>
      </w:r>
      <w:r w:rsidRPr="00F23E01">
        <w:rPr>
          <w:rFonts w:cs="Arial"/>
          <w:lang w:eastAsia="zh-HK"/>
        </w:rPr>
        <w:t xml:space="preserve"> whereas that for programme records is covered by disposal schedules approved by the </w:t>
      </w:r>
      <w:r>
        <w:rPr>
          <w:rFonts w:cs="Arial"/>
          <w:lang w:eastAsia="zh-HK"/>
        </w:rPr>
        <w:t>GRS</w:t>
      </w:r>
      <w:r w:rsidRPr="00F23E01">
        <w:rPr>
          <w:rFonts w:cs="Arial"/>
          <w:lang w:eastAsia="zh-HK"/>
        </w:rPr>
        <w:t>.</w:t>
      </w:r>
    </w:p>
    <w:p w:rsidR="00B27FD2" w:rsidRPr="0091300F"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1.2</w:t>
      </w:r>
      <w:r w:rsidRPr="00F23E01">
        <w:rPr>
          <w:rFonts w:cs="Arial"/>
          <w:lang w:eastAsia="zh-HK"/>
        </w:rPr>
        <w:tab/>
      </w:r>
      <w:r w:rsidRPr="00F23E01">
        <w:rPr>
          <w:rFonts w:cs="Arial"/>
          <w:lang w:eastAsia="zh-HK"/>
        </w:rPr>
        <w:tab/>
        <w:t>The ways of disposal include destruction, intermediate storage at records centres and then destruction, microfilming and then destruction, and permanent retention, having regard to the administrative, operational, fiscal and legal requirements and archival value of the records.</w:t>
      </w:r>
    </w:p>
    <w:p w:rsidR="00B27FD2" w:rsidRDefault="00B27FD2" w:rsidP="00D86E22">
      <w:pPr>
        <w:rPr>
          <w:rFonts w:cs="Arial"/>
          <w:lang w:eastAsia="zh-HK"/>
        </w:rPr>
      </w:pPr>
    </w:p>
    <w:p w:rsidR="00B27FD2" w:rsidRPr="00F23E01" w:rsidRDefault="00B27FD2" w:rsidP="00D86E22">
      <w:pPr>
        <w:rPr>
          <w:rFonts w:cs="Arial"/>
          <w:lang w:eastAsia="zh-HK"/>
        </w:rPr>
      </w:pPr>
    </w:p>
    <w:p w:rsidR="00B27FD2" w:rsidRPr="00F23E01" w:rsidRDefault="00B27FD2" w:rsidP="00D86E22">
      <w:pPr>
        <w:ind w:left="720" w:hanging="720"/>
        <w:rPr>
          <w:rFonts w:cs="Arial"/>
          <w:b/>
          <w:lang w:eastAsia="zh-HK"/>
        </w:rPr>
      </w:pPr>
      <w:r w:rsidRPr="00F23E01">
        <w:rPr>
          <w:rFonts w:cs="Arial"/>
          <w:b/>
          <w:lang w:eastAsia="zh-HK"/>
        </w:rPr>
        <w:t>(2)</w:t>
      </w:r>
      <w:r w:rsidRPr="00F23E01">
        <w:rPr>
          <w:rFonts w:cs="Arial"/>
          <w:b/>
          <w:lang w:eastAsia="zh-HK"/>
        </w:rPr>
        <w:tab/>
        <w:t xml:space="preserve">Transfer of records having potential archival value to </w:t>
      </w:r>
      <w:r>
        <w:rPr>
          <w:rFonts w:cs="Arial"/>
          <w:b/>
          <w:lang w:eastAsia="zh-HK"/>
        </w:rPr>
        <w:t xml:space="preserve">the </w:t>
      </w:r>
      <w:r w:rsidRPr="00F23E01">
        <w:rPr>
          <w:rFonts w:cs="Arial"/>
          <w:b/>
          <w:lang w:eastAsia="zh-HK"/>
        </w:rPr>
        <w:t>P</w:t>
      </w:r>
      <w:r>
        <w:rPr>
          <w:rFonts w:cs="Arial"/>
          <w:b/>
          <w:lang w:eastAsia="zh-HK"/>
        </w:rPr>
        <w:t xml:space="preserve">ublic Records Office </w:t>
      </w:r>
      <w:r w:rsidRPr="00F23E01">
        <w:rPr>
          <w:rFonts w:cs="Arial"/>
          <w:b/>
          <w:lang w:eastAsia="zh-HK"/>
        </w:rPr>
        <w:t>for appraisal</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2.1</w:t>
      </w:r>
      <w:r w:rsidRPr="00F23E01">
        <w:rPr>
          <w:rFonts w:cs="Arial"/>
          <w:lang w:eastAsia="zh-HK"/>
        </w:rPr>
        <w:tab/>
      </w:r>
      <w:r w:rsidRPr="00F23E01">
        <w:rPr>
          <w:rFonts w:cs="Arial"/>
          <w:lang w:eastAsia="zh-HK"/>
        </w:rPr>
        <w:tab/>
        <w:t xml:space="preserve">B/Ds are required to transfer time-expired records the disposal action of which as set out in the corresponding disposal schedule is </w:t>
      </w:r>
      <w:r>
        <w:rPr>
          <w:rFonts w:cs="Arial"/>
          <w:lang w:eastAsia="zh-HK"/>
        </w:rPr>
        <w:t>"</w:t>
      </w:r>
      <w:r w:rsidRPr="00F23E01">
        <w:rPr>
          <w:rFonts w:cs="Arial"/>
          <w:lang w:eastAsia="zh-HK"/>
        </w:rPr>
        <w:t>Review by 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sidDel="00D7573D">
        <w:rPr>
          <w:rFonts w:cs="Arial"/>
          <w:lang w:eastAsia="zh-HK"/>
        </w:rPr>
        <w:t xml:space="preserve"> </w:t>
      </w:r>
      <w:r w:rsidRPr="00F23E01">
        <w:rPr>
          <w:rFonts w:cs="Arial"/>
          <w:lang w:eastAsia="zh-HK"/>
        </w:rPr>
        <w:t xml:space="preserve">to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for appraisal.  B/Ds should also transfer their records reaching 30 years old to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for appraisal.</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2.2</w:t>
      </w:r>
      <w:r w:rsidRPr="00F23E01">
        <w:rPr>
          <w:rFonts w:cs="Arial"/>
          <w:lang w:eastAsia="zh-HK"/>
        </w:rPr>
        <w:tab/>
      </w:r>
      <w:r w:rsidRPr="00F23E01">
        <w:rPr>
          <w:rFonts w:cs="Arial"/>
          <w:lang w:eastAsia="zh-HK"/>
        </w:rPr>
        <w:tab/>
        <w:t xml:space="preserve">Appraisal process is a combination of functional analysis, content analysis, and assessment of the preservation needs and accessibility relating to the records.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adopts a two-stage approach in conducting appraisal of records.  </w:t>
      </w:r>
      <w:r>
        <w:rPr>
          <w:rFonts w:cs="Arial"/>
          <w:lang w:eastAsia="zh-HK"/>
        </w:rPr>
        <w:t>"</w:t>
      </w:r>
      <w:r w:rsidRPr="00F23E01">
        <w:rPr>
          <w:rFonts w:cs="Arial"/>
          <w:lang w:eastAsia="zh-HK"/>
        </w:rPr>
        <w:t>Paper appraisal</w:t>
      </w:r>
      <w:r>
        <w:rPr>
          <w:rFonts w:cs="Arial"/>
          <w:lang w:eastAsia="zh-HK"/>
        </w:rPr>
        <w:t>"</w:t>
      </w:r>
      <w:r w:rsidRPr="00F23E01">
        <w:rPr>
          <w:rFonts w:cs="Arial"/>
          <w:lang w:eastAsia="zh-HK"/>
        </w:rPr>
        <w:t xml:space="preserve"> is based on the examination of the file list of records pending appraisal, taking into account the administrative and disposal history of the B/D as well as other documentation research.  If necessary, </w:t>
      </w:r>
      <w:r>
        <w:rPr>
          <w:rFonts w:cs="Arial"/>
          <w:lang w:eastAsia="zh-HK"/>
        </w:rPr>
        <w:t>"</w:t>
      </w:r>
      <w:r w:rsidRPr="00F23E01">
        <w:rPr>
          <w:rFonts w:cs="Arial"/>
          <w:lang w:eastAsia="zh-HK"/>
        </w:rPr>
        <w:t>physical appraisal</w:t>
      </w:r>
      <w:r>
        <w:rPr>
          <w:rFonts w:cs="Arial"/>
          <w:lang w:eastAsia="zh-HK"/>
        </w:rPr>
        <w:t>"</w:t>
      </w:r>
      <w:r w:rsidRPr="00F23E01">
        <w:rPr>
          <w:rFonts w:cs="Arial"/>
          <w:lang w:eastAsia="zh-HK"/>
        </w:rPr>
        <w:t xml:space="preserve"> of the records will be conducted to examine in detail the content of each document in order to determine the archival value.  Appraisal can take place during the discussion of drafting the disposal schedule or upon the expiry of the retention period.</w:t>
      </w:r>
    </w:p>
    <w:p w:rsidR="00B27FD2" w:rsidRPr="00F23E01" w:rsidRDefault="00B27FD2" w:rsidP="00D86E22">
      <w:pPr>
        <w:rPr>
          <w:rFonts w:cs="Arial"/>
          <w:lang w:eastAsia="zh-HK"/>
        </w:rPr>
      </w:pPr>
    </w:p>
    <w:p w:rsidR="00B27FD2" w:rsidRDefault="00B27FD2" w:rsidP="00D86E22">
      <w:pPr>
        <w:rPr>
          <w:rFonts w:cs="Arial"/>
          <w:lang w:eastAsia="zh-HK"/>
        </w:rPr>
      </w:pPr>
      <w:r w:rsidRPr="00F23E01">
        <w:rPr>
          <w:rFonts w:cs="Arial"/>
          <w:lang w:eastAsia="zh-HK"/>
        </w:rPr>
        <w:t>2.3</w:t>
      </w:r>
      <w:r w:rsidRPr="00F23E01">
        <w:rPr>
          <w:rFonts w:cs="Arial"/>
          <w:lang w:eastAsia="zh-HK"/>
        </w:rPr>
        <w:tab/>
      </w:r>
      <w:r w:rsidRPr="00F23E01">
        <w:rPr>
          <w:rFonts w:cs="Arial"/>
          <w:lang w:eastAsia="zh-HK"/>
        </w:rPr>
        <w:tab/>
        <w:t xml:space="preserve">If the records are appraised as having archival value, B/Ds are required to transfer them to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for permanent retention (see also </w:t>
      </w:r>
      <w:r w:rsidRPr="00650E12">
        <w:rPr>
          <w:rFonts w:cs="Arial"/>
          <w:lang w:eastAsia="zh-HK"/>
        </w:rPr>
        <w:t>paragraph 3.1 below</w:t>
      </w:r>
      <w:r w:rsidRPr="00F23E01">
        <w:rPr>
          <w:rFonts w:cs="Arial"/>
          <w:lang w:eastAsia="zh-HK"/>
        </w:rPr>
        <w:t>).</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2.4</w:t>
      </w:r>
      <w:r w:rsidRPr="00F23E01">
        <w:rPr>
          <w:rFonts w:cs="Arial"/>
          <w:lang w:eastAsia="zh-HK"/>
        </w:rPr>
        <w:tab/>
      </w:r>
      <w:r w:rsidRPr="00F23E01">
        <w:rPr>
          <w:rFonts w:cs="Arial"/>
          <w:lang w:eastAsia="zh-HK"/>
        </w:rPr>
        <w:tab/>
        <w:t xml:space="preserve">If the records are appraised as having no archival value, the GRS Director will approve their destruction. </w:t>
      </w:r>
    </w:p>
    <w:p w:rsidR="00B27FD2" w:rsidRPr="00F23E01" w:rsidRDefault="00B27FD2" w:rsidP="00D86E22">
      <w:pPr>
        <w:rPr>
          <w:rFonts w:cs="Arial"/>
          <w:lang w:eastAsia="zh-HK"/>
        </w:rPr>
      </w:pPr>
    </w:p>
    <w:p w:rsidR="00B27FD2" w:rsidRPr="00F23E01" w:rsidRDefault="00B27FD2" w:rsidP="00D86E22">
      <w:pPr>
        <w:keepNext/>
        <w:ind w:left="720" w:hanging="720"/>
        <w:rPr>
          <w:rFonts w:cs="Arial"/>
          <w:b/>
          <w:lang w:eastAsia="zh-HK"/>
        </w:rPr>
      </w:pPr>
      <w:r w:rsidRPr="00F23E01">
        <w:rPr>
          <w:rFonts w:cs="Arial"/>
          <w:b/>
          <w:lang w:eastAsia="zh-HK"/>
        </w:rPr>
        <w:t>(3)</w:t>
      </w:r>
      <w:r w:rsidRPr="00F23E01">
        <w:rPr>
          <w:rFonts w:cs="Arial"/>
          <w:b/>
          <w:lang w:eastAsia="zh-HK"/>
        </w:rPr>
        <w:tab/>
        <w:t>Transfer of records having archival value to P</w:t>
      </w:r>
      <w:r>
        <w:rPr>
          <w:rFonts w:cs="Arial"/>
          <w:b/>
          <w:lang w:eastAsia="zh-HK"/>
        </w:rPr>
        <w:t xml:space="preserve">ublic </w:t>
      </w:r>
      <w:r w:rsidRPr="00F23E01">
        <w:rPr>
          <w:rFonts w:cs="Arial"/>
          <w:b/>
          <w:lang w:eastAsia="zh-HK"/>
        </w:rPr>
        <w:t>R</w:t>
      </w:r>
      <w:r>
        <w:rPr>
          <w:rFonts w:cs="Arial"/>
          <w:b/>
          <w:lang w:eastAsia="zh-HK"/>
        </w:rPr>
        <w:t xml:space="preserve">ecords </w:t>
      </w:r>
      <w:r w:rsidRPr="00F23E01">
        <w:rPr>
          <w:rFonts w:cs="Arial"/>
          <w:b/>
          <w:lang w:eastAsia="zh-HK"/>
        </w:rPr>
        <w:t>O</w:t>
      </w:r>
      <w:r>
        <w:rPr>
          <w:rFonts w:cs="Arial"/>
          <w:b/>
          <w:lang w:eastAsia="zh-HK"/>
        </w:rPr>
        <w:t>ffice</w:t>
      </w:r>
      <w:r w:rsidRPr="00F23E01">
        <w:rPr>
          <w:rFonts w:cs="Arial"/>
          <w:b/>
          <w:lang w:eastAsia="zh-HK"/>
        </w:rPr>
        <w:t xml:space="preserve"> for permanent retention</w:t>
      </w:r>
    </w:p>
    <w:p w:rsidR="00B27FD2" w:rsidRPr="00F23E01" w:rsidRDefault="00B27FD2" w:rsidP="00D86E22">
      <w:pPr>
        <w:keepNext/>
        <w:rPr>
          <w:rFonts w:cs="Arial"/>
          <w:lang w:eastAsia="zh-HK"/>
        </w:rPr>
      </w:pPr>
    </w:p>
    <w:p w:rsidR="00B27FD2" w:rsidRPr="00F23E01" w:rsidRDefault="00B27FD2" w:rsidP="00D86E22">
      <w:pPr>
        <w:rPr>
          <w:rFonts w:cs="Arial"/>
          <w:lang w:eastAsia="zh-HK"/>
        </w:rPr>
      </w:pPr>
      <w:r w:rsidRPr="00F23E01">
        <w:rPr>
          <w:rFonts w:cs="Arial"/>
          <w:lang w:eastAsia="zh-HK"/>
        </w:rPr>
        <w:t>3.1</w:t>
      </w:r>
      <w:r w:rsidRPr="00F23E01">
        <w:rPr>
          <w:rFonts w:cs="Arial"/>
          <w:lang w:eastAsia="zh-HK"/>
        </w:rPr>
        <w:tab/>
      </w:r>
      <w:r w:rsidRPr="00F23E01">
        <w:rPr>
          <w:rFonts w:cs="Arial"/>
          <w:lang w:eastAsia="zh-HK"/>
        </w:rPr>
        <w:tab/>
        <w:t xml:space="preserve">B/Ds are also required to transfer time-expired records the disposal action of which as set out in the corresponding disposal schedule is </w:t>
      </w:r>
      <w:r>
        <w:rPr>
          <w:rFonts w:cs="Arial"/>
          <w:lang w:eastAsia="zh-HK"/>
        </w:rPr>
        <w:t>"</w:t>
      </w:r>
      <w:r w:rsidRPr="00F23E01">
        <w:rPr>
          <w:rFonts w:cs="Arial"/>
          <w:lang w:eastAsia="zh-HK"/>
        </w:rPr>
        <w:t>Permanent Retention by 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as well as those appraised as having archival value (se</w:t>
      </w:r>
      <w:r w:rsidRPr="00EA3CBF">
        <w:rPr>
          <w:rFonts w:cs="Arial"/>
          <w:lang w:eastAsia="zh-HK"/>
        </w:rPr>
        <w:t>e paragraph 2.3 above) to t</w:t>
      </w:r>
      <w:r>
        <w:rPr>
          <w:rFonts w:cs="Arial"/>
          <w:lang w:eastAsia="zh-HK"/>
        </w:rPr>
        <w:t xml:space="preserve">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for permanent retention.</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3.2</w:t>
      </w:r>
      <w:r w:rsidRPr="00F23E01">
        <w:rPr>
          <w:rFonts w:cs="Arial"/>
          <w:lang w:eastAsia="zh-HK"/>
        </w:rPr>
        <w:tab/>
      </w:r>
      <w:r w:rsidRPr="00F23E01">
        <w:rPr>
          <w:rFonts w:cs="Arial"/>
          <w:lang w:eastAsia="zh-HK"/>
        </w:rPr>
        <w:tab/>
        <w:t>Before the transfer,</w:t>
      </w:r>
      <w:r w:rsidRPr="00F23E01">
        <w:rPr>
          <w:rFonts w:cs="Arial"/>
        </w:rPr>
        <w:t xml:space="preserve"> </w:t>
      </w:r>
      <w:r w:rsidRPr="00F23E01">
        <w:rPr>
          <w:rFonts w:cs="Arial"/>
          <w:lang w:eastAsia="zh-HK"/>
        </w:rPr>
        <w:t>B/Ds will review the records and determine their access status when reaching 30 years.  In carrying out the review, B/Ds broadly adopt the parameters set by the exemptions listed in Part 2 of the C</w:t>
      </w:r>
      <w:r>
        <w:rPr>
          <w:rFonts w:cs="Arial"/>
          <w:lang w:eastAsia="zh-HK"/>
        </w:rPr>
        <w:t>AI (ie Code on Access to Infor</w:t>
      </w:r>
      <w:r w:rsidRPr="00F23E01">
        <w:rPr>
          <w:rFonts w:cs="Arial"/>
          <w:lang w:eastAsia="zh-HK"/>
        </w:rPr>
        <w:t>mation</w:t>
      </w:r>
      <w:r>
        <w:rPr>
          <w:rFonts w:cs="Arial"/>
          <w:lang w:eastAsia="zh-HK"/>
        </w:rPr>
        <w:t>)</w:t>
      </w:r>
      <w:r w:rsidRPr="00F23E01">
        <w:rPr>
          <w:rFonts w:cs="Arial"/>
          <w:lang w:eastAsia="zh-HK"/>
        </w:rPr>
        <w:t>.</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3.3</w:t>
      </w:r>
      <w:r w:rsidRPr="00F23E01">
        <w:rPr>
          <w:rFonts w:cs="Arial"/>
          <w:lang w:eastAsia="zh-HK"/>
        </w:rPr>
        <w:tab/>
      </w:r>
      <w:r w:rsidRPr="00F23E01">
        <w:rPr>
          <w:rFonts w:cs="Arial"/>
          <w:lang w:eastAsia="zh-HK"/>
        </w:rPr>
        <w:tab/>
        <w:t xml:space="preserve">Unless specified by B/Ds, archival records transferred to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will be open for public access when reaching 30 years old.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will prepare for the accessioning and arrangement, description and uploading of the relevant information of such records to the </w:t>
      </w:r>
      <w:r w:rsidRPr="006A3670">
        <w:rPr>
          <w:rFonts w:cs="Arial"/>
          <w:lang w:eastAsia="zh-HK"/>
        </w:rPr>
        <w:t xml:space="preserve">Integrated Information Access System </w:t>
      </w:r>
      <w:r w:rsidRPr="00F23E01">
        <w:rPr>
          <w:rFonts w:cs="Arial"/>
          <w:lang w:eastAsia="zh-HK"/>
        </w:rPr>
        <w:t>for public searching.</w:t>
      </w:r>
      <w:r>
        <w:rPr>
          <w:rFonts w:cs="Arial" w:hint="eastAsia"/>
          <w:lang w:eastAsia="zh-HK"/>
        </w:rPr>
        <w:t xml:space="preserve">  </w:t>
      </w:r>
      <w:r w:rsidRPr="005667D1">
        <w:rPr>
          <w:rFonts w:cs="Arial"/>
          <w:lang w:eastAsia="zh-HK"/>
        </w:rPr>
        <w:t xml:space="preserve">The Integrated Information Access System is a web-based system which provides an integrated interface for public users to access </w:t>
      </w:r>
      <w:r>
        <w:rPr>
          <w:rFonts w:cs="Arial"/>
          <w:lang w:eastAsia="zh-HK"/>
        </w:rPr>
        <w:t xml:space="preserve">the finding aids </w:t>
      </w:r>
      <w:r w:rsidRPr="005667D1">
        <w:rPr>
          <w:rFonts w:cs="Arial"/>
          <w:lang w:eastAsia="zh-HK"/>
        </w:rPr>
        <w:t>to the archival records through GRS</w:t>
      </w:r>
      <w:r>
        <w:rPr>
          <w:rFonts w:cs="Arial"/>
          <w:lang w:eastAsia="zh-HK"/>
        </w:rPr>
        <w:t>'</w:t>
      </w:r>
      <w:r w:rsidRPr="005667D1">
        <w:rPr>
          <w:rFonts w:cs="Arial"/>
          <w:lang w:eastAsia="zh-HK"/>
        </w:rPr>
        <w:t xml:space="preserve"> website or the workstations </w:t>
      </w:r>
      <w:r>
        <w:rPr>
          <w:rFonts w:cs="Arial" w:hint="eastAsia"/>
          <w:lang w:eastAsia="zh-HK"/>
        </w:rPr>
        <w:t>provided in GRS</w:t>
      </w:r>
      <w:r>
        <w:rPr>
          <w:rFonts w:cs="Arial"/>
          <w:lang w:eastAsia="zh-HK"/>
        </w:rPr>
        <w:t>'</w:t>
      </w:r>
      <w:r>
        <w:rPr>
          <w:rFonts w:cs="Arial" w:hint="eastAsia"/>
          <w:lang w:eastAsia="zh-HK"/>
        </w:rPr>
        <w:t xml:space="preserve"> </w:t>
      </w:r>
      <w:r w:rsidRPr="005667D1">
        <w:rPr>
          <w:rFonts w:cs="Arial"/>
          <w:lang w:eastAsia="zh-HK"/>
        </w:rPr>
        <w:t>Search Room.</w:t>
      </w:r>
    </w:p>
    <w:p w:rsidR="00B27FD2" w:rsidRDefault="00B27FD2" w:rsidP="00D86E22">
      <w:pPr>
        <w:rPr>
          <w:rFonts w:cs="Arial"/>
          <w:lang w:eastAsia="zh-HK"/>
        </w:rPr>
      </w:pPr>
    </w:p>
    <w:p w:rsidR="00B27FD2" w:rsidRPr="00F23E01" w:rsidRDefault="00B27FD2" w:rsidP="00D86E22">
      <w:pPr>
        <w:rPr>
          <w:rFonts w:cs="Arial"/>
          <w:lang w:eastAsia="zh-HK"/>
        </w:rPr>
      </w:pPr>
    </w:p>
    <w:p w:rsidR="00B27FD2" w:rsidRPr="00F23E01" w:rsidRDefault="00B27FD2" w:rsidP="00D86E22">
      <w:pPr>
        <w:ind w:left="720" w:hanging="720"/>
        <w:rPr>
          <w:rFonts w:cs="Arial"/>
          <w:b/>
          <w:lang w:eastAsia="zh-HK"/>
        </w:rPr>
      </w:pPr>
      <w:r w:rsidRPr="00F23E01">
        <w:rPr>
          <w:rFonts w:cs="Arial"/>
          <w:b/>
          <w:lang w:eastAsia="zh-HK"/>
        </w:rPr>
        <w:t>(4)</w:t>
      </w:r>
      <w:r w:rsidRPr="00F23E01">
        <w:rPr>
          <w:rFonts w:cs="Arial"/>
          <w:b/>
          <w:lang w:eastAsia="zh-HK"/>
        </w:rPr>
        <w:tab/>
        <w:t>Deferred transfer of time-expired records having archival or potential archival value</w:t>
      </w:r>
    </w:p>
    <w:p w:rsidR="00B27FD2" w:rsidRPr="00F23E01" w:rsidRDefault="00B27FD2" w:rsidP="00D86E22">
      <w:pPr>
        <w:rPr>
          <w:rFonts w:cs="Arial"/>
          <w:b/>
          <w:lang w:eastAsia="zh-HK"/>
        </w:rPr>
      </w:pPr>
    </w:p>
    <w:p w:rsidR="00B27FD2" w:rsidRPr="00F23E01" w:rsidRDefault="00B27FD2" w:rsidP="00D86E22">
      <w:pPr>
        <w:rPr>
          <w:rFonts w:cs="Arial"/>
          <w:lang w:eastAsia="zh-HK"/>
        </w:rPr>
      </w:pPr>
      <w:r w:rsidRPr="00F23E01">
        <w:rPr>
          <w:rFonts w:cs="Arial"/>
          <w:lang w:eastAsia="zh-HK"/>
        </w:rPr>
        <w:t>4.1</w:t>
      </w:r>
      <w:r w:rsidRPr="00F23E01">
        <w:rPr>
          <w:rFonts w:cs="Arial"/>
          <w:lang w:eastAsia="zh-HK"/>
        </w:rPr>
        <w:tab/>
      </w:r>
      <w:r w:rsidRPr="00F23E01">
        <w:rPr>
          <w:rFonts w:cs="Arial"/>
          <w:lang w:eastAsia="zh-HK"/>
        </w:rPr>
        <w:tab/>
        <w:t xml:space="preserve">If B/Ds need to defer the transfer of time-expired records having archival or potential archival value to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for retention or appraisal by more than two years, they should set out the reasons in writing for agreement by a directorate officer in the B/D concerned. </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4.2</w:t>
      </w:r>
      <w:r w:rsidRPr="00F23E01">
        <w:rPr>
          <w:rFonts w:cs="Arial"/>
          <w:lang w:eastAsia="zh-HK"/>
        </w:rPr>
        <w:tab/>
      </w:r>
      <w:r w:rsidRPr="00F23E01">
        <w:rPr>
          <w:rFonts w:cs="Arial"/>
          <w:lang w:eastAsia="zh-HK"/>
        </w:rPr>
        <w:tab/>
        <w:t xml:space="preserve">Since March 2014, the requirement has been tightened.  B/Ds are required to obtain the written agreement of a directorate officer at the level of deputy secretary/deputy head of department and consult </w:t>
      </w:r>
      <w:r>
        <w:rPr>
          <w:rFonts w:cs="Arial"/>
          <w:lang w:eastAsia="zh-HK"/>
        </w:rPr>
        <w:t xml:space="preserve">the </w:t>
      </w:r>
      <w:r w:rsidRPr="00F23E01">
        <w:rPr>
          <w:rFonts w:cs="Arial"/>
          <w:lang w:eastAsia="zh-HK"/>
        </w:rPr>
        <w:t>GRS in advance.  B/Ds have to provide well-justified and specific reasons with details to support their deferral requests.</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4.3</w:t>
      </w:r>
      <w:r w:rsidRPr="00F23E01">
        <w:rPr>
          <w:rFonts w:cs="Arial"/>
          <w:lang w:eastAsia="zh-HK"/>
        </w:rPr>
        <w:tab/>
      </w:r>
      <w:r w:rsidRPr="00F23E01">
        <w:rPr>
          <w:rFonts w:cs="Arial"/>
          <w:lang w:eastAsia="zh-HK"/>
        </w:rPr>
        <w:tab/>
        <w:t>On receipt of a B/D</w:t>
      </w:r>
      <w:r>
        <w:rPr>
          <w:rFonts w:cs="Arial"/>
          <w:lang w:eastAsia="zh-HK"/>
        </w:rPr>
        <w:t>'</w:t>
      </w:r>
      <w:r w:rsidRPr="00F23E01">
        <w:rPr>
          <w:rFonts w:cs="Arial"/>
          <w:lang w:eastAsia="zh-HK"/>
        </w:rPr>
        <w:t xml:space="preserve">s request, </w:t>
      </w:r>
      <w:r>
        <w:rPr>
          <w:rFonts w:cs="Arial"/>
          <w:lang w:eastAsia="zh-HK"/>
        </w:rPr>
        <w:t xml:space="preserve">the </w:t>
      </w:r>
      <w:r w:rsidRPr="00F23E01">
        <w:rPr>
          <w:rFonts w:cs="Arial"/>
          <w:lang w:eastAsia="zh-HK"/>
        </w:rPr>
        <w:t>P</w:t>
      </w:r>
      <w:r>
        <w:rPr>
          <w:rFonts w:cs="Arial"/>
          <w:lang w:eastAsia="zh-HK"/>
        </w:rPr>
        <w:t xml:space="preserve">ublic </w:t>
      </w:r>
      <w:r w:rsidRPr="00F23E01">
        <w:rPr>
          <w:rFonts w:cs="Arial"/>
          <w:lang w:eastAsia="zh-HK"/>
        </w:rPr>
        <w:t>R</w:t>
      </w:r>
      <w:r>
        <w:rPr>
          <w:rFonts w:cs="Arial"/>
          <w:lang w:eastAsia="zh-HK"/>
        </w:rPr>
        <w:t xml:space="preserve">ecords </w:t>
      </w:r>
      <w:r w:rsidRPr="00F23E01">
        <w:rPr>
          <w:rFonts w:cs="Arial"/>
          <w:lang w:eastAsia="zh-HK"/>
        </w:rPr>
        <w:t>O</w:t>
      </w:r>
      <w:r>
        <w:rPr>
          <w:rFonts w:cs="Arial"/>
          <w:lang w:eastAsia="zh-HK"/>
        </w:rPr>
        <w:t>ffice</w:t>
      </w:r>
      <w:r w:rsidRPr="00F23E01">
        <w:rPr>
          <w:rFonts w:cs="Arial"/>
          <w:lang w:eastAsia="zh-HK"/>
        </w:rPr>
        <w:t xml:space="preserve"> will appraise the records concerned.  If the records have no archival value, </w:t>
      </w:r>
      <w:r>
        <w:rPr>
          <w:rFonts w:cs="Arial"/>
          <w:lang w:eastAsia="zh-HK"/>
        </w:rPr>
        <w:t xml:space="preserve">the </w:t>
      </w:r>
      <w:r w:rsidRPr="00F23E01">
        <w:rPr>
          <w:rFonts w:cs="Arial"/>
          <w:lang w:eastAsia="zh-HK"/>
        </w:rPr>
        <w:t>GRS will have no objection to the B/D retaining them.  The B/D will be required to seek the agreement of the GRS Director for future destruction of the records.</w:t>
      </w:r>
    </w:p>
    <w:p w:rsidR="00B27FD2" w:rsidRPr="00F23E01" w:rsidRDefault="00B27FD2" w:rsidP="00D86E22">
      <w:pPr>
        <w:rPr>
          <w:rFonts w:cs="Arial"/>
          <w:lang w:eastAsia="zh-HK"/>
        </w:rPr>
      </w:pPr>
    </w:p>
    <w:p w:rsidR="00B27FD2" w:rsidRPr="00F23E01" w:rsidRDefault="00B27FD2" w:rsidP="00D86E22">
      <w:pPr>
        <w:rPr>
          <w:rFonts w:cs="Arial"/>
          <w:lang w:eastAsia="zh-HK"/>
        </w:rPr>
      </w:pPr>
      <w:r w:rsidRPr="00F23E01">
        <w:rPr>
          <w:rFonts w:cs="Arial"/>
          <w:lang w:eastAsia="zh-HK"/>
        </w:rPr>
        <w:t>4.4</w:t>
      </w:r>
      <w:r w:rsidRPr="00F23E01">
        <w:rPr>
          <w:rFonts w:cs="Arial"/>
          <w:lang w:eastAsia="zh-HK"/>
        </w:rPr>
        <w:tab/>
      </w:r>
      <w:r w:rsidRPr="00F23E01">
        <w:rPr>
          <w:rFonts w:cs="Arial"/>
          <w:lang w:eastAsia="zh-HK"/>
        </w:rPr>
        <w:tab/>
        <w:t xml:space="preserve">If the records concerned have archival value, </w:t>
      </w:r>
      <w:r>
        <w:rPr>
          <w:rFonts w:cs="Arial"/>
          <w:lang w:eastAsia="zh-HK"/>
        </w:rPr>
        <w:t xml:space="preserve">the </w:t>
      </w:r>
      <w:r w:rsidRPr="00F23E01">
        <w:rPr>
          <w:rFonts w:cs="Arial"/>
          <w:lang w:eastAsia="zh-HK"/>
        </w:rPr>
        <w:t xml:space="preserve">GRS will examine the reasons put forth by the B/D for the deferral request.  Simple reasons such as </w:t>
      </w:r>
      <w:r>
        <w:rPr>
          <w:rFonts w:cs="Arial"/>
          <w:lang w:eastAsia="zh-HK"/>
        </w:rPr>
        <w:t>"</w:t>
      </w:r>
      <w:r w:rsidRPr="00F23E01">
        <w:rPr>
          <w:rFonts w:cs="Arial"/>
          <w:lang w:eastAsia="zh-HK"/>
        </w:rPr>
        <w:t>operational need</w:t>
      </w:r>
      <w:r>
        <w:rPr>
          <w:rFonts w:cs="Arial"/>
          <w:lang w:eastAsia="zh-HK"/>
        </w:rPr>
        <w:t>"</w:t>
      </w:r>
      <w:r w:rsidRPr="00F23E01">
        <w:rPr>
          <w:rFonts w:cs="Arial"/>
          <w:lang w:eastAsia="zh-HK"/>
        </w:rPr>
        <w:t xml:space="preserve"> or </w:t>
      </w:r>
      <w:r>
        <w:rPr>
          <w:rFonts w:cs="Arial"/>
          <w:lang w:eastAsia="zh-HK"/>
        </w:rPr>
        <w:t>"</w:t>
      </w:r>
      <w:r w:rsidRPr="00F23E01">
        <w:rPr>
          <w:rFonts w:cs="Arial"/>
          <w:lang w:eastAsia="zh-HK"/>
        </w:rPr>
        <w:t>for reference</w:t>
      </w:r>
      <w:r>
        <w:rPr>
          <w:rFonts w:cs="Arial"/>
          <w:lang w:eastAsia="zh-HK"/>
        </w:rPr>
        <w:t>"</w:t>
      </w:r>
      <w:r w:rsidRPr="00F23E01">
        <w:rPr>
          <w:rFonts w:cs="Arial"/>
          <w:lang w:eastAsia="zh-HK"/>
        </w:rPr>
        <w:t xml:space="preserve"> will not be accepted.  </w:t>
      </w:r>
      <w:r>
        <w:rPr>
          <w:rFonts w:cs="Arial"/>
          <w:lang w:eastAsia="zh-HK"/>
        </w:rPr>
        <w:t xml:space="preserve">The </w:t>
      </w:r>
      <w:r w:rsidRPr="00F23E01">
        <w:rPr>
          <w:rFonts w:cs="Arial"/>
          <w:lang w:eastAsia="zh-HK"/>
        </w:rPr>
        <w:t xml:space="preserve">GRS will object to a </w:t>
      </w:r>
      <w:r>
        <w:rPr>
          <w:rFonts w:cs="Arial"/>
          <w:lang w:eastAsia="zh-HK"/>
        </w:rPr>
        <w:t xml:space="preserve">deferral </w:t>
      </w:r>
      <w:r w:rsidRPr="00F23E01">
        <w:rPr>
          <w:rFonts w:cs="Arial"/>
          <w:lang w:eastAsia="zh-HK"/>
        </w:rPr>
        <w:t xml:space="preserve">request if no good justification is given.  If </w:t>
      </w:r>
      <w:r w:rsidRPr="00F23E01">
        <w:rPr>
          <w:rFonts w:cs="Arial"/>
          <w:lang w:eastAsia="zh-HK"/>
        </w:rPr>
        <w:lastRenderedPageBreak/>
        <w:t xml:space="preserve">the reasons put forth by the B/D are considered justifiable, </w:t>
      </w:r>
      <w:r>
        <w:rPr>
          <w:rFonts w:cs="Arial"/>
          <w:lang w:eastAsia="zh-HK"/>
        </w:rPr>
        <w:t xml:space="preserve">the </w:t>
      </w:r>
      <w:r w:rsidRPr="00F23E01">
        <w:rPr>
          <w:rFonts w:cs="Arial"/>
          <w:lang w:eastAsia="zh-HK"/>
        </w:rPr>
        <w:t>GRS will give agreement to the deferral request for a period of up to two years.</w:t>
      </w:r>
    </w:p>
    <w:p w:rsidR="00B27FD2" w:rsidRDefault="00B27FD2" w:rsidP="00D86E22">
      <w:pPr>
        <w:rPr>
          <w:rFonts w:cs="Arial"/>
          <w:lang w:eastAsia="zh-HK"/>
        </w:rPr>
      </w:pPr>
    </w:p>
    <w:p w:rsidR="00B27FD2" w:rsidRPr="00561558" w:rsidRDefault="00B27FD2" w:rsidP="00D86E22">
      <w:pPr>
        <w:rPr>
          <w:rFonts w:cs="Arial"/>
          <w:lang w:eastAsia="zh-HK"/>
        </w:rPr>
      </w:pPr>
    </w:p>
    <w:p w:rsidR="00B27FD2" w:rsidRPr="006A3670" w:rsidRDefault="00B27FD2" w:rsidP="00440249">
      <w:pPr>
        <w:tabs>
          <w:tab w:val="clear" w:pos="1418"/>
          <w:tab w:val="left" w:pos="720"/>
        </w:tabs>
        <w:rPr>
          <w:rFonts w:cs="Arial"/>
          <w:b/>
          <w:lang w:eastAsia="zh-HK"/>
        </w:rPr>
      </w:pPr>
      <w:r w:rsidRPr="006A3670">
        <w:rPr>
          <w:rFonts w:cs="Arial"/>
          <w:b/>
          <w:lang w:eastAsia="zh-HK"/>
        </w:rPr>
        <w:t xml:space="preserve">(5) </w:t>
      </w:r>
      <w:r w:rsidRPr="006A3670">
        <w:rPr>
          <w:rFonts w:cs="Arial"/>
          <w:b/>
          <w:lang w:eastAsia="zh-HK"/>
        </w:rPr>
        <w:tab/>
        <w:t>GRS</w:t>
      </w:r>
      <w:r>
        <w:rPr>
          <w:rFonts w:cs="Arial"/>
          <w:b/>
          <w:lang w:eastAsia="zh-HK"/>
        </w:rPr>
        <w:t>'</w:t>
      </w:r>
      <w:r w:rsidRPr="006A3670">
        <w:rPr>
          <w:rFonts w:cs="Arial"/>
          <w:b/>
          <w:lang w:eastAsia="zh-HK"/>
        </w:rPr>
        <w:t xml:space="preserve"> </w:t>
      </w:r>
      <w:r>
        <w:rPr>
          <w:rFonts w:cs="Arial" w:hint="eastAsia"/>
          <w:b/>
          <w:lang w:eastAsia="zh-HK"/>
        </w:rPr>
        <w:t>w</w:t>
      </w:r>
      <w:r w:rsidRPr="006A3670">
        <w:rPr>
          <w:rFonts w:cs="Arial"/>
          <w:b/>
          <w:lang w:eastAsia="zh-HK"/>
        </w:rPr>
        <w:t xml:space="preserve">ork after </w:t>
      </w:r>
      <w:r>
        <w:rPr>
          <w:rFonts w:cs="Arial" w:hint="eastAsia"/>
          <w:b/>
          <w:lang w:eastAsia="zh-HK"/>
        </w:rPr>
        <w:t>t</w:t>
      </w:r>
      <w:r w:rsidRPr="006A3670">
        <w:rPr>
          <w:rFonts w:cs="Arial"/>
          <w:b/>
          <w:lang w:eastAsia="zh-HK"/>
        </w:rPr>
        <w:t xml:space="preserve">ransfer of </w:t>
      </w:r>
      <w:r>
        <w:rPr>
          <w:rFonts w:cs="Arial" w:hint="eastAsia"/>
          <w:b/>
          <w:lang w:eastAsia="zh-HK"/>
        </w:rPr>
        <w:t>a</w:t>
      </w:r>
      <w:r w:rsidRPr="006A3670">
        <w:rPr>
          <w:rFonts w:cs="Arial"/>
          <w:b/>
          <w:lang w:eastAsia="zh-HK"/>
        </w:rPr>
        <w:t xml:space="preserve">rchival </w:t>
      </w:r>
      <w:r>
        <w:rPr>
          <w:rFonts w:cs="Arial" w:hint="eastAsia"/>
          <w:b/>
          <w:lang w:eastAsia="zh-HK"/>
        </w:rPr>
        <w:t>r</w:t>
      </w:r>
      <w:r w:rsidRPr="006A3670">
        <w:rPr>
          <w:rFonts w:cs="Arial"/>
          <w:b/>
          <w:lang w:eastAsia="zh-HK"/>
        </w:rPr>
        <w:t>ecords</w:t>
      </w:r>
    </w:p>
    <w:p w:rsidR="00B27FD2" w:rsidRDefault="00B27FD2" w:rsidP="00D86E22">
      <w:pPr>
        <w:rPr>
          <w:rFonts w:cs="Arial"/>
          <w:lang w:eastAsia="zh-HK"/>
        </w:rPr>
      </w:pPr>
    </w:p>
    <w:p w:rsidR="00B27FD2" w:rsidRDefault="00B27FD2" w:rsidP="00D86E22">
      <w:pPr>
        <w:rPr>
          <w:rFonts w:cs="Arial"/>
          <w:lang w:eastAsia="zh-HK"/>
        </w:rPr>
      </w:pPr>
      <w:r>
        <w:rPr>
          <w:rFonts w:cs="Arial"/>
          <w:lang w:eastAsia="zh-HK"/>
        </w:rPr>
        <w:t>5.1</w:t>
      </w:r>
      <w:r>
        <w:rPr>
          <w:rFonts w:cs="Arial"/>
          <w:lang w:eastAsia="zh-HK"/>
        </w:rPr>
        <w:tab/>
      </w:r>
      <w:r>
        <w:rPr>
          <w:rFonts w:cs="Arial"/>
          <w:lang w:eastAsia="zh-HK"/>
        </w:rPr>
        <w:tab/>
        <w:t>Records</w:t>
      </w:r>
      <w:r w:rsidRPr="00DE6753">
        <w:rPr>
          <w:rFonts w:cs="Arial"/>
          <w:lang w:eastAsia="zh-HK"/>
        </w:rPr>
        <w:t xml:space="preserve"> that are appraised to be of archival value will ultimately be transferred to the GRS for permanent preservation and public access subject to exemptions.  To this end, the GRS has to provide a chain of services in respect of records transferred to it, including:</w:t>
      </w:r>
    </w:p>
    <w:p w:rsidR="00B27FD2" w:rsidRDefault="00B27FD2" w:rsidP="00D86E22">
      <w:pPr>
        <w:rPr>
          <w:rFonts w:cs="Arial"/>
          <w:lang w:eastAsia="zh-HK"/>
        </w:rPr>
      </w:pPr>
    </w:p>
    <w:p w:rsidR="00B27FD2" w:rsidRPr="006A3670" w:rsidRDefault="00B27FD2" w:rsidP="00D86E22">
      <w:pPr>
        <w:pStyle w:val="ListParagraph"/>
        <w:widowControl/>
        <w:numPr>
          <w:ilvl w:val="0"/>
          <w:numId w:val="55"/>
        </w:numPr>
        <w:tabs>
          <w:tab w:val="clear" w:pos="1418"/>
        </w:tabs>
        <w:adjustRightInd/>
        <w:ind w:left="1418" w:hanging="851"/>
        <w:rPr>
          <w:rFonts w:cs="Arial"/>
          <w:lang w:eastAsia="zh-HK"/>
        </w:rPr>
      </w:pPr>
      <w:r w:rsidRPr="006A3670">
        <w:rPr>
          <w:rFonts w:cs="Arial"/>
          <w:i/>
          <w:lang w:eastAsia="zh-HK"/>
        </w:rPr>
        <w:t>Accessioning and arrangement</w:t>
      </w:r>
      <w:r w:rsidRPr="006A3670">
        <w:rPr>
          <w:rFonts w:cs="Arial"/>
          <w:lang w:eastAsia="zh-HK"/>
        </w:rPr>
        <w:t xml:space="preserve"> - Accessioning consists of, inter alia, preliminary sorting of records, registering the essential information about the records and creator</w:t>
      </w:r>
      <w:r>
        <w:rPr>
          <w:rFonts w:cs="Arial"/>
          <w:lang w:eastAsia="zh-HK"/>
        </w:rPr>
        <w:t>s</w:t>
      </w:r>
      <w:r w:rsidRPr="006A3670">
        <w:rPr>
          <w:rFonts w:cs="Arial"/>
          <w:lang w:eastAsia="zh-HK"/>
        </w:rPr>
        <w:t xml:space="preserve"> in the register.  Records are then arranged and grouped into different record series based on certain criteria such as their functions, subject matters, filing systems and physical format.</w:t>
      </w:r>
    </w:p>
    <w:p w:rsidR="00B27FD2" w:rsidRDefault="00B27FD2" w:rsidP="00D86E22">
      <w:pPr>
        <w:ind w:left="1418" w:hanging="851"/>
        <w:rPr>
          <w:rFonts w:cs="Arial"/>
          <w:lang w:eastAsia="zh-HK"/>
        </w:rPr>
      </w:pPr>
    </w:p>
    <w:p w:rsidR="00B27FD2" w:rsidRPr="006A3670" w:rsidRDefault="00B27FD2" w:rsidP="00D86E22">
      <w:pPr>
        <w:pStyle w:val="ListParagraph"/>
        <w:widowControl/>
        <w:numPr>
          <w:ilvl w:val="0"/>
          <w:numId w:val="55"/>
        </w:numPr>
        <w:tabs>
          <w:tab w:val="clear" w:pos="1418"/>
        </w:tabs>
        <w:adjustRightInd/>
        <w:ind w:left="1418" w:hanging="851"/>
        <w:rPr>
          <w:rFonts w:cs="Arial"/>
          <w:lang w:eastAsia="zh-HK"/>
        </w:rPr>
      </w:pPr>
      <w:r w:rsidRPr="006A3670">
        <w:rPr>
          <w:rFonts w:cs="Arial"/>
          <w:i/>
          <w:lang w:eastAsia="zh-HK"/>
        </w:rPr>
        <w:t>Records description</w:t>
      </w:r>
      <w:r w:rsidRPr="006A3670">
        <w:rPr>
          <w:rFonts w:cs="Arial"/>
          <w:lang w:eastAsia="zh-HK"/>
        </w:rPr>
        <w:t xml:space="preserve"> - Records description is a process of creating a finding aid or other access tools that will facilitate users in identifying the records from the voluminous archival holdings.</w:t>
      </w:r>
    </w:p>
    <w:p w:rsidR="00B27FD2" w:rsidRDefault="00B27FD2" w:rsidP="00D86E22">
      <w:pPr>
        <w:ind w:left="1418" w:hanging="851"/>
        <w:rPr>
          <w:rFonts w:cs="Arial"/>
          <w:lang w:eastAsia="zh-HK"/>
        </w:rPr>
      </w:pPr>
    </w:p>
    <w:p w:rsidR="00B27FD2" w:rsidRPr="006A3670" w:rsidRDefault="00B27FD2" w:rsidP="00D86E22">
      <w:pPr>
        <w:pStyle w:val="ListParagraph"/>
        <w:widowControl/>
        <w:numPr>
          <w:ilvl w:val="0"/>
          <w:numId w:val="55"/>
        </w:numPr>
        <w:tabs>
          <w:tab w:val="clear" w:pos="1418"/>
        </w:tabs>
        <w:adjustRightInd/>
        <w:ind w:left="1418" w:hanging="851"/>
        <w:rPr>
          <w:rFonts w:cs="Arial"/>
          <w:lang w:eastAsia="zh-HK"/>
        </w:rPr>
      </w:pPr>
      <w:r>
        <w:rPr>
          <w:rFonts w:cs="Arial"/>
          <w:i/>
          <w:lang w:eastAsia="zh-HK"/>
        </w:rPr>
        <w:t>Providing Access</w:t>
      </w:r>
      <w:r w:rsidRPr="006A3670">
        <w:rPr>
          <w:rFonts w:cs="Arial"/>
          <w:lang w:eastAsia="zh-HK"/>
        </w:rPr>
        <w:t xml:space="preserve"> - The public can access archival records at the GRS which also organises visits, seminars, workshops, thematic film shows, exhibitions and other educational activities, and prepares different kinds of online thematic resources portal.</w:t>
      </w:r>
    </w:p>
    <w:p w:rsidR="00B27FD2" w:rsidRDefault="00B27FD2" w:rsidP="00D86E22">
      <w:pPr>
        <w:ind w:left="1418" w:hanging="851"/>
        <w:rPr>
          <w:rFonts w:cs="Arial"/>
          <w:lang w:eastAsia="zh-HK"/>
        </w:rPr>
      </w:pPr>
    </w:p>
    <w:p w:rsidR="00B27FD2" w:rsidRPr="006A3670" w:rsidRDefault="00B27FD2" w:rsidP="00D86E22">
      <w:pPr>
        <w:pStyle w:val="ListParagraph"/>
        <w:widowControl/>
        <w:numPr>
          <w:ilvl w:val="0"/>
          <w:numId w:val="55"/>
        </w:numPr>
        <w:tabs>
          <w:tab w:val="clear" w:pos="1418"/>
        </w:tabs>
        <w:adjustRightInd/>
        <w:ind w:left="1418" w:hanging="851"/>
        <w:rPr>
          <w:rFonts w:cs="Arial"/>
          <w:lang w:eastAsia="zh-HK"/>
        </w:rPr>
      </w:pPr>
      <w:r w:rsidRPr="006A3670">
        <w:rPr>
          <w:rFonts w:cs="Arial"/>
          <w:i/>
          <w:lang w:eastAsia="zh-HK"/>
        </w:rPr>
        <w:t>Preservation and conservation</w:t>
      </w:r>
      <w:r w:rsidRPr="006A3670">
        <w:rPr>
          <w:rFonts w:cs="Arial"/>
          <w:lang w:eastAsia="zh-HK"/>
        </w:rPr>
        <w:t xml:space="preserve"> - Preservation is provided to all archival records once they are transferred to the GRS.  To retard the deterioration of archival records caused by ultraviolet light and dust attack, holdings in the GRS are kept inside acid free containers.  Conservation preparation and treatment are conducted to preserve and repair the deteriorated archives.</w:t>
      </w:r>
    </w:p>
    <w:p w:rsidR="00B27FD2" w:rsidRDefault="00B27FD2" w:rsidP="00D86E22">
      <w:pPr>
        <w:rPr>
          <w:rFonts w:cs="Arial"/>
          <w:lang w:eastAsia="zh-HK"/>
        </w:rPr>
      </w:pPr>
    </w:p>
    <w:p w:rsidR="00B27FD2" w:rsidRPr="00F23E01" w:rsidRDefault="00B27FD2" w:rsidP="00D86E22">
      <w:pPr>
        <w:rPr>
          <w:rFonts w:cs="Arial"/>
          <w:lang w:eastAsia="zh-HK"/>
        </w:rPr>
      </w:pPr>
    </w:p>
    <w:p w:rsidR="00B27FD2" w:rsidRPr="00F23E01" w:rsidRDefault="00B27FD2" w:rsidP="00440249">
      <w:pPr>
        <w:keepNext/>
        <w:tabs>
          <w:tab w:val="clear" w:pos="1418"/>
          <w:tab w:val="left" w:pos="720"/>
        </w:tabs>
        <w:rPr>
          <w:rFonts w:cs="Arial"/>
          <w:b/>
          <w:lang w:eastAsia="zh-HK"/>
        </w:rPr>
      </w:pPr>
      <w:r w:rsidRPr="00F23E01">
        <w:rPr>
          <w:rFonts w:cs="Arial"/>
          <w:b/>
          <w:lang w:eastAsia="zh-HK"/>
        </w:rPr>
        <w:t>(</w:t>
      </w:r>
      <w:r>
        <w:rPr>
          <w:rFonts w:cs="Arial"/>
          <w:b/>
          <w:lang w:eastAsia="zh-HK"/>
        </w:rPr>
        <w:t>6</w:t>
      </w:r>
      <w:r w:rsidRPr="00F23E01">
        <w:rPr>
          <w:rFonts w:cs="Arial"/>
          <w:b/>
          <w:lang w:eastAsia="zh-HK"/>
        </w:rPr>
        <w:t>)</w:t>
      </w:r>
      <w:r w:rsidRPr="00F23E01">
        <w:rPr>
          <w:rFonts w:cs="Arial"/>
          <w:b/>
          <w:lang w:eastAsia="zh-HK"/>
        </w:rPr>
        <w:tab/>
        <w:t>Access to archival records kept by GRS</w:t>
      </w:r>
    </w:p>
    <w:p w:rsidR="00B27FD2" w:rsidRPr="00F23E01" w:rsidRDefault="00B27FD2" w:rsidP="00D86E22">
      <w:pPr>
        <w:keepNext/>
        <w:rPr>
          <w:rFonts w:cs="Arial"/>
          <w:b/>
          <w:u w:val="single"/>
          <w:lang w:eastAsia="zh-HK"/>
        </w:rPr>
      </w:pPr>
    </w:p>
    <w:p w:rsidR="00B27FD2" w:rsidRDefault="00B27FD2" w:rsidP="00D86E22">
      <w:pPr>
        <w:rPr>
          <w:rFonts w:cs="Arial"/>
          <w:lang w:eastAsia="zh-HK"/>
        </w:rPr>
      </w:pPr>
      <w:r>
        <w:rPr>
          <w:rFonts w:cs="Arial"/>
          <w:lang w:eastAsia="zh-HK"/>
        </w:rPr>
        <w:t>6</w:t>
      </w:r>
      <w:r w:rsidRPr="00F23E01">
        <w:rPr>
          <w:rFonts w:cs="Arial"/>
          <w:lang w:eastAsia="zh-HK"/>
        </w:rPr>
        <w:t>.1</w:t>
      </w:r>
      <w:r w:rsidRPr="00F23E01">
        <w:rPr>
          <w:rFonts w:cs="Arial"/>
          <w:lang w:eastAsia="zh-HK"/>
        </w:rPr>
        <w:tab/>
      </w:r>
      <w:r w:rsidRPr="00F23E01">
        <w:rPr>
          <w:rFonts w:cs="Arial"/>
          <w:lang w:eastAsia="zh-HK"/>
        </w:rPr>
        <w:tab/>
        <w:t xml:space="preserve">Access to archival records kept by </w:t>
      </w:r>
      <w:r>
        <w:rPr>
          <w:rFonts w:cs="Arial"/>
          <w:lang w:eastAsia="zh-HK"/>
        </w:rPr>
        <w:t xml:space="preserve">the </w:t>
      </w:r>
      <w:r w:rsidRPr="00F23E01">
        <w:rPr>
          <w:rFonts w:cs="Arial"/>
          <w:lang w:eastAsia="zh-HK"/>
        </w:rPr>
        <w:t xml:space="preserve">GRS is managed through the </w:t>
      </w:r>
      <w:r>
        <w:rPr>
          <w:rFonts w:cs="Arial"/>
          <w:lang w:eastAsia="zh-HK"/>
        </w:rPr>
        <w:t xml:space="preserve">PRAR (ie </w:t>
      </w:r>
      <w:r w:rsidRPr="00F23E01">
        <w:rPr>
          <w:rFonts w:cs="Arial"/>
          <w:lang w:eastAsia="zh-HK"/>
        </w:rPr>
        <w:t>Public Records (Access) Rules 1996</w:t>
      </w:r>
      <w:r>
        <w:rPr>
          <w:rFonts w:cs="Arial"/>
          <w:lang w:eastAsia="zh-HK"/>
        </w:rPr>
        <w:t>)</w:t>
      </w:r>
      <w:r w:rsidRPr="00F23E01">
        <w:rPr>
          <w:rFonts w:cs="Arial"/>
          <w:lang w:eastAsia="zh-HK"/>
        </w:rPr>
        <w:t xml:space="preserve">. </w:t>
      </w:r>
      <w:r>
        <w:rPr>
          <w:rFonts w:cs="Arial"/>
          <w:lang w:eastAsia="zh-HK"/>
        </w:rPr>
        <w:t xml:space="preserve"> </w:t>
      </w:r>
      <w:r w:rsidRPr="00375EDB">
        <w:rPr>
          <w:rFonts w:cs="Arial"/>
          <w:lang w:eastAsia="zh-HK"/>
        </w:rPr>
        <w:t>Subject to the provisions of the</w:t>
      </w:r>
      <w:r>
        <w:rPr>
          <w:rFonts w:cs="Arial"/>
          <w:lang w:eastAsia="zh-HK"/>
        </w:rPr>
        <w:t xml:space="preserve"> PRAR</w:t>
      </w:r>
      <w:r w:rsidRPr="00375EDB">
        <w:rPr>
          <w:rFonts w:cs="Arial"/>
          <w:lang w:eastAsia="zh-HK"/>
        </w:rPr>
        <w:t xml:space="preserve"> and the laws of Hong Kong, public records</w:t>
      </w:r>
    </w:p>
    <w:p w:rsidR="00B27FD2" w:rsidRDefault="00B27FD2" w:rsidP="00D86E22">
      <w:pPr>
        <w:rPr>
          <w:rFonts w:cs="Arial"/>
          <w:lang w:eastAsia="zh-HK"/>
        </w:rPr>
      </w:pPr>
    </w:p>
    <w:p w:rsidR="00B27FD2" w:rsidRDefault="00B27FD2" w:rsidP="00D86E22">
      <w:pPr>
        <w:pStyle w:val="ListParagraph"/>
        <w:widowControl/>
        <w:numPr>
          <w:ilvl w:val="0"/>
          <w:numId w:val="56"/>
        </w:numPr>
        <w:tabs>
          <w:tab w:val="clear" w:pos="1418"/>
        </w:tabs>
        <w:adjustRightInd/>
        <w:ind w:left="1418" w:hanging="851"/>
        <w:rPr>
          <w:rFonts w:cs="Arial"/>
          <w:lang w:eastAsia="zh-HK"/>
        </w:rPr>
      </w:pPr>
      <w:r w:rsidRPr="00375EDB">
        <w:rPr>
          <w:rFonts w:cs="Arial"/>
          <w:lang w:eastAsia="zh-HK"/>
        </w:rPr>
        <w:t>which have been in existence for not less than thirty years; or</w:t>
      </w:r>
    </w:p>
    <w:p w:rsidR="00B27FD2" w:rsidRPr="006A3670" w:rsidRDefault="00B27FD2" w:rsidP="00D86E22">
      <w:pPr>
        <w:pStyle w:val="ListParagraph"/>
        <w:widowControl/>
        <w:numPr>
          <w:ilvl w:val="0"/>
          <w:numId w:val="56"/>
        </w:numPr>
        <w:tabs>
          <w:tab w:val="clear" w:pos="1418"/>
        </w:tabs>
        <w:adjustRightInd/>
        <w:ind w:left="1418" w:hanging="851"/>
        <w:rPr>
          <w:rFonts w:cs="Arial"/>
          <w:lang w:eastAsia="zh-HK"/>
        </w:rPr>
      </w:pPr>
      <w:r w:rsidRPr="00375EDB">
        <w:rPr>
          <w:rFonts w:cs="Arial"/>
          <w:lang w:eastAsia="zh-HK"/>
        </w:rPr>
        <w:t>the contents of which have at any time been published or otherwise wholly disclosed to the public,</w:t>
      </w:r>
    </w:p>
    <w:p w:rsidR="00B27FD2" w:rsidRDefault="00B27FD2" w:rsidP="00D86E22">
      <w:pPr>
        <w:rPr>
          <w:rFonts w:cs="Arial"/>
          <w:lang w:eastAsia="zh-HK"/>
        </w:rPr>
      </w:pPr>
    </w:p>
    <w:p w:rsidR="00B27FD2" w:rsidRDefault="00B27FD2" w:rsidP="00D86E22">
      <w:pPr>
        <w:ind w:left="567"/>
        <w:rPr>
          <w:rFonts w:cs="Arial"/>
          <w:lang w:eastAsia="zh-HK"/>
        </w:rPr>
      </w:pPr>
      <w:r>
        <w:rPr>
          <w:rFonts w:cs="Arial"/>
          <w:lang w:eastAsia="zh-HK"/>
        </w:rPr>
        <w:t>shall be available for public inspection.</w:t>
      </w:r>
      <w:r>
        <w:rPr>
          <w:rStyle w:val="FootnoteReference"/>
          <w:rFonts w:cs="Arial"/>
          <w:lang w:eastAsia="zh-HK"/>
        </w:rPr>
        <w:footnoteReference w:id="647"/>
      </w:r>
    </w:p>
    <w:p w:rsidR="00B27FD2" w:rsidRPr="00F23E01" w:rsidRDefault="00B27FD2" w:rsidP="00D86E22">
      <w:pPr>
        <w:ind w:left="567"/>
        <w:rPr>
          <w:rFonts w:cs="Arial"/>
          <w:lang w:eastAsia="zh-HK"/>
        </w:rPr>
      </w:pPr>
    </w:p>
    <w:p w:rsidR="00B27FD2" w:rsidRPr="00F23E01" w:rsidRDefault="00B27FD2" w:rsidP="00D86E22">
      <w:pPr>
        <w:rPr>
          <w:rFonts w:cs="Arial"/>
          <w:lang w:eastAsia="zh-HK"/>
        </w:rPr>
      </w:pPr>
      <w:r>
        <w:rPr>
          <w:rFonts w:cs="Arial"/>
          <w:lang w:eastAsia="zh-HK"/>
        </w:rPr>
        <w:t>6</w:t>
      </w:r>
      <w:r w:rsidRPr="00F23E01">
        <w:rPr>
          <w:rFonts w:cs="Arial"/>
          <w:lang w:eastAsia="zh-HK"/>
        </w:rPr>
        <w:t>.2</w:t>
      </w:r>
      <w:r w:rsidRPr="00F23E01">
        <w:rPr>
          <w:rFonts w:cs="Arial"/>
          <w:lang w:eastAsia="zh-HK"/>
        </w:rPr>
        <w:tab/>
      </w:r>
      <w:r w:rsidRPr="00F23E01">
        <w:rPr>
          <w:rFonts w:cs="Arial"/>
          <w:lang w:eastAsia="zh-HK"/>
        </w:rPr>
        <w:tab/>
        <w:t>The GRS Director may, in his discretion and in accordance with general instructions given to him by the Chief Secretary</w:t>
      </w:r>
      <w:r>
        <w:rPr>
          <w:rFonts w:cs="Arial"/>
          <w:lang w:eastAsia="zh-HK"/>
        </w:rPr>
        <w:t xml:space="preserve"> for Administration</w:t>
      </w:r>
      <w:r w:rsidRPr="00F23E01">
        <w:rPr>
          <w:rFonts w:cs="Arial"/>
          <w:lang w:eastAsia="zh-HK"/>
        </w:rPr>
        <w:t xml:space="preserve">, permit any person to inspect closed records held in </w:t>
      </w:r>
      <w:r>
        <w:rPr>
          <w:rFonts w:cs="Arial"/>
          <w:lang w:eastAsia="zh-HK"/>
        </w:rPr>
        <w:t xml:space="preserve">the </w:t>
      </w:r>
      <w:r w:rsidRPr="00F23E01">
        <w:rPr>
          <w:rFonts w:cs="Arial"/>
          <w:lang w:eastAsia="zh-HK"/>
        </w:rPr>
        <w:t>GRS.</w:t>
      </w:r>
    </w:p>
    <w:p w:rsidR="00B27FD2" w:rsidRPr="00F23E01" w:rsidRDefault="00B27FD2" w:rsidP="00D86E22">
      <w:pPr>
        <w:ind w:left="480"/>
        <w:rPr>
          <w:rFonts w:cs="Arial"/>
          <w:lang w:eastAsia="zh-HK"/>
        </w:rPr>
      </w:pPr>
    </w:p>
    <w:p w:rsidR="00B27FD2" w:rsidRPr="00F23E01" w:rsidRDefault="00B27FD2" w:rsidP="00D86E22">
      <w:pPr>
        <w:rPr>
          <w:rFonts w:cs="Arial"/>
          <w:lang w:eastAsia="zh-HK"/>
        </w:rPr>
      </w:pPr>
      <w:r>
        <w:rPr>
          <w:rFonts w:cs="Arial"/>
          <w:lang w:eastAsia="zh-HK"/>
        </w:rPr>
        <w:t>6</w:t>
      </w:r>
      <w:r w:rsidRPr="00F23E01">
        <w:rPr>
          <w:rFonts w:cs="Arial"/>
          <w:lang w:eastAsia="zh-HK"/>
        </w:rPr>
        <w:t>.3</w:t>
      </w:r>
      <w:r w:rsidRPr="00F23E01">
        <w:rPr>
          <w:rFonts w:cs="Arial"/>
          <w:lang w:eastAsia="zh-HK"/>
        </w:rPr>
        <w:tab/>
      </w:r>
      <w:r w:rsidRPr="00F23E01">
        <w:rPr>
          <w:rFonts w:cs="Arial"/>
          <w:lang w:eastAsia="zh-HK"/>
        </w:rPr>
        <w:tab/>
        <w:t xml:space="preserve">For access to closed records, members of the public may apply in writing to </w:t>
      </w:r>
      <w:r>
        <w:rPr>
          <w:rFonts w:cs="Arial"/>
          <w:lang w:eastAsia="zh-HK"/>
        </w:rPr>
        <w:t xml:space="preserve">the </w:t>
      </w:r>
      <w:r w:rsidRPr="00F23E01">
        <w:rPr>
          <w:rFonts w:cs="Arial"/>
          <w:lang w:eastAsia="zh-HK"/>
        </w:rPr>
        <w:t xml:space="preserve">GRS.  </w:t>
      </w:r>
      <w:r>
        <w:rPr>
          <w:rFonts w:cs="Arial"/>
          <w:lang w:eastAsia="zh-HK"/>
        </w:rPr>
        <w:t xml:space="preserve">The </w:t>
      </w:r>
      <w:r w:rsidRPr="00F23E01">
        <w:rPr>
          <w:rFonts w:cs="Arial"/>
          <w:lang w:eastAsia="zh-HK"/>
        </w:rPr>
        <w:t>GRS will seek the views of the records originating or transferring B/Ds on whether access to the records can be granted.</w:t>
      </w:r>
    </w:p>
    <w:p w:rsidR="00B27FD2" w:rsidRPr="00F23E01" w:rsidRDefault="00B27FD2" w:rsidP="00D86E22">
      <w:pPr>
        <w:rPr>
          <w:rFonts w:cs="Arial"/>
          <w:lang w:eastAsia="zh-HK"/>
        </w:rPr>
      </w:pPr>
    </w:p>
    <w:p w:rsidR="00B27FD2" w:rsidRPr="00F23E01" w:rsidRDefault="00B27FD2" w:rsidP="00D86E22">
      <w:pPr>
        <w:rPr>
          <w:rFonts w:cs="Arial"/>
          <w:lang w:eastAsia="zh-HK"/>
        </w:rPr>
      </w:pPr>
      <w:r>
        <w:rPr>
          <w:rFonts w:cs="Arial"/>
          <w:lang w:eastAsia="zh-HK"/>
        </w:rPr>
        <w:t>6</w:t>
      </w:r>
      <w:r w:rsidRPr="00F23E01">
        <w:rPr>
          <w:rFonts w:cs="Arial"/>
          <w:lang w:eastAsia="zh-HK"/>
        </w:rPr>
        <w:t>.4</w:t>
      </w:r>
      <w:r w:rsidRPr="00F23E01">
        <w:rPr>
          <w:rFonts w:cs="Arial"/>
          <w:lang w:eastAsia="zh-HK"/>
        </w:rPr>
        <w:tab/>
      </w:r>
      <w:r w:rsidRPr="00F23E01">
        <w:rPr>
          <w:rFonts w:cs="Arial"/>
          <w:lang w:eastAsia="zh-HK"/>
        </w:rPr>
        <w:tab/>
        <w:t xml:space="preserve">If B/Ds consider that the whole or a certain part of the records is not suitable for public inspection, they are required to provide reasons with reference to Part 2 of the </w:t>
      </w:r>
      <w:r>
        <w:rPr>
          <w:rFonts w:cs="Arial"/>
          <w:lang w:eastAsia="zh-HK"/>
        </w:rPr>
        <w:t>CAI</w:t>
      </w:r>
      <w:r w:rsidRPr="00F23E01">
        <w:rPr>
          <w:rFonts w:cs="Arial"/>
          <w:lang w:eastAsia="zh-HK"/>
        </w:rPr>
        <w:t xml:space="preserve">.  </w:t>
      </w:r>
    </w:p>
    <w:p w:rsidR="00B27FD2" w:rsidRPr="005333CF" w:rsidRDefault="00B27FD2" w:rsidP="00D86E22">
      <w:pPr>
        <w:rPr>
          <w:rFonts w:cs="Arial"/>
          <w:lang w:eastAsia="zh-HK"/>
        </w:rPr>
      </w:pPr>
    </w:p>
    <w:p w:rsidR="00B27FD2" w:rsidRPr="00F23E01" w:rsidRDefault="00B27FD2" w:rsidP="00D86E22">
      <w:pPr>
        <w:rPr>
          <w:rFonts w:cs="Arial"/>
          <w:lang w:eastAsia="zh-HK"/>
        </w:rPr>
      </w:pPr>
      <w:r>
        <w:rPr>
          <w:rFonts w:cs="Arial"/>
          <w:lang w:eastAsia="zh-HK"/>
        </w:rPr>
        <w:t>6</w:t>
      </w:r>
      <w:r w:rsidRPr="00F23E01">
        <w:rPr>
          <w:rFonts w:cs="Arial"/>
          <w:lang w:eastAsia="zh-HK"/>
        </w:rPr>
        <w:t>.5</w:t>
      </w:r>
      <w:r w:rsidRPr="00F23E01">
        <w:rPr>
          <w:rFonts w:cs="Arial"/>
          <w:lang w:eastAsia="zh-HK"/>
        </w:rPr>
        <w:tab/>
      </w:r>
      <w:r w:rsidRPr="00F23E01">
        <w:rPr>
          <w:rFonts w:cs="Arial"/>
          <w:lang w:eastAsia="zh-HK"/>
        </w:rPr>
        <w:tab/>
      </w:r>
      <w:r>
        <w:rPr>
          <w:rFonts w:cs="Arial"/>
          <w:lang w:eastAsia="zh-HK"/>
        </w:rPr>
        <w:t xml:space="preserve">The </w:t>
      </w:r>
      <w:r w:rsidRPr="00F23E01">
        <w:rPr>
          <w:rFonts w:cs="Arial"/>
          <w:lang w:eastAsia="zh-HK"/>
        </w:rPr>
        <w:t>GRS will have regard to the views of the B/Ds concerned, any statutory or administrative requirements related to the protection of personal data and the provisions of the C</w:t>
      </w:r>
      <w:r>
        <w:rPr>
          <w:rFonts w:cs="Arial"/>
          <w:lang w:eastAsia="zh-HK"/>
        </w:rPr>
        <w:t>AI</w:t>
      </w:r>
      <w:r w:rsidRPr="00F23E01">
        <w:rPr>
          <w:rFonts w:cs="Arial"/>
          <w:lang w:eastAsia="zh-HK"/>
        </w:rPr>
        <w:t xml:space="preserve"> in accordance with the instructions issued by </w:t>
      </w:r>
      <w:r>
        <w:rPr>
          <w:rFonts w:cs="Arial"/>
          <w:lang w:eastAsia="zh-HK"/>
        </w:rPr>
        <w:t xml:space="preserve">the </w:t>
      </w:r>
      <w:r w:rsidRPr="00F23E01">
        <w:rPr>
          <w:rFonts w:cs="Arial"/>
          <w:lang w:eastAsia="zh-HK"/>
        </w:rPr>
        <w:t>C</w:t>
      </w:r>
      <w:r>
        <w:rPr>
          <w:rFonts w:cs="Arial"/>
          <w:lang w:eastAsia="zh-HK"/>
        </w:rPr>
        <w:t xml:space="preserve">hief </w:t>
      </w:r>
      <w:r w:rsidRPr="00F23E01">
        <w:rPr>
          <w:rFonts w:cs="Arial"/>
          <w:lang w:eastAsia="zh-HK"/>
        </w:rPr>
        <w:t>S</w:t>
      </w:r>
      <w:r>
        <w:rPr>
          <w:rFonts w:cs="Arial"/>
          <w:lang w:eastAsia="zh-HK"/>
        </w:rPr>
        <w:t>ecretary</w:t>
      </w:r>
      <w:r w:rsidRPr="00F23E01">
        <w:rPr>
          <w:rFonts w:cs="Arial"/>
          <w:lang w:eastAsia="zh-HK"/>
        </w:rPr>
        <w:t xml:space="preserve"> </w:t>
      </w:r>
      <w:r>
        <w:rPr>
          <w:rFonts w:cs="Arial"/>
          <w:lang w:eastAsia="zh-HK"/>
        </w:rPr>
        <w:t xml:space="preserve">for Administration </w:t>
      </w:r>
      <w:r w:rsidRPr="00F23E01">
        <w:rPr>
          <w:rFonts w:cs="Arial"/>
          <w:lang w:eastAsia="zh-HK"/>
        </w:rPr>
        <w:t xml:space="preserve">before informing the applicants of the results. </w:t>
      </w:r>
    </w:p>
    <w:p w:rsidR="00B27FD2" w:rsidRPr="00F23E01" w:rsidRDefault="00B27FD2" w:rsidP="00D86E22">
      <w:pPr>
        <w:rPr>
          <w:rFonts w:cs="Arial"/>
          <w:lang w:eastAsia="zh-HK"/>
        </w:rPr>
      </w:pPr>
      <w:r w:rsidRPr="00F23E01">
        <w:rPr>
          <w:rFonts w:cs="Arial"/>
          <w:lang w:eastAsia="zh-HK"/>
        </w:rPr>
        <w:t xml:space="preserve"> </w:t>
      </w:r>
    </w:p>
    <w:p w:rsidR="00B27FD2" w:rsidRPr="00F23E01" w:rsidRDefault="00B27FD2" w:rsidP="00D86E22">
      <w:pPr>
        <w:rPr>
          <w:rFonts w:cs="Arial"/>
          <w:lang w:eastAsia="zh-HK"/>
        </w:rPr>
      </w:pPr>
      <w:r>
        <w:rPr>
          <w:rFonts w:cs="Arial"/>
          <w:lang w:eastAsia="zh-HK"/>
        </w:rPr>
        <w:t>6</w:t>
      </w:r>
      <w:r w:rsidRPr="00F23E01">
        <w:rPr>
          <w:rFonts w:cs="Arial"/>
          <w:lang w:eastAsia="zh-HK"/>
        </w:rPr>
        <w:t>.6</w:t>
      </w:r>
      <w:r w:rsidRPr="00F23E01">
        <w:rPr>
          <w:rFonts w:cs="Arial"/>
          <w:lang w:eastAsia="zh-HK"/>
        </w:rPr>
        <w:tab/>
      </w:r>
      <w:r w:rsidRPr="00F23E01">
        <w:rPr>
          <w:rFonts w:cs="Arial"/>
          <w:lang w:eastAsia="zh-HK"/>
        </w:rPr>
        <w:tab/>
        <w:t xml:space="preserve">If an access application is refused, </w:t>
      </w:r>
      <w:r>
        <w:rPr>
          <w:rFonts w:cs="Arial"/>
          <w:lang w:eastAsia="zh-HK"/>
        </w:rPr>
        <w:t xml:space="preserve">the </w:t>
      </w:r>
      <w:r w:rsidRPr="00F23E01">
        <w:rPr>
          <w:rFonts w:cs="Arial"/>
          <w:lang w:eastAsia="zh-HK"/>
        </w:rPr>
        <w:t>GRS will provide the reasons for refusal by quoting the relevant provisions in Part 2 of the C</w:t>
      </w:r>
      <w:r>
        <w:rPr>
          <w:rFonts w:cs="Arial"/>
          <w:lang w:eastAsia="zh-HK"/>
        </w:rPr>
        <w:t>AI</w:t>
      </w:r>
      <w:r w:rsidRPr="00F23E01">
        <w:rPr>
          <w:rFonts w:cs="Arial"/>
          <w:lang w:eastAsia="zh-HK"/>
        </w:rPr>
        <w:t xml:space="preserve">.  </w:t>
      </w:r>
      <w:r>
        <w:rPr>
          <w:rFonts w:cs="Arial"/>
          <w:lang w:eastAsia="zh-HK"/>
        </w:rPr>
        <w:t xml:space="preserve">The </w:t>
      </w:r>
      <w:r w:rsidRPr="00F23E01">
        <w:rPr>
          <w:rFonts w:cs="Arial"/>
          <w:lang w:eastAsia="zh-HK"/>
        </w:rPr>
        <w:t>GRS has set an internal target to give the applicant a reply within 20</w:t>
      </w:r>
      <w:r>
        <w:rPr>
          <w:rFonts w:cs="Arial"/>
          <w:lang w:eastAsia="zh-HK"/>
        </w:rPr>
        <w:t> </w:t>
      </w:r>
      <w:r w:rsidRPr="00F23E01">
        <w:rPr>
          <w:rFonts w:cs="Arial"/>
          <w:lang w:eastAsia="zh-HK"/>
        </w:rPr>
        <w:t>working days from the date of receipt of the application.</w:t>
      </w:r>
    </w:p>
    <w:p w:rsidR="00B27FD2" w:rsidRPr="00F23E01" w:rsidRDefault="00B27FD2" w:rsidP="00D86E22">
      <w:pPr>
        <w:rPr>
          <w:rFonts w:cs="Arial"/>
          <w:lang w:eastAsia="zh-HK"/>
        </w:rPr>
      </w:pPr>
    </w:p>
    <w:p w:rsidR="00B27FD2" w:rsidRPr="00F23E01" w:rsidRDefault="00B27FD2" w:rsidP="00D86E22">
      <w:pPr>
        <w:rPr>
          <w:rFonts w:cs="Arial"/>
          <w:lang w:eastAsia="zh-HK"/>
        </w:rPr>
      </w:pPr>
      <w:r>
        <w:rPr>
          <w:rFonts w:cs="Arial"/>
          <w:lang w:eastAsia="zh-HK"/>
        </w:rPr>
        <w:t>6</w:t>
      </w:r>
      <w:r w:rsidRPr="00F23E01">
        <w:rPr>
          <w:rFonts w:cs="Arial"/>
          <w:lang w:eastAsia="zh-HK"/>
        </w:rPr>
        <w:t>.7</w:t>
      </w:r>
      <w:r w:rsidRPr="00F23E01">
        <w:rPr>
          <w:rFonts w:cs="Arial"/>
          <w:lang w:eastAsia="zh-HK"/>
        </w:rPr>
        <w:tab/>
      </w:r>
      <w:r w:rsidRPr="00F23E01">
        <w:rPr>
          <w:rFonts w:cs="Arial"/>
          <w:lang w:eastAsia="zh-HK"/>
        </w:rPr>
        <w:tab/>
      </w:r>
      <w:r>
        <w:rPr>
          <w:rFonts w:cs="Arial"/>
          <w:lang w:eastAsia="zh-HK"/>
        </w:rPr>
        <w:t xml:space="preserve">The public may </w:t>
      </w:r>
      <w:r w:rsidRPr="00F23E01">
        <w:rPr>
          <w:rFonts w:cs="Arial"/>
          <w:lang w:eastAsia="zh-HK"/>
        </w:rPr>
        <w:t>seek an appeal to the Director of Administration on a decision on access request for closed records an</w:t>
      </w:r>
      <w:r>
        <w:rPr>
          <w:rFonts w:cs="Arial"/>
          <w:lang w:eastAsia="zh-HK"/>
        </w:rPr>
        <w:t>d/or lodge a complaint with T</w:t>
      </w:r>
      <w:r w:rsidRPr="00F23E01">
        <w:rPr>
          <w:rFonts w:cs="Arial"/>
          <w:lang w:eastAsia="zh-HK"/>
        </w:rPr>
        <w:t xml:space="preserve">he Ombudsman if they are </w:t>
      </w:r>
      <w:r>
        <w:rPr>
          <w:rFonts w:cs="Arial"/>
          <w:lang w:eastAsia="zh-HK"/>
        </w:rPr>
        <w:t xml:space="preserve">not satisfied with </w:t>
      </w:r>
      <w:r w:rsidRPr="00F23E01">
        <w:rPr>
          <w:rFonts w:cs="Arial"/>
          <w:lang w:eastAsia="zh-HK"/>
        </w:rPr>
        <w:t>the handling of the access application.</w:t>
      </w:r>
    </w:p>
    <w:p w:rsidR="00B27FD2" w:rsidRDefault="00B27FD2" w:rsidP="00D86E22">
      <w:pPr>
        <w:rPr>
          <w:rFonts w:cs="Arial"/>
          <w:lang w:eastAsia="zh-HK"/>
        </w:rPr>
      </w:pPr>
    </w:p>
    <w:p w:rsidR="00B27FD2" w:rsidRPr="00F23E01" w:rsidRDefault="00B27FD2" w:rsidP="00D86E22">
      <w:pPr>
        <w:rPr>
          <w:rFonts w:cs="Arial"/>
          <w:lang w:eastAsia="zh-HK"/>
        </w:rPr>
      </w:pPr>
    </w:p>
    <w:p w:rsidR="00B27FD2" w:rsidRPr="00F23E01" w:rsidRDefault="00B27FD2" w:rsidP="00440249">
      <w:pPr>
        <w:tabs>
          <w:tab w:val="clear" w:pos="1418"/>
          <w:tab w:val="left" w:pos="720"/>
        </w:tabs>
        <w:jc w:val="left"/>
        <w:rPr>
          <w:rFonts w:cs="Arial"/>
          <w:b/>
          <w:lang w:eastAsia="zh-HK"/>
        </w:rPr>
      </w:pPr>
      <w:r w:rsidRPr="00F23E01">
        <w:rPr>
          <w:rFonts w:cs="Arial"/>
          <w:b/>
          <w:lang w:eastAsia="zh-HK"/>
        </w:rPr>
        <w:t>(</w:t>
      </w:r>
      <w:r>
        <w:rPr>
          <w:rFonts w:cs="Arial"/>
          <w:b/>
          <w:lang w:eastAsia="zh-HK"/>
        </w:rPr>
        <w:t>7</w:t>
      </w:r>
      <w:r w:rsidRPr="00F23E01">
        <w:rPr>
          <w:rFonts w:cs="Arial"/>
          <w:b/>
          <w:lang w:eastAsia="zh-HK"/>
        </w:rPr>
        <w:t>)</w:t>
      </w:r>
      <w:r w:rsidRPr="00F23E01">
        <w:rPr>
          <w:rFonts w:cs="Arial"/>
          <w:b/>
          <w:lang w:eastAsia="zh-HK"/>
        </w:rPr>
        <w:tab/>
        <w:t>Classified records review exercise</w:t>
      </w:r>
    </w:p>
    <w:p w:rsidR="00B27FD2" w:rsidRPr="00F23E01" w:rsidRDefault="00B27FD2" w:rsidP="00D86E22">
      <w:pPr>
        <w:rPr>
          <w:rFonts w:cs="Arial"/>
          <w:b/>
          <w:u w:val="single"/>
          <w:lang w:eastAsia="zh-HK"/>
        </w:rPr>
      </w:pPr>
    </w:p>
    <w:p w:rsidR="00B27FD2" w:rsidRPr="00F23E01" w:rsidRDefault="00B27FD2" w:rsidP="00D86E22">
      <w:pPr>
        <w:rPr>
          <w:rFonts w:cs="Arial"/>
          <w:lang w:eastAsia="zh-HK"/>
        </w:rPr>
      </w:pPr>
      <w:r>
        <w:rPr>
          <w:rFonts w:cs="Arial"/>
          <w:lang w:eastAsia="zh-HK"/>
        </w:rPr>
        <w:t>7</w:t>
      </w:r>
      <w:r w:rsidRPr="00F23E01">
        <w:rPr>
          <w:rFonts w:cs="Arial"/>
          <w:lang w:eastAsia="zh-HK"/>
        </w:rPr>
        <w:t>.1</w:t>
      </w:r>
      <w:r w:rsidRPr="00F23E01">
        <w:rPr>
          <w:rFonts w:cs="Arial"/>
          <w:lang w:eastAsia="zh-HK"/>
        </w:rPr>
        <w:tab/>
      </w:r>
      <w:r w:rsidRPr="00F23E01">
        <w:rPr>
          <w:rFonts w:cs="Arial"/>
          <w:lang w:eastAsia="zh-HK"/>
        </w:rPr>
        <w:tab/>
        <w:t xml:space="preserve">The Governor in Council decided in 1993 to relax the policy to allow public access to classified records older than 30 years.  Since then </w:t>
      </w:r>
      <w:r>
        <w:rPr>
          <w:rFonts w:cs="Arial"/>
          <w:lang w:eastAsia="zh-HK"/>
        </w:rPr>
        <w:t xml:space="preserve">the </w:t>
      </w:r>
      <w:r w:rsidRPr="00F23E01">
        <w:rPr>
          <w:rFonts w:cs="Arial"/>
          <w:lang w:eastAsia="zh-HK"/>
        </w:rPr>
        <w:t>GRS has been liaising with B/Ds on an annual basis to ascertain the access status of those classified archival records in its custody which are reaching 30</w:t>
      </w:r>
      <w:r>
        <w:rPr>
          <w:rFonts w:cs="Arial"/>
          <w:lang w:eastAsia="zh-HK"/>
        </w:rPr>
        <w:t> </w:t>
      </w:r>
      <w:r w:rsidRPr="00F23E01">
        <w:rPr>
          <w:rFonts w:cs="Arial"/>
          <w:lang w:eastAsia="zh-HK"/>
        </w:rPr>
        <w:t xml:space="preserve">years old and records due for further review for public access. </w:t>
      </w:r>
    </w:p>
    <w:p w:rsidR="00B27FD2" w:rsidRPr="00F23E01" w:rsidRDefault="00B27FD2" w:rsidP="00D86E22">
      <w:pPr>
        <w:rPr>
          <w:rFonts w:cs="Arial"/>
          <w:lang w:eastAsia="zh-HK"/>
        </w:rPr>
      </w:pPr>
    </w:p>
    <w:p w:rsidR="00B27FD2" w:rsidRPr="00F23E01" w:rsidRDefault="00B27FD2" w:rsidP="00D86E22">
      <w:pPr>
        <w:rPr>
          <w:rFonts w:cs="Arial"/>
          <w:lang w:eastAsia="zh-HK"/>
        </w:rPr>
      </w:pPr>
      <w:r>
        <w:rPr>
          <w:rFonts w:cs="Arial"/>
          <w:lang w:eastAsia="zh-HK"/>
        </w:rPr>
        <w:t>7</w:t>
      </w:r>
      <w:r w:rsidRPr="00F23E01">
        <w:rPr>
          <w:rFonts w:cs="Arial"/>
          <w:lang w:eastAsia="zh-HK"/>
        </w:rPr>
        <w:t>.2</w:t>
      </w:r>
      <w:r w:rsidRPr="00F23E01">
        <w:rPr>
          <w:rFonts w:cs="Arial"/>
          <w:lang w:eastAsia="zh-HK"/>
        </w:rPr>
        <w:tab/>
      </w:r>
      <w:r w:rsidRPr="00F23E01">
        <w:rPr>
          <w:rFonts w:cs="Arial"/>
          <w:lang w:eastAsia="zh-HK"/>
        </w:rPr>
        <w:tab/>
      </w:r>
      <w:r>
        <w:rPr>
          <w:rFonts w:cs="Arial"/>
          <w:lang w:eastAsia="zh-HK"/>
        </w:rPr>
        <w:t>For those records transferred prior to 1993</w:t>
      </w:r>
      <w:r w:rsidRPr="00F23E01">
        <w:rPr>
          <w:rFonts w:cs="Arial"/>
          <w:lang w:eastAsia="zh-HK"/>
        </w:rPr>
        <w:t xml:space="preserve">, </w:t>
      </w:r>
      <w:r>
        <w:rPr>
          <w:rFonts w:cs="Arial"/>
          <w:lang w:eastAsia="zh-HK"/>
        </w:rPr>
        <w:t xml:space="preserve">the </w:t>
      </w:r>
      <w:r w:rsidRPr="00F23E01">
        <w:rPr>
          <w:rFonts w:cs="Arial"/>
          <w:lang w:eastAsia="zh-HK"/>
        </w:rPr>
        <w:t>GRS identifies the records reaching 30 years old in advance and requests the B/Ds concerned to review the access status in the 29</w:t>
      </w:r>
      <w:r w:rsidRPr="00F23E01">
        <w:rPr>
          <w:rFonts w:cs="Arial"/>
          <w:vertAlign w:val="superscript"/>
          <w:lang w:eastAsia="zh-HK"/>
        </w:rPr>
        <w:t>th</w:t>
      </w:r>
      <w:r w:rsidRPr="00F23E01">
        <w:rPr>
          <w:rFonts w:cs="Arial"/>
          <w:lang w:eastAsia="zh-HK"/>
        </w:rPr>
        <w:t xml:space="preserve"> year, so as to enable timely opening of the records in the 30</w:t>
      </w:r>
      <w:r w:rsidRPr="00F23E01">
        <w:rPr>
          <w:rFonts w:cs="Arial"/>
          <w:vertAlign w:val="superscript"/>
          <w:lang w:eastAsia="zh-HK"/>
        </w:rPr>
        <w:t>th</w:t>
      </w:r>
      <w:r w:rsidRPr="00F23E01">
        <w:rPr>
          <w:rFonts w:cs="Arial"/>
          <w:lang w:eastAsia="zh-HK"/>
        </w:rPr>
        <w:t xml:space="preserve"> year if the B/Ds agree.</w:t>
      </w:r>
    </w:p>
    <w:p w:rsidR="00B27FD2" w:rsidRPr="00F23E01" w:rsidRDefault="00B27FD2" w:rsidP="00D86E22">
      <w:pPr>
        <w:pStyle w:val="ListParagraph"/>
        <w:rPr>
          <w:rFonts w:cs="Arial"/>
          <w:lang w:eastAsia="zh-HK"/>
        </w:rPr>
      </w:pPr>
    </w:p>
    <w:p w:rsidR="00B27FD2" w:rsidRPr="00F23E01" w:rsidRDefault="00B27FD2" w:rsidP="00D86E22">
      <w:pPr>
        <w:rPr>
          <w:rFonts w:cs="Arial"/>
          <w:lang w:eastAsia="zh-HK"/>
        </w:rPr>
      </w:pPr>
      <w:r>
        <w:rPr>
          <w:rFonts w:cs="Arial"/>
          <w:lang w:eastAsia="zh-HK"/>
        </w:rPr>
        <w:t>7</w:t>
      </w:r>
      <w:r w:rsidRPr="00F23E01">
        <w:rPr>
          <w:rFonts w:cs="Arial"/>
          <w:lang w:eastAsia="zh-HK"/>
        </w:rPr>
        <w:t>.3</w:t>
      </w:r>
      <w:r w:rsidRPr="00F23E01">
        <w:rPr>
          <w:rFonts w:cs="Arial"/>
          <w:lang w:eastAsia="zh-HK"/>
        </w:rPr>
        <w:tab/>
      </w:r>
      <w:r w:rsidRPr="00F23E01">
        <w:rPr>
          <w:rFonts w:cs="Arial"/>
          <w:lang w:eastAsia="zh-HK"/>
        </w:rPr>
        <w:tab/>
        <w:t>B/Ds broadly adopt the parameters set by the exemptions listed in Part 2 of the C</w:t>
      </w:r>
      <w:r>
        <w:rPr>
          <w:rFonts w:cs="Arial"/>
          <w:lang w:eastAsia="zh-HK"/>
        </w:rPr>
        <w:t xml:space="preserve">AI </w:t>
      </w:r>
      <w:r w:rsidRPr="00F23E01">
        <w:rPr>
          <w:rFonts w:cs="Arial"/>
        </w:rPr>
        <w:t xml:space="preserve">to </w:t>
      </w:r>
      <w:r w:rsidRPr="00F23E01">
        <w:rPr>
          <w:rFonts w:cs="Arial"/>
          <w:lang w:eastAsia="zh-HK"/>
        </w:rPr>
        <w:t>review their classified records.  If B/Ds do not agree to open their records in the interim, they must provide a relevant justification.</w:t>
      </w:r>
    </w:p>
    <w:p w:rsidR="00B27FD2" w:rsidRPr="00F23E01" w:rsidRDefault="00B27FD2" w:rsidP="00D86E22">
      <w:pPr>
        <w:rPr>
          <w:rFonts w:cs="Arial"/>
          <w:lang w:eastAsia="zh-HK"/>
        </w:rPr>
      </w:pPr>
    </w:p>
    <w:p w:rsidR="00B27FD2" w:rsidRPr="00F23E01" w:rsidRDefault="00B27FD2" w:rsidP="00D86E22">
      <w:pPr>
        <w:rPr>
          <w:rFonts w:cs="Arial"/>
          <w:lang w:eastAsia="zh-HK"/>
        </w:rPr>
      </w:pPr>
      <w:r>
        <w:rPr>
          <w:rFonts w:cs="Arial"/>
          <w:lang w:eastAsia="zh-HK"/>
        </w:rPr>
        <w:t>7</w:t>
      </w:r>
      <w:r w:rsidRPr="00F23E01">
        <w:rPr>
          <w:rFonts w:cs="Arial"/>
          <w:lang w:eastAsia="zh-HK"/>
        </w:rPr>
        <w:t>.4</w:t>
      </w:r>
      <w:r w:rsidRPr="00F23E01">
        <w:rPr>
          <w:rFonts w:cs="Arial"/>
          <w:lang w:eastAsia="zh-HK"/>
        </w:rPr>
        <w:tab/>
      </w:r>
      <w:r w:rsidRPr="00F23E01">
        <w:rPr>
          <w:rFonts w:cs="Arial"/>
          <w:lang w:eastAsia="zh-HK"/>
        </w:rPr>
        <w:tab/>
        <w:t xml:space="preserve">As a record should not be closed indefinitely, </w:t>
      </w:r>
      <w:r>
        <w:rPr>
          <w:rFonts w:cs="Arial"/>
          <w:lang w:eastAsia="zh-HK"/>
        </w:rPr>
        <w:t xml:space="preserve">the </w:t>
      </w:r>
      <w:r w:rsidRPr="00F23E01">
        <w:rPr>
          <w:rFonts w:cs="Arial"/>
          <w:lang w:eastAsia="zh-HK"/>
        </w:rPr>
        <w:t>GRS will require the B/Ds to review the records again every five years until the records are eventually opened.</w:t>
      </w:r>
    </w:p>
    <w:p w:rsidR="00B27FD2" w:rsidRPr="00F23E01" w:rsidRDefault="00B27FD2" w:rsidP="00D86E22">
      <w:pPr>
        <w:rPr>
          <w:rFonts w:cs="Arial"/>
          <w:lang w:eastAsia="zh-HK"/>
        </w:rPr>
      </w:pPr>
    </w:p>
    <w:p w:rsidR="00B27FD2" w:rsidRPr="00F23E01" w:rsidRDefault="00B27FD2" w:rsidP="00D86E22">
      <w:pPr>
        <w:rPr>
          <w:rFonts w:cs="Arial"/>
          <w:lang w:eastAsia="zh-HK"/>
        </w:rPr>
      </w:pPr>
      <w:r>
        <w:rPr>
          <w:rFonts w:cs="Arial"/>
          <w:lang w:eastAsia="zh-HK"/>
        </w:rPr>
        <w:t>7</w:t>
      </w:r>
      <w:r w:rsidRPr="00F23E01">
        <w:rPr>
          <w:rFonts w:cs="Arial"/>
          <w:lang w:eastAsia="zh-HK"/>
        </w:rPr>
        <w:t>.5</w:t>
      </w:r>
      <w:r w:rsidRPr="00F23E01">
        <w:rPr>
          <w:rFonts w:cs="Arial"/>
          <w:lang w:eastAsia="zh-HK"/>
        </w:rPr>
        <w:tab/>
      </w:r>
      <w:r w:rsidRPr="00F23E01">
        <w:rPr>
          <w:rFonts w:cs="Arial"/>
          <w:lang w:eastAsia="zh-HK"/>
        </w:rPr>
        <w:tab/>
        <w:t>For classified records transferred</w:t>
      </w:r>
      <w:r w:rsidRPr="00F23E01">
        <w:rPr>
          <w:rFonts w:cs="Arial"/>
        </w:rPr>
        <w:t xml:space="preserve"> </w:t>
      </w:r>
      <w:r w:rsidRPr="00F23E01">
        <w:rPr>
          <w:rFonts w:cs="Arial"/>
          <w:lang w:eastAsia="zh-HK"/>
        </w:rPr>
        <w:t xml:space="preserve">to </w:t>
      </w:r>
      <w:r>
        <w:rPr>
          <w:rFonts w:cs="Arial"/>
          <w:lang w:eastAsia="zh-HK"/>
        </w:rPr>
        <w:t xml:space="preserve">the </w:t>
      </w:r>
      <w:r w:rsidRPr="00F23E01">
        <w:rPr>
          <w:rFonts w:cs="Arial"/>
          <w:lang w:eastAsia="zh-HK"/>
        </w:rPr>
        <w:t xml:space="preserve">GRS in and after </w:t>
      </w:r>
      <w:r w:rsidRPr="00F23E01">
        <w:rPr>
          <w:rFonts w:cs="Arial"/>
        </w:rPr>
        <w:t xml:space="preserve">1993, </w:t>
      </w:r>
      <w:r w:rsidRPr="00F23E01">
        <w:rPr>
          <w:rFonts w:cs="Arial"/>
          <w:lang w:eastAsia="zh-HK"/>
        </w:rPr>
        <w:t>B/Ds</w:t>
      </w:r>
      <w:r w:rsidRPr="00F23E01">
        <w:rPr>
          <w:rFonts w:cs="Arial"/>
        </w:rPr>
        <w:t xml:space="preserve"> </w:t>
      </w:r>
      <w:r w:rsidRPr="00F23E01">
        <w:rPr>
          <w:rFonts w:cs="Arial"/>
          <w:lang w:eastAsia="zh-HK"/>
        </w:rPr>
        <w:t xml:space="preserve">should </w:t>
      </w:r>
      <w:r w:rsidRPr="00F23E01">
        <w:rPr>
          <w:rFonts w:cs="Arial"/>
        </w:rPr>
        <w:t xml:space="preserve">have reviewed </w:t>
      </w:r>
      <w:r w:rsidRPr="00F23E01">
        <w:rPr>
          <w:rFonts w:cs="Arial"/>
          <w:lang w:eastAsia="zh-HK"/>
        </w:rPr>
        <w:t xml:space="preserve">them and </w:t>
      </w:r>
      <w:r w:rsidRPr="00F23E01">
        <w:rPr>
          <w:rFonts w:cs="Arial"/>
        </w:rPr>
        <w:t>determined the</w:t>
      </w:r>
      <w:r w:rsidRPr="00F23E01">
        <w:rPr>
          <w:rFonts w:cs="Arial"/>
          <w:lang w:eastAsia="zh-HK"/>
        </w:rPr>
        <w:t>ir</w:t>
      </w:r>
      <w:r w:rsidRPr="00F23E01">
        <w:rPr>
          <w:rFonts w:cs="Arial"/>
        </w:rPr>
        <w:t xml:space="preserve"> access status when </w:t>
      </w:r>
      <w:r w:rsidRPr="00F23E01">
        <w:rPr>
          <w:rFonts w:cs="Arial"/>
          <w:lang w:eastAsia="zh-HK"/>
        </w:rPr>
        <w:t xml:space="preserve">reaching </w:t>
      </w:r>
      <w:r w:rsidRPr="00F23E01">
        <w:rPr>
          <w:rFonts w:cs="Arial"/>
        </w:rPr>
        <w:t>30 years old</w:t>
      </w:r>
      <w:r w:rsidRPr="00F23E01">
        <w:rPr>
          <w:rFonts w:cs="Arial"/>
          <w:lang w:eastAsia="zh-HK"/>
        </w:rPr>
        <w:t xml:space="preserve"> before the transfer (see </w:t>
      </w:r>
      <w:r w:rsidRPr="00D5494C">
        <w:rPr>
          <w:rFonts w:cs="Arial"/>
          <w:lang w:eastAsia="zh-HK"/>
        </w:rPr>
        <w:t>also paragraph 3.2 above).</w:t>
      </w:r>
    </w:p>
    <w:p w:rsidR="00B27FD2" w:rsidRPr="00F23E01" w:rsidRDefault="00B27FD2" w:rsidP="00D86E22">
      <w:pPr>
        <w:rPr>
          <w:rFonts w:cs="Arial"/>
          <w:lang w:eastAsia="zh-HK"/>
        </w:rPr>
      </w:pPr>
    </w:p>
    <w:p w:rsidR="00B27FD2" w:rsidRPr="00F23E01" w:rsidRDefault="00B27FD2" w:rsidP="00D86E22">
      <w:pPr>
        <w:rPr>
          <w:rFonts w:cs="Arial"/>
          <w:lang w:eastAsia="zh-HK"/>
        </w:rPr>
      </w:pPr>
    </w:p>
    <w:p w:rsidR="00B27FD2" w:rsidRPr="00F23E01" w:rsidRDefault="00B27FD2" w:rsidP="00D86E22">
      <w:pPr>
        <w:rPr>
          <w:rFonts w:cs="Arial"/>
          <w:lang w:eastAsia="zh-HK"/>
        </w:rPr>
      </w:pPr>
    </w:p>
    <w:p w:rsidR="00B27FD2" w:rsidRDefault="00B27FD2" w:rsidP="00D86E22">
      <w:pPr>
        <w:rPr>
          <w:rFonts w:cs="Arial"/>
          <w:lang w:eastAsia="zh-HK"/>
        </w:rPr>
      </w:pPr>
    </w:p>
    <w:p w:rsidR="00B27FD2" w:rsidRDefault="00B27FD2" w:rsidP="00D86E22">
      <w:pPr>
        <w:rPr>
          <w:rFonts w:cs="Arial"/>
          <w:lang w:eastAsia="zh-HK"/>
        </w:rPr>
      </w:pPr>
    </w:p>
    <w:p w:rsidR="00B27FD2" w:rsidRPr="00B50B7E" w:rsidRDefault="00B27FD2" w:rsidP="00D86E22">
      <w:pPr>
        <w:ind w:left="425"/>
        <w:jc w:val="right"/>
        <w:rPr>
          <w:b/>
          <w:noProof/>
          <w:sz w:val="26"/>
          <w:szCs w:val="26"/>
          <w:u w:val="single"/>
          <w:lang w:eastAsia="zh-HK"/>
        </w:rPr>
      </w:pPr>
    </w:p>
    <w:p w:rsidR="00B27FD2" w:rsidRDefault="00B27FD2" w:rsidP="00D86E22"/>
    <w:p w:rsidR="00B27FD2" w:rsidRPr="00AA1B17" w:rsidRDefault="00B27FD2" w:rsidP="00D86E22"/>
    <w:p w:rsidR="00B27FD2" w:rsidRPr="00AA1B17" w:rsidRDefault="00B27FD2" w:rsidP="00D86E22"/>
    <w:p w:rsidR="00B27FD2" w:rsidRPr="00AA1B17" w:rsidRDefault="00B27FD2" w:rsidP="00D86E22"/>
    <w:p w:rsidR="00B27FD2" w:rsidRPr="00AA1B17" w:rsidRDefault="00B27FD2" w:rsidP="00D86E22"/>
    <w:p w:rsidR="00B27FD2" w:rsidRDefault="00B27FD2" w:rsidP="00D86E22"/>
    <w:p w:rsidR="00B27FD2" w:rsidRPr="00AA1B17" w:rsidRDefault="00B27FD2" w:rsidP="00D86E22"/>
    <w:p w:rsidR="00876981" w:rsidRDefault="00876981" w:rsidP="007572E9">
      <w:pPr>
        <w:rPr>
          <w:rFonts w:cs="Arial"/>
          <w:b/>
          <w:sz w:val="20"/>
          <w:szCs w:val="20"/>
        </w:rPr>
        <w:sectPr w:rsidR="00876981" w:rsidSect="00D86E22">
          <w:footerReference w:type="even" r:id="rId29"/>
          <w:footerReference w:type="default" r:id="rId30"/>
          <w:footerReference w:type="first" r:id="rId31"/>
          <w:footnotePr>
            <w:numStart w:val="49"/>
            <w:numRestart w:val="eachSect"/>
          </w:footnotePr>
          <w:pgSz w:w="11906" w:h="16838" w:code="9"/>
          <w:pgMar w:top="1440" w:right="1800" w:bottom="1440" w:left="1800" w:header="720" w:footer="720" w:gutter="0"/>
          <w:cols w:space="425"/>
          <w:docGrid w:type="linesAndChars" w:linePitch="360"/>
        </w:sectPr>
      </w:pPr>
    </w:p>
    <w:p w:rsidR="00876981" w:rsidRDefault="00876981">
      <w:pPr>
        <w:jc w:val="right"/>
        <w:rPr>
          <w:rFonts w:cs="Arial"/>
          <w:b/>
          <w:noProof/>
          <w:sz w:val="26"/>
          <w:szCs w:val="26"/>
          <w:u w:val="single"/>
          <w:shd w:val="clear" w:color="auto" w:fill="FFFF66"/>
          <w:lang w:eastAsia="zh-HK"/>
        </w:rPr>
      </w:pPr>
      <w:r>
        <w:rPr>
          <w:rFonts w:cs="Arial"/>
          <w:b/>
          <w:noProof/>
          <w:sz w:val="26"/>
          <w:szCs w:val="26"/>
          <w:u w:val="single"/>
          <w:lang w:eastAsia="zh-HK"/>
        </w:rPr>
        <w:lastRenderedPageBreak/>
        <w:t>Annex III</w:t>
      </w:r>
    </w:p>
    <w:p w:rsidR="00876981" w:rsidRDefault="00876981">
      <w:pPr>
        <w:rPr>
          <w:rFonts w:cs="Arial"/>
          <w:b/>
          <w:lang w:val="en-US" w:eastAsia="zh-HK"/>
        </w:rPr>
      </w:pPr>
    </w:p>
    <w:p w:rsidR="00440249" w:rsidRPr="00440249" w:rsidRDefault="00440249">
      <w:pPr>
        <w:rPr>
          <w:rFonts w:cs="Arial"/>
          <w:b/>
          <w:lang w:val="en-US" w:eastAsia="zh-HK"/>
        </w:rPr>
      </w:pPr>
    </w:p>
    <w:p w:rsidR="00876981" w:rsidRDefault="00876981">
      <w:pPr>
        <w:rPr>
          <w:rFonts w:cs="Arial"/>
          <w:b/>
          <w:lang w:eastAsia="zh-HK"/>
        </w:rPr>
      </w:pPr>
    </w:p>
    <w:p w:rsidR="00876981" w:rsidRDefault="00876981" w:rsidP="00440249">
      <w:pPr>
        <w:jc w:val="center"/>
        <w:rPr>
          <w:rFonts w:cs="Arial"/>
          <w:b/>
          <w:sz w:val="26"/>
          <w:szCs w:val="26"/>
          <w:u w:val="single"/>
          <w:lang w:eastAsia="zh-HK"/>
        </w:rPr>
      </w:pPr>
      <w:r>
        <w:rPr>
          <w:rFonts w:cs="Arial"/>
          <w:b/>
          <w:sz w:val="26"/>
          <w:szCs w:val="26"/>
          <w:u w:val="single"/>
          <w:lang w:eastAsia="zh-HK"/>
        </w:rPr>
        <w:t xml:space="preserve">Brief </w:t>
      </w:r>
      <w:r>
        <w:rPr>
          <w:rFonts w:cs="Arial" w:hint="eastAsia"/>
          <w:b/>
          <w:sz w:val="26"/>
          <w:szCs w:val="26"/>
          <w:u w:val="single"/>
          <w:lang w:eastAsia="zh-HK"/>
        </w:rPr>
        <w:t>s</w:t>
      </w:r>
      <w:r>
        <w:rPr>
          <w:rFonts w:cs="Arial"/>
          <w:b/>
          <w:sz w:val="26"/>
          <w:szCs w:val="26"/>
          <w:u w:val="single"/>
          <w:lang w:eastAsia="zh-HK"/>
        </w:rPr>
        <w:t xml:space="preserve">ummary of </w:t>
      </w:r>
      <w:r>
        <w:rPr>
          <w:rFonts w:cs="Arial" w:hint="eastAsia"/>
          <w:b/>
          <w:sz w:val="26"/>
          <w:szCs w:val="26"/>
          <w:u w:val="single"/>
          <w:lang w:eastAsia="zh-HK"/>
        </w:rPr>
        <w:t>s</w:t>
      </w:r>
      <w:r>
        <w:rPr>
          <w:rFonts w:cs="Arial"/>
          <w:b/>
          <w:sz w:val="26"/>
          <w:szCs w:val="26"/>
          <w:u w:val="single"/>
          <w:lang w:eastAsia="zh-HK"/>
        </w:rPr>
        <w:t xml:space="preserve">urvey </w:t>
      </w:r>
      <w:r>
        <w:rPr>
          <w:rFonts w:cs="Arial" w:hint="eastAsia"/>
          <w:b/>
          <w:sz w:val="26"/>
          <w:szCs w:val="26"/>
          <w:u w:val="single"/>
          <w:lang w:eastAsia="zh-HK"/>
        </w:rPr>
        <w:t>r</w:t>
      </w:r>
      <w:r>
        <w:rPr>
          <w:rFonts w:cs="Arial"/>
          <w:b/>
          <w:sz w:val="26"/>
          <w:szCs w:val="26"/>
          <w:u w:val="single"/>
          <w:lang w:eastAsia="zh-HK"/>
        </w:rPr>
        <w:t>esults</w:t>
      </w:r>
    </w:p>
    <w:p w:rsidR="00876981" w:rsidRDefault="00876981">
      <w:pPr>
        <w:rPr>
          <w:rFonts w:cs="Arial"/>
        </w:rPr>
      </w:pPr>
    </w:p>
    <w:p w:rsidR="00876981" w:rsidRDefault="00876981">
      <w:pPr>
        <w:rPr>
          <w:rFonts w:cs="Arial"/>
        </w:rPr>
      </w:pPr>
    </w:p>
    <w:p w:rsidR="00876981" w:rsidRDefault="00876981">
      <w:pPr>
        <w:rPr>
          <w:rFonts w:cs="Arial"/>
        </w:rPr>
      </w:pPr>
      <w:r>
        <w:rPr>
          <w:rFonts w:cs="Arial"/>
        </w:rPr>
        <w:t>1.</w:t>
      </w:r>
      <w:r>
        <w:rPr>
          <w:rFonts w:cs="Arial"/>
        </w:rPr>
        <w:tab/>
      </w:r>
      <w:r>
        <w:rPr>
          <w:rFonts w:cs="Arial"/>
        </w:rPr>
        <w:tab/>
        <w:t>The Sub-committee conducted two rounds of survey (in June 2016 ("1</w:t>
      </w:r>
      <w:r>
        <w:rPr>
          <w:rFonts w:cs="Arial"/>
          <w:vertAlign w:val="superscript"/>
        </w:rPr>
        <w:t xml:space="preserve">st </w:t>
      </w:r>
      <w:r>
        <w:rPr>
          <w:rFonts w:cs="Arial"/>
        </w:rPr>
        <w:t>round survey") and February 2017 ("2</w:t>
      </w:r>
      <w:r>
        <w:rPr>
          <w:rFonts w:cs="Arial"/>
          <w:vertAlign w:val="superscript"/>
        </w:rPr>
        <w:t>nd</w:t>
      </w:r>
      <w:r>
        <w:rPr>
          <w:rFonts w:cs="Arial"/>
        </w:rPr>
        <w:t xml:space="preserve"> round survey")) for the following purposes:-</w:t>
      </w:r>
    </w:p>
    <w:p w:rsidR="00876981" w:rsidRDefault="00876981">
      <w:pPr>
        <w:rPr>
          <w:rFonts w:cs="Arial"/>
        </w:rPr>
      </w:pPr>
    </w:p>
    <w:p w:rsidR="00876981" w:rsidRDefault="00876981">
      <w:pPr>
        <w:tabs>
          <w:tab w:val="clear" w:pos="1418"/>
          <w:tab w:val="left" w:pos="1440"/>
        </w:tabs>
        <w:ind w:left="1440" w:hanging="720"/>
        <w:rPr>
          <w:rFonts w:cs="Arial"/>
        </w:rPr>
      </w:pPr>
      <w:r>
        <w:rPr>
          <w:rFonts w:cs="Arial"/>
        </w:rPr>
        <w:t xml:space="preserve">(i) </w:t>
      </w:r>
      <w:r>
        <w:rPr>
          <w:rFonts w:cs="Arial" w:hint="eastAsia"/>
        </w:rPr>
        <w:tab/>
      </w:r>
      <w:r>
        <w:rPr>
          <w:rFonts w:cs="Arial"/>
        </w:rPr>
        <w:t>to obtain information about the records management system and practices of public bodies in Hong Kong;</w:t>
      </w:r>
    </w:p>
    <w:p w:rsidR="00876981" w:rsidRDefault="00876981">
      <w:pPr>
        <w:rPr>
          <w:rFonts w:cs="Arial"/>
        </w:rPr>
      </w:pPr>
    </w:p>
    <w:p w:rsidR="00876981" w:rsidRDefault="00876981">
      <w:pPr>
        <w:tabs>
          <w:tab w:val="clear" w:pos="1418"/>
          <w:tab w:val="left" w:pos="1440"/>
        </w:tabs>
        <w:ind w:left="1440" w:hanging="720"/>
        <w:rPr>
          <w:rFonts w:cs="Arial"/>
        </w:rPr>
      </w:pPr>
      <w:r>
        <w:rPr>
          <w:rFonts w:cs="Arial"/>
        </w:rPr>
        <w:t>(ii)</w:t>
      </w:r>
      <w:r>
        <w:rPr>
          <w:rFonts w:cs="Arial" w:hint="eastAsia"/>
        </w:rPr>
        <w:tab/>
      </w:r>
      <w:r>
        <w:rPr>
          <w:rFonts w:cs="Arial"/>
        </w:rPr>
        <w:t>to assess public bodies' willingness and readiness to adopt a set of mandatory records and archives management requirements, if introduced.</w:t>
      </w:r>
      <w:r>
        <w:rPr>
          <w:rStyle w:val="FootnoteReference"/>
          <w:rFonts w:cs="Arial"/>
        </w:rPr>
        <w:footnoteReference w:id="648"/>
      </w:r>
      <w:r>
        <w:rPr>
          <w:rFonts w:cs="Arial"/>
        </w:rPr>
        <w:t xml:space="preserve">  </w:t>
      </w:r>
    </w:p>
    <w:p w:rsidR="00876981" w:rsidRDefault="00876981">
      <w:pPr>
        <w:rPr>
          <w:rFonts w:cs="Arial"/>
          <w:b/>
          <w:u w:val="single"/>
          <w:lang w:eastAsia="zh-HK"/>
        </w:rPr>
      </w:pPr>
    </w:p>
    <w:p w:rsidR="00876981" w:rsidRDefault="00876981">
      <w:pPr>
        <w:rPr>
          <w:rFonts w:cs="Arial"/>
          <w:b/>
          <w:u w:val="single"/>
          <w:lang w:eastAsia="zh-HK"/>
        </w:rPr>
      </w:pPr>
    </w:p>
    <w:p w:rsidR="00876981" w:rsidRDefault="00876981">
      <w:pPr>
        <w:rPr>
          <w:rFonts w:cs="Arial"/>
          <w:b/>
          <w:i/>
        </w:rPr>
      </w:pPr>
      <w:r>
        <w:rPr>
          <w:rFonts w:cs="Arial"/>
          <w:b/>
          <w:i/>
        </w:rPr>
        <w:t>1</w:t>
      </w:r>
      <w:r>
        <w:rPr>
          <w:rFonts w:cs="Arial"/>
          <w:b/>
          <w:i/>
          <w:vertAlign w:val="superscript"/>
        </w:rPr>
        <w:t>st</w:t>
      </w:r>
      <w:r>
        <w:rPr>
          <w:rFonts w:cs="Arial"/>
          <w:b/>
          <w:i/>
        </w:rPr>
        <w:t xml:space="preserve"> round survey</w:t>
      </w:r>
    </w:p>
    <w:p w:rsidR="00876981" w:rsidRDefault="00876981">
      <w:pPr>
        <w:rPr>
          <w:rFonts w:cs="Arial"/>
        </w:rPr>
      </w:pPr>
    </w:p>
    <w:p w:rsidR="00876981" w:rsidRDefault="00876981">
      <w:pPr>
        <w:rPr>
          <w:rFonts w:cs="Arial"/>
        </w:rPr>
      </w:pPr>
      <w:r>
        <w:rPr>
          <w:rFonts w:cs="Arial"/>
        </w:rPr>
        <w:t>2.</w:t>
      </w:r>
      <w:r>
        <w:rPr>
          <w:rFonts w:cs="Arial"/>
        </w:rPr>
        <w:tab/>
      </w:r>
      <w:r>
        <w:rPr>
          <w:rFonts w:cs="Arial"/>
        </w:rPr>
        <w:tab/>
        <w:t>The 1</w:t>
      </w:r>
      <w:r>
        <w:rPr>
          <w:rFonts w:cs="Arial"/>
          <w:vertAlign w:val="superscript"/>
        </w:rPr>
        <w:t>st</w:t>
      </w:r>
      <w:r>
        <w:rPr>
          <w:rFonts w:cs="Arial"/>
        </w:rPr>
        <w:t xml:space="preserve"> round survey was conducted by way of a questionnaire sent to the 71 public bodies which had been invited to seminars organised by the GRS on records management, archives administration and the setting up of electronic recordkeeping systems </w:t>
      </w:r>
      <w:r w:rsidRPr="00C74A07">
        <w:rPr>
          <w:rFonts w:cs="Arial"/>
          <w:lang w:eastAsia="zh-HK"/>
        </w:rPr>
        <w:t>(ERKS</w:t>
      </w:r>
      <w:r w:rsidRPr="00C74A07">
        <w:rPr>
          <w:rFonts w:cs="Arial" w:hint="eastAsia"/>
          <w:lang w:eastAsia="zh-HK"/>
        </w:rPr>
        <w:t>s</w:t>
      </w:r>
      <w:r w:rsidRPr="00C74A07">
        <w:rPr>
          <w:rFonts w:cs="Arial"/>
          <w:lang w:eastAsia="zh-HK"/>
        </w:rPr>
        <w:t>)</w:t>
      </w:r>
      <w:r>
        <w:rPr>
          <w:rFonts w:cs="Arial" w:hint="eastAsia"/>
          <w:lang w:eastAsia="zh-HK"/>
        </w:rPr>
        <w:t xml:space="preserve"> </w:t>
      </w:r>
      <w:r>
        <w:rPr>
          <w:rFonts w:cs="Arial"/>
        </w:rPr>
        <w:t xml:space="preserve">between 2013 and 2015.  They comprised well-developed public bodies of a diverse nature, serving a broad range of different public purposes (including education, medical and health, financial, arts and sports) and have been informed of, or given training on, the advice and guidance provided in the GRMP promulgated by the GRS.  </w:t>
      </w:r>
    </w:p>
    <w:p w:rsidR="00876981" w:rsidRDefault="00876981">
      <w:pPr>
        <w:rPr>
          <w:rFonts w:cs="Arial"/>
        </w:rPr>
      </w:pPr>
    </w:p>
    <w:p w:rsidR="00876981" w:rsidRDefault="00876981">
      <w:pPr>
        <w:rPr>
          <w:rFonts w:cs="Arial"/>
        </w:rPr>
      </w:pPr>
      <w:r>
        <w:rPr>
          <w:rFonts w:cs="Arial"/>
        </w:rPr>
        <w:t xml:space="preserve">3. </w:t>
      </w:r>
      <w:r>
        <w:rPr>
          <w:rFonts w:cs="Arial"/>
        </w:rPr>
        <w:tab/>
      </w:r>
      <w:r>
        <w:rPr>
          <w:rFonts w:cs="Arial"/>
        </w:rPr>
        <w:tab/>
        <w:t xml:space="preserve">The questionnaire aimed to ascertain whether or not the subject bodies have put in place a records management programme for managing their records, and if affirmative, the details of such programme.  Questions were also posed to see if there are problems or areas that require improvement or assistance in the bodies' records management, and to seek their views as to the possible coverage of a mandatory records management regime, if any, and the types of records that should be exempted from the mandatory requirements, if any. </w:t>
      </w:r>
    </w:p>
    <w:p w:rsidR="00876981" w:rsidRDefault="00876981">
      <w:pPr>
        <w:rPr>
          <w:rFonts w:cs="Arial"/>
        </w:rPr>
      </w:pPr>
    </w:p>
    <w:p w:rsidR="00876981" w:rsidRDefault="00876981">
      <w:pPr>
        <w:rPr>
          <w:rFonts w:cs="Arial"/>
        </w:rPr>
      </w:pPr>
      <w:r>
        <w:rPr>
          <w:rFonts w:cs="Arial"/>
        </w:rPr>
        <w:t>4.</w:t>
      </w:r>
      <w:r>
        <w:rPr>
          <w:rFonts w:cs="Arial"/>
        </w:rPr>
        <w:tab/>
      </w:r>
      <w:r>
        <w:rPr>
          <w:rFonts w:cs="Arial"/>
        </w:rPr>
        <w:tab/>
        <w:t>Thus far, 55 out of the 71 public bodies have returned their completed questionnaires, giving a response rate of 77.5%.  A large majority (89.1%) of the public bodies ("</w:t>
      </w:r>
      <w:r>
        <w:rPr>
          <w:rFonts w:cs="Arial"/>
          <w:b/>
        </w:rPr>
        <w:t>Respondents</w:t>
      </w:r>
      <w:r>
        <w:rPr>
          <w:rFonts w:cs="Arial"/>
        </w:rPr>
        <w:t>") indicated that they had put in place a records management programme in their bodies, although it did not cover all records or all units or departments in the bodies, or all aspects of their records management.</w:t>
      </w:r>
    </w:p>
    <w:p w:rsidR="00876981" w:rsidRDefault="00876981">
      <w:pPr>
        <w:rPr>
          <w:rFonts w:cs="Arial"/>
        </w:rPr>
      </w:pPr>
    </w:p>
    <w:p w:rsidR="00876981" w:rsidRDefault="00876981">
      <w:pPr>
        <w:rPr>
          <w:rFonts w:cs="Arial"/>
        </w:rPr>
      </w:pPr>
      <w:r>
        <w:rPr>
          <w:rFonts w:cs="Arial"/>
        </w:rPr>
        <w:lastRenderedPageBreak/>
        <w:t>5.</w:t>
      </w:r>
      <w:r>
        <w:rPr>
          <w:rFonts w:cs="Arial"/>
        </w:rPr>
        <w:tab/>
      </w:r>
      <w:r>
        <w:rPr>
          <w:rFonts w:cs="Arial"/>
        </w:rPr>
        <w:tab/>
        <w:t xml:space="preserve">Of these Respondents, 80% have, whether fully or partially, issued guidelines on creation of records, updated records inventory, </w:t>
      </w:r>
      <w:r>
        <w:rPr>
          <w:rFonts w:cs="Arial" w:hint="eastAsia"/>
          <w:lang w:eastAsia="zh-HK"/>
        </w:rPr>
        <w:t xml:space="preserve">established </w:t>
      </w:r>
      <w:r>
        <w:rPr>
          <w:rFonts w:cs="Arial"/>
        </w:rPr>
        <w:t>retention and disposal schedule</w:t>
      </w:r>
      <w:r>
        <w:rPr>
          <w:rFonts w:cs="Arial" w:hint="eastAsia"/>
          <w:lang w:eastAsia="zh-HK"/>
        </w:rPr>
        <w:t>s</w:t>
      </w:r>
      <w:r>
        <w:rPr>
          <w:rFonts w:cs="Arial"/>
        </w:rPr>
        <w:t>, implemented procedures for destruction of records and/or kept proper storage of records.  They have also designated a senior officer to oversee records management, developed records classification schemes, implemented vital record</w:t>
      </w:r>
      <w:r>
        <w:rPr>
          <w:rFonts w:cs="Arial" w:hint="eastAsia"/>
          <w:lang w:eastAsia="zh-HK"/>
        </w:rPr>
        <w:t>s</w:t>
      </w:r>
      <w:r>
        <w:rPr>
          <w:rFonts w:cs="Arial"/>
        </w:rPr>
        <w:t xml:space="preserve"> protection measures, conducted regular reviews of records management policy or guidelines, conducted continuous monitoring of compliance and/or implemented standardised procedures to facilitate timely access/retrieval of records by authorised person.</w:t>
      </w:r>
      <w:r>
        <w:rPr>
          <w:rStyle w:val="FootnoteReference"/>
          <w:rFonts w:cs="Arial"/>
        </w:rPr>
        <w:footnoteReference w:id="649"/>
      </w:r>
      <w:r>
        <w:rPr>
          <w:rFonts w:cs="Arial"/>
        </w:rPr>
        <w:t xml:space="preserve">  </w:t>
      </w:r>
    </w:p>
    <w:p w:rsidR="00876981" w:rsidRDefault="00876981">
      <w:pPr>
        <w:rPr>
          <w:rFonts w:cs="Arial"/>
        </w:rPr>
      </w:pPr>
    </w:p>
    <w:p w:rsidR="00876981" w:rsidRDefault="00876981">
      <w:pPr>
        <w:rPr>
          <w:rFonts w:cs="Arial"/>
        </w:rPr>
      </w:pPr>
      <w:r>
        <w:rPr>
          <w:rFonts w:cs="Arial" w:hint="eastAsia"/>
        </w:rPr>
        <w:t>6.</w:t>
      </w:r>
      <w:r>
        <w:rPr>
          <w:rFonts w:cs="Arial"/>
        </w:rPr>
        <w:tab/>
      </w:r>
      <w:r>
        <w:rPr>
          <w:rFonts w:cs="Arial" w:hint="eastAsia"/>
        </w:rPr>
        <w:tab/>
      </w:r>
      <w:r>
        <w:rPr>
          <w:rFonts w:cs="Arial"/>
        </w:rPr>
        <w:t xml:space="preserve">Over 70% of the Respondents have implemented procedures for handling loss or unauthorised destruction of records, although for some of such 70%, the procedures are applicable to electronic information system or mishandling of personal data only.  Equally, 70% of the Respondents have adopted the </w:t>
      </w:r>
      <w:r w:rsidRPr="00D86E22">
        <w:rPr>
          <w:rFonts w:cs="Arial"/>
          <w:shd w:val="clear" w:color="auto" w:fill="FFFFFF"/>
        </w:rPr>
        <w:t>GRMP</w:t>
      </w:r>
      <w:r>
        <w:rPr>
          <w:rFonts w:cs="Arial"/>
        </w:rPr>
        <w:t xml:space="preserve"> published by the GRS, although some of such 70% have chosen to adhere to global standards, or statutory requirements in keeping their accounting records, and others have applied the GRMP in some but not all practices, systems, areas or aspects of their records management.  </w:t>
      </w:r>
    </w:p>
    <w:p w:rsidR="00876981" w:rsidRDefault="00876981">
      <w:pPr>
        <w:rPr>
          <w:rFonts w:cs="Arial"/>
        </w:rPr>
      </w:pPr>
    </w:p>
    <w:p w:rsidR="00876981" w:rsidRDefault="00876981">
      <w:pPr>
        <w:rPr>
          <w:rFonts w:cs="Arial"/>
        </w:rPr>
      </w:pPr>
      <w:r>
        <w:rPr>
          <w:rFonts w:cs="Arial"/>
        </w:rPr>
        <w:t>7.</w:t>
      </w:r>
      <w:r>
        <w:rPr>
          <w:rFonts w:cs="Arial"/>
        </w:rPr>
        <w:tab/>
      </w:r>
      <w:r>
        <w:rPr>
          <w:rFonts w:cs="Arial"/>
        </w:rPr>
        <w:tab/>
        <w:t>Over 60% of the Respondents have transferred their archival records to designated archives for permanent retention</w:t>
      </w:r>
      <w:r>
        <w:rPr>
          <w:rFonts w:cs="Arial" w:hint="eastAsia"/>
        </w:rPr>
        <w:t>,</w:t>
      </w:r>
      <w:r>
        <w:rPr>
          <w:rStyle w:val="FootnoteReference"/>
          <w:rFonts w:cs="Arial"/>
        </w:rPr>
        <w:footnoteReference w:id="650"/>
      </w:r>
      <w:r>
        <w:rPr>
          <w:rFonts w:cs="Arial"/>
        </w:rPr>
        <w:t xml:space="preserve"> and the majority of such 60% have provided for public access to their archival records</w:t>
      </w:r>
      <w:r>
        <w:rPr>
          <w:rFonts w:cs="Arial" w:hint="eastAsia"/>
        </w:rPr>
        <w:t>.</w:t>
      </w:r>
      <w:r>
        <w:rPr>
          <w:rStyle w:val="FootnoteReference"/>
          <w:rFonts w:cs="Arial"/>
        </w:rPr>
        <w:footnoteReference w:id="651"/>
      </w:r>
    </w:p>
    <w:p w:rsidR="00876981" w:rsidRDefault="00876981">
      <w:pPr>
        <w:rPr>
          <w:rFonts w:cs="Arial"/>
        </w:rPr>
      </w:pPr>
    </w:p>
    <w:p w:rsidR="00876981" w:rsidRDefault="00876981">
      <w:pPr>
        <w:rPr>
          <w:rFonts w:cs="Arial"/>
        </w:rPr>
      </w:pPr>
      <w:r>
        <w:rPr>
          <w:rFonts w:cs="Arial"/>
        </w:rPr>
        <w:t>8.</w:t>
      </w:r>
      <w:r>
        <w:rPr>
          <w:rFonts w:cs="Arial"/>
        </w:rPr>
        <w:tab/>
      </w:r>
      <w:r>
        <w:rPr>
          <w:rFonts w:cs="Arial"/>
        </w:rPr>
        <w:tab/>
        <w:t xml:space="preserve">Over half of the Respondents indicated that they had problems in complying with established records management guidelines and procedures.  In addition, over half have identified areas in their records management which require improvement or assistance, including resources and storage supply, expert advice and technical knowhow support, training, the need for updated guidelines, and regular monitoring of compliance.  </w:t>
      </w:r>
    </w:p>
    <w:p w:rsidR="00876981" w:rsidRDefault="00876981">
      <w:pPr>
        <w:rPr>
          <w:rFonts w:cs="Arial"/>
        </w:rPr>
      </w:pPr>
    </w:p>
    <w:p w:rsidR="00876981" w:rsidRDefault="00876981">
      <w:pPr>
        <w:rPr>
          <w:rFonts w:cs="Arial"/>
        </w:rPr>
      </w:pPr>
      <w:r>
        <w:rPr>
          <w:rFonts w:cs="Arial"/>
        </w:rPr>
        <w:t>9.</w:t>
      </w:r>
      <w:r>
        <w:rPr>
          <w:rFonts w:cs="Arial"/>
        </w:rPr>
        <w:tab/>
      </w:r>
      <w:r>
        <w:rPr>
          <w:rFonts w:cs="Arial"/>
        </w:rPr>
        <w:tab/>
        <w:t>67% of the Respondents involved in the 1</w:t>
      </w:r>
      <w:r>
        <w:rPr>
          <w:rFonts w:cs="Arial"/>
          <w:vertAlign w:val="superscript"/>
        </w:rPr>
        <w:t>st</w:t>
      </w:r>
      <w:r>
        <w:rPr>
          <w:rFonts w:cs="Arial"/>
        </w:rPr>
        <w:t xml:space="preserve"> round survey opined that certain types of their records should be exempted from the mandatory records management requirements, if any.  The main types are as follows:</w:t>
      </w:r>
    </w:p>
    <w:p w:rsidR="00876981" w:rsidRDefault="00876981">
      <w:pPr>
        <w:rPr>
          <w:rFonts w:cs="Arial"/>
        </w:rPr>
      </w:pPr>
    </w:p>
    <w:p w:rsidR="00876981" w:rsidRDefault="00876981">
      <w:pPr>
        <w:ind w:left="1440" w:hanging="720"/>
        <w:rPr>
          <w:rFonts w:cs="Arial"/>
        </w:rPr>
      </w:pPr>
      <w:r>
        <w:rPr>
          <w:rFonts w:cs="Arial"/>
        </w:rPr>
        <w:t>(i)</w:t>
      </w:r>
      <w:r>
        <w:rPr>
          <w:rFonts w:cs="Arial"/>
        </w:rPr>
        <w:tab/>
        <w:t>information subject to legislative or regulatory restriction on disclosure;</w:t>
      </w:r>
    </w:p>
    <w:p w:rsidR="00876981" w:rsidRDefault="00876981">
      <w:pPr>
        <w:ind w:left="1440" w:hanging="720"/>
        <w:rPr>
          <w:rFonts w:cs="Arial"/>
        </w:rPr>
      </w:pPr>
    </w:p>
    <w:p w:rsidR="00876981" w:rsidRDefault="00876981">
      <w:pPr>
        <w:ind w:left="1440" w:hanging="720"/>
        <w:rPr>
          <w:rFonts w:cs="Arial"/>
        </w:rPr>
      </w:pPr>
      <w:r>
        <w:rPr>
          <w:rFonts w:cs="Arial"/>
        </w:rPr>
        <w:t>(ii)</w:t>
      </w:r>
      <w:r>
        <w:rPr>
          <w:rFonts w:cs="Arial"/>
        </w:rPr>
        <w:tab/>
        <w:t>sensitive internal records relating to the body's policies, operational and internal management, including commercially sensitive documents and records of internal meetings;</w:t>
      </w:r>
    </w:p>
    <w:p w:rsidR="00876981" w:rsidRDefault="00876981">
      <w:pPr>
        <w:ind w:left="1440" w:hanging="720"/>
        <w:rPr>
          <w:rFonts w:cs="Arial"/>
        </w:rPr>
      </w:pPr>
    </w:p>
    <w:p w:rsidR="00876981" w:rsidRDefault="00876981">
      <w:pPr>
        <w:ind w:left="1440" w:hanging="720"/>
        <w:rPr>
          <w:rFonts w:cs="Arial"/>
        </w:rPr>
      </w:pPr>
      <w:r>
        <w:rPr>
          <w:rFonts w:cs="Arial"/>
        </w:rPr>
        <w:t>(iii)</w:t>
      </w:r>
      <w:r>
        <w:rPr>
          <w:rFonts w:cs="Arial"/>
        </w:rPr>
        <w:tab/>
        <w:t>documents subject to confidentiality agreements or obligations;</w:t>
      </w:r>
    </w:p>
    <w:p w:rsidR="00876981" w:rsidRPr="00F33A35" w:rsidRDefault="00876981">
      <w:pPr>
        <w:ind w:left="1440" w:hanging="720"/>
        <w:rPr>
          <w:rFonts w:cs="Arial"/>
        </w:rPr>
      </w:pPr>
    </w:p>
    <w:p w:rsidR="00876981" w:rsidRDefault="00876981">
      <w:pPr>
        <w:ind w:left="1440" w:hanging="720"/>
        <w:rPr>
          <w:rFonts w:cs="Arial"/>
        </w:rPr>
      </w:pPr>
      <w:r>
        <w:rPr>
          <w:rFonts w:cs="Arial"/>
        </w:rPr>
        <w:t xml:space="preserve">(iv) </w:t>
      </w:r>
      <w:r>
        <w:rPr>
          <w:rFonts w:cs="Arial"/>
        </w:rPr>
        <w:tab/>
        <w:t>sensitive research data, human resources and accounting records and working documents;</w:t>
      </w:r>
    </w:p>
    <w:p w:rsidR="00876981" w:rsidRDefault="00876981">
      <w:pPr>
        <w:ind w:left="1440" w:hanging="720"/>
        <w:rPr>
          <w:rFonts w:cs="Arial"/>
        </w:rPr>
      </w:pPr>
    </w:p>
    <w:p w:rsidR="00876981" w:rsidRDefault="00876981">
      <w:pPr>
        <w:ind w:left="1440" w:hanging="720"/>
        <w:rPr>
          <w:rFonts w:cs="Arial"/>
        </w:rPr>
      </w:pPr>
      <w:r>
        <w:rPr>
          <w:rFonts w:cs="Arial"/>
        </w:rPr>
        <w:t>(v)</w:t>
      </w:r>
      <w:r>
        <w:rPr>
          <w:rFonts w:cs="Arial"/>
        </w:rPr>
        <w:tab/>
        <w:t xml:space="preserve">records protected by legal professional privilege; and </w:t>
      </w:r>
    </w:p>
    <w:p w:rsidR="00876981" w:rsidRPr="00F33A35" w:rsidRDefault="00876981">
      <w:pPr>
        <w:ind w:left="1440" w:hanging="720"/>
        <w:rPr>
          <w:rFonts w:cs="Arial"/>
        </w:rPr>
      </w:pPr>
    </w:p>
    <w:p w:rsidR="00876981" w:rsidRDefault="00876981">
      <w:pPr>
        <w:ind w:left="1440" w:hanging="720"/>
        <w:rPr>
          <w:rFonts w:cs="Arial"/>
        </w:rPr>
      </w:pPr>
      <w:r>
        <w:rPr>
          <w:rFonts w:cs="Arial"/>
        </w:rPr>
        <w:t>(vi)</w:t>
      </w:r>
      <w:r>
        <w:rPr>
          <w:rFonts w:cs="Arial"/>
        </w:rPr>
        <w:tab/>
        <w:t xml:space="preserve">records relating to law enforcement and legal proceedings.  </w:t>
      </w:r>
    </w:p>
    <w:p w:rsidR="00876981" w:rsidRDefault="00876981">
      <w:pPr>
        <w:rPr>
          <w:rFonts w:cs="Arial"/>
        </w:rPr>
      </w:pPr>
    </w:p>
    <w:p w:rsidR="00876981" w:rsidRDefault="00876981">
      <w:pPr>
        <w:rPr>
          <w:rFonts w:cs="Arial"/>
        </w:rPr>
      </w:pPr>
      <w:r>
        <w:rPr>
          <w:rFonts w:cs="Arial"/>
        </w:rPr>
        <w:t>10.</w:t>
      </w:r>
      <w:r>
        <w:rPr>
          <w:rFonts w:cs="Arial"/>
        </w:rPr>
        <w:tab/>
      </w:r>
      <w:r>
        <w:rPr>
          <w:rFonts w:cs="Arial"/>
        </w:rPr>
        <w:tab/>
        <w:t xml:space="preserve">Five of the Respondents supported the application of the proposed mandatory requirements to all of their records without exceptions.  </w:t>
      </w:r>
    </w:p>
    <w:p w:rsidR="00876981" w:rsidRDefault="00876981">
      <w:pPr>
        <w:rPr>
          <w:rFonts w:cs="Arial"/>
        </w:rPr>
      </w:pPr>
    </w:p>
    <w:p w:rsidR="00876981" w:rsidRDefault="00876981">
      <w:pPr>
        <w:rPr>
          <w:rFonts w:cs="Arial"/>
        </w:rPr>
      </w:pPr>
      <w:r>
        <w:rPr>
          <w:rFonts w:cs="Arial"/>
        </w:rPr>
        <w:t>1</w:t>
      </w:r>
      <w:r>
        <w:rPr>
          <w:rFonts w:cs="Arial" w:hint="eastAsia"/>
        </w:rPr>
        <w:t>1</w:t>
      </w:r>
      <w:r>
        <w:rPr>
          <w:rFonts w:cs="Arial"/>
        </w:rPr>
        <w:t>.</w:t>
      </w:r>
      <w:r>
        <w:rPr>
          <w:rFonts w:cs="Arial"/>
        </w:rPr>
        <w:tab/>
      </w:r>
      <w:r>
        <w:rPr>
          <w:rFonts w:cs="Arial"/>
        </w:rPr>
        <w:tab/>
        <w:t xml:space="preserve">Eight other bodies have expressed concerns about the appropriateness of applying a uniform set of mandatory records and archives requirements to public bodies of different nature, sizes and resources, holding records of different nature some of which are subject to secrecy provisions in their governing legislation.  It was considered more cost effective and desirable to enforce good practices of records management through their internal guidelines, rather than the enactment of legislation.  </w:t>
      </w:r>
    </w:p>
    <w:p w:rsidR="00876981" w:rsidRDefault="00876981">
      <w:pPr>
        <w:rPr>
          <w:rFonts w:cs="Arial"/>
        </w:rPr>
      </w:pPr>
    </w:p>
    <w:p w:rsidR="00876981" w:rsidRDefault="00876981">
      <w:pPr>
        <w:rPr>
          <w:rFonts w:cs="Arial"/>
        </w:rPr>
      </w:pPr>
    </w:p>
    <w:p w:rsidR="00876981" w:rsidRDefault="00876981">
      <w:pPr>
        <w:rPr>
          <w:rFonts w:cs="Arial"/>
          <w:b/>
          <w:i/>
        </w:rPr>
      </w:pPr>
      <w:r>
        <w:rPr>
          <w:rFonts w:cs="Arial"/>
          <w:b/>
          <w:i/>
        </w:rPr>
        <w:t>2</w:t>
      </w:r>
      <w:r>
        <w:rPr>
          <w:rFonts w:cs="Arial"/>
          <w:b/>
          <w:i/>
          <w:vertAlign w:val="superscript"/>
        </w:rPr>
        <w:t>nd</w:t>
      </w:r>
      <w:r>
        <w:rPr>
          <w:rFonts w:cs="Arial"/>
          <w:b/>
          <w:i/>
        </w:rPr>
        <w:t xml:space="preserve"> round survey</w:t>
      </w:r>
    </w:p>
    <w:p w:rsidR="00876981" w:rsidRDefault="00876981">
      <w:pPr>
        <w:rPr>
          <w:rFonts w:cs="Arial"/>
        </w:rPr>
      </w:pPr>
    </w:p>
    <w:p w:rsidR="00876981" w:rsidRDefault="00876981">
      <w:pPr>
        <w:rPr>
          <w:rFonts w:cs="Arial"/>
        </w:rPr>
      </w:pPr>
      <w:r>
        <w:rPr>
          <w:rFonts w:cs="Arial"/>
        </w:rPr>
        <w:t>12.</w:t>
      </w:r>
      <w:r>
        <w:rPr>
          <w:rFonts w:cs="Arial"/>
        </w:rPr>
        <w:tab/>
      </w:r>
      <w:r>
        <w:rPr>
          <w:rFonts w:cs="Arial"/>
        </w:rPr>
        <w:tab/>
        <w:t>The Sub-committee noted that 79.6% of the Respondents indicated in the first survey that their recordkeeping systems were capable of managing both electronic and non-electronic records in accordance with the GRMP.  A 2</w:t>
      </w:r>
      <w:r>
        <w:rPr>
          <w:rFonts w:cs="Arial"/>
          <w:vertAlign w:val="superscript"/>
        </w:rPr>
        <w:t>nd</w:t>
      </w:r>
      <w:r>
        <w:rPr>
          <w:rFonts w:cs="Arial"/>
        </w:rPr>
        <w:t xml:space="preserve"> round survey was conducted in February 2017 to ascertain (i) the extent to which these Respondents' systems possess the features of a typical ERKS as described in the GRMP,</w:t>
      </w:r>
      <w:r>
        <w:rPr>
          <w:rStyle w:val="FootnoteReference"/>
          <w:rFonts w:cs="Arial"/>
        </w:rPr>
        <w:footnoteReference w:id="652"/>
      </w:r>
      <w:r>
        <w:rPr>
          <w:rFonts w:cs="Arial"/>
        </w:rPr>
        <w:t xml:space="preserve"> and (ii) how electronically ready they are for full implementation of ERKS if a mandatory records management scheme is to be introduced.  Six selected public bodies in this group, which are relatively sizeable and resourceful bodies serving different essential public functions in Hong Kong, including education, medical and health, housing and trade, were involved in the 2</w:t>
      </w:r>
      <w:r>
        <w:rPr>
          <w:rFonts w:cs="Arial"/>
          <w:vertAlign w:val="superscript"/>
        </w:rPr>
        <w:t>nd</w:t>
      </w:r>
      <w:r>
        <w:rPr>
          <w:rFonts w:cs="Arial"/>
        </w:rPr>
        <w:t xml:space="preserve"> round survey.   </w:t>
      </w:r>
    </w:p>
    <w:p w:rsidR="00876981" w:rsidRDefault="00876981">
      <w:pPr>
        <w:rPr>
          <w:rFonts w:cs="Arial"/>
        </w:rPr>
      </w:pPr>
    </w:p>
    <w:p w:rsidR="00876981" w:rsidRDefault="00876981">
      <w:pPr>
        <w:rPr>
          <w:rFonts w:cs="Arial"/>
        </w:rPr>
      </w:pPr>
      <w:r>
        <w:rPr>
          <w:rFonts w:cs="Arial"/>
        </w:rPr>
        <w:t>1</w:t>
      </w:r>
      <w:r>
        <w:rPr>
          <w:rFonts w:cs="Arial" w:hint="eastAsia"/>
        </w:rPr>
        <w:t>3</w:t>
      </w:r>
      <w:r>
        <w:rPr>
          <w:rFonts w:cs="Arial"/>
        </w:rPr>
        <w:t>.</w:t>
      </w:r>
      <w:r>
        <w:rPr>
          <w:rFonts w:cs="Arial"/>
        </w:rPr>
        <w:tab/>
      </w:r>
      <w:r>
        <w:rPr>
          <w:rFonts w:cs="Arial"/>
        </w:rPr>
        <w:tab/>
        <w:t>The survey was conducted by way of a questionnaire containing questions regarding the kind and functionality of the electronic means adopted by the subject body to manage their electronic records for recordkeeping purposes.</w:t>
      </w:r>
    </w:p>
    <w:p w:rsidR="00876981" w:rsidRDefault="00876981">
      <w:pPr>
        <w:rPr>
          <w:rFonts w:cs="Arial"/>
        </w:rPr>
      </w:pPr>
    </w:p>
    <w:p w:rsidR="00876981" w:rsidRDefault="00876981">
      <w:pPr>
        <w:rPr>
          <w:rFonts w:cs="Arial"/>
        </w:rPr>
      </w:pPr>
      <w:r>
        <w:rPr>
          <w:rFonts w:cs="Arial"/>
        </w:rPr>
        <w:t>14.</w:t>
      </w:r>
      <w:r>
        <w:rPr>
          <w:rFonts w:cs="Arial"/>
        </w:rPr>
        <w:tab/>
      </w:r>
      <w:r>
        <w:rPr>
          <w:rFonts w:cs="Arial"/>
        </w:rPr>
        <w:tab/>
        <w:t xml:space="preserve">A description of the features of a typical ERKS, as distinguished from other Electronic Document Management System (EDMS), as well as the </w:t>
      </w:r>
      <w:r>
        <w:rPr>
          <w:rFonts w:cs="Arial"/>
        </w:rPr>
        <w:lastRenderedPageBreak/>
        <w:t>definitions of other related terms had been stated in the questionnaire for reference purpose.</w:t>
      </w:r>
      <w:r>
        <w:rPr>
          <w:rStyle w:val="FootnoteReference"/>
          <w:rFonts w:cs="Arial"/>
        </w:rPr>
        <w:footnoteReference w:id="653"/>
      </w:r>
      <w:r>
        <w:rPr>
          <w:rFonts w:cs="Arial"/>
        </w:rPr>
        <w:t xml:space="preserve">  </w:t>
      </w:r>
    </w:p>
    <w:p w:rsidR="00876981" w:rsidRDefault="00876981">
      <w:pPr>
        <w:rPr>
          <w:rFonts w:cs="Arial"/>
        </w:rPr>
      </w:pPr>
    </w:p>
    <w:p w:rsidR="00876981" w:rsidRDefault="00876981">
      <w:pPr>
        <w:rPr>
          <w:rFonts w:cs="Arial"/>
        </w:rPr>
      </w:pPr>
      <w:r>
        <w:rPr>
          <w:rFonts w:cs="Arial"/>
        </w:rPr>
        <w:t>1</w:t>
      </w:r>
      <w:r>
        <w:rPr>
          <w:rFonts w:cs="Arial" w:hint="eastAsia"/>
        </w:rPr>
        <w:t>5</w:t>
      </w:r>
      <w:r>
        <w:rPr>
          <w:rFonts w:cs="Arial"/>
        </w:rPr>
        <w:t>.</w:t>
      </w:r>
      <w:r>
        <w:rPr>
          <w:rFonts w:cs="Arial"/>
        </w:rPr>
        <w:tab/>
      </w:r>
      <w:r>
        <w:rPr>
          <w:rFonts w:cs="Arial"/>
        </w:rPr>
        <w:tab/>
        <w:t>Five</w:t>
      </w:r>
      <w:r w:rsidRPr="00D86E22">
        <w:rPr>
          <w:rFonts w:cs="Arial"/>
          <w:shd w:val="clear" w:color="auto" w:fill="FFFFFF"/>
        </w:rPr>
        <w:t xml:space="preserve"> </w:t>
      </w:r>
      <w:r>
        <w:rPr>
          <w:rFonts w:cs="Arial"/>
        </w:rPr>
        <w:t xml:space="preserve">out of the six bodies involved have responded, giving a response rate of 83.3%.  An analysis of their responses shows that none of the five bodies has currently adopted a typical ERKS to store their electronic records for recordkeeping purposes.  Four of them stated, for various reasons, that they have no intention to implement ERKS in the near future.  </w:t>
      </w:r>
    </w:p>
    <w:p w:rsidR="00876981" w:rsidRDefault="00876981">
      <w:pPr>
        <w:rPr>
          <w:rFonts w:cs="Arial"/>
        </w:rPr>
      </w:pPr>
    </w:p>
    <w:p w:rsidR="00876981" w:rsidRDefault="00876981">
      <w:pPr>
        <w:rPr>
          <w:rFonts w:cs="Arial"/>
        </w:rPr>
      </w:pPr>
      <w:r>
        <w:rPr>
          <w:rFonts w:cs="Arial"/>
        </w:rPr>
        <w:t>1</w:t>
      </w:r>
      <w:r>
        <w:rPr>
          <w:rFonts w:cs="Arial" w:hint="eastAsia"/>
        </w:rPr>
        <w:t>6.</w:t>
      </w:r>
      <w:r>
        <w:rPr>
          <w:rFonts w:cs="Arial"/>
        </w:rPr>
        <w:tab/>
      </w:r>
      <w:r>
        <w:rPr>
          <w:rFonts w:cs="Arial"/>
        </w:rPr>
        <w:tab/>
        <w:t>As for the Respondents which indicated, in the 1</w:t>
      </w:r>
      <w:r>
        <w:rPr>
          <w:rFonts w:cs="Arial"/>
          <w:vertAlign w:val="superscript"/>
        </w:rPr>
        <w:t>st</w:t>
      </w:r>
      <w:r>
        <w:rPr>
          <w:rFonts w:cs="Arial"/>
        </w:rPr>
        <w:t xml:space="preserve"> round survey, that they did not have in place a recordkeeping system which is capable of managing both electronic and non-electronic records, the Sub-committee also sent a letter to five of them on 16 February 2017, seeking their initial indication as to how willing and ready they were to comply with a set of standardised recordkeeping procedures or protocols, if introduced.  </w:t>
      </w:r>
    </w:p>
    <w:p w:rsidR="00876981" w:rsidRDefault="00876981">
      <w:pPr>
        <w:rPr>
          <w:rFonts w:cs="Arial"/>
        </w:rPr>
      </w:pPr>
    </w:p>
    <w:p w:rsidR="00876981" w:rsidRDefault="00876981">
      <w:pPr>
        <w:rPr>
          <w:rFonts w:cs="Arial"/>
        </w:rPr>
      </w:pPr>
      <w:r>
        <w:rPr>
          <w:rFonts w:cs="Arial"/>
        </w:rPr>
        <w:t>1</w:t>
      </w:r>
      <w:r>
        <w:rPr>
          <w:rFonts w:cs="Arial" w:hint="eastAsia"/>
        </w:rPr>
        <w:t>7</w:t>
      </w:r>
      <w:r>
        <w:rPr>
          <w:rFonts w:cs="Arial"/>
        </w:rPr>
        <w:t>.</w:t>
      </w:r>
      <w:r>
        <w:rPr>
          <w:rFonts w:cs="Arial"/>
        </w:rPr>
        <w:tab/>
      </w:r>
      <w:r>
        <w:rPr>
          <w:rFonts w:cs="Arial"/>
        </w:rPr>
        <w:tab/>
        <w:t xml:space="preserve">Three out of five of these bodies have responded, giving a response rate of 60%.  Two of them opined that their current records management practices were both appropriate and effective for their unique practical circumstances.  They therefore did not support the application of a mandatory records and archives management system to their bodies.  The remaining one stated that they had in place a framework for the creation and management of records in line with the GRMP in their body, but would be willing to assess their readiness to adhere to a mandatory recordkeeping system when details of the relevant requirements are known.    </w:t>
      </w:r>
    </w:p>
    <w:p w:rsidR="00876981" w:rsidRDefault="00876981">
      <w:pPr>
        <w:rPr>
          <w:rFonts w:cs="Arial"/>
        </w:rPr>
      </w:pPr>
    </w:p>
    <w:p w:rsidR="00876981" w:rsidRDefault="00876981">
      <w:pPr>
        <w:rPr>
          <w:rFonts w:cs="Arial"/>
          <w:lang w:eastAsia="zh-HK"/>
        </w:rPr>
      </w:pPr>
    </w:p>
    <w:p w:rsidR="00876981" w:rsidRDefault="00876981">
      <w:pPr>
        <w:rPr>
          <w:rFonts w:cs="Arial"/>
          <w:lang w:eastAsia="zh-HK"/>
        </w:rPr>
      </w:pPr>
    </w:p>
    <w:p w:rsidR="00876981" w:rsidRDefault="00876981">
      <w:pPr>
        <w:rPr>
          <w:rFonts w:cs="Arial"/>
          <w:lang w:eastAsia="zh-HK"/>
        </w:rPr>
      </w:pPr>
    </w:p>
    <w:p w:rsidR="00876981" w:rsidRDefault="00876981">
      <w:pPr>
        <w:rPr>
          <w:rFonts w:cs="Arial"/>
          <w:lang w:eastAsia="zh-HK"/>
        </w:rPr>
      </w:pPr>
    </w:p>
    <w:p w:rsidR="00876981" w:rsidRDefault="00876981">
      <w:pPr>
        <w:rPr>
          <w:rFonts w:cs="Arial"/>
          <w:lang w:eastAsia="zh-HK"/>
        </w:rPr>
      </w:pPr>
    </w:p>
    <w:p w:rsidR="00876981" w:rsidRDefault="00876981">
      <w:pPr>
        <w:jc w:val="right"/>
        <w:rPr>
          <w:b/>
          <w:noProof/>
          <w:sz w:val="26"/>
          <w:szCs w:val="26"/>
          <w:u w:val="single"/>
          <w:lang w:eastAsia="zh-HK"/>
        </w:rPr>
      </w:pPr>
    </w:p>
    <w:p w:rsidR="00876981" w:rsidRPr="006D3FE9" w:rsidRDefault="00876981" w:rsidP="00D86E22"/>
    <w:p w:rsidR="005961E6" w:rsidRPr="00876981" w:rsidRDefault="005961E6" w:rsidP="007572E9">
      <w:pPr>
        <w:rPr>
          <w:rFonts w:cs="Arial"/>
          <w:b/>
          <w:sz w:val="20"/>
          <w:szCs w:val="20"/>
        </w:rPr>
      </w:pPr>
    </w:p>
    <w:sectPr w:rsidR="005961E6" w:rsidRPr="00876981" w:rsidSect="00D86E22">
      <w:footerReference w:type="even" r:id="rId32"/>
      <w:footerReference w:type="default" r:id="rId33"/>
      <w:footerReference w:type="first" r:id="rId34"/>
      <w:footnotePr>
        <w:numStart w:val="49"/>
        <w:numRestart w:val="eachSect"/>
      </w:footnotePr>
      <w:pgSz w:w="11906" w:h="16838" w:code="9"/>
      <w:pgMar w:top="1440" w:right="1800" w:bottom="1440" w:left="1800" w:header="720" w:footer="72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3B" w:rsidRDefault="006C413B" w:rsidP="0013660E">
      <w:r>
        <w:separator/>
      </w:r>
    </w:p>
  </w:endnote>
  <w:endnote w:type="continuationSeparator" w:id="0">
    <w:p w:rsidR="006C413B" w:rsidRDefault="006C413B" w:rsidP="0013660E">
      <w:r>
        <w:continuationSeparator/>
      </w:r>
    </w:p>
  </w:endnote>
  <w:endnote w:type="continuationNotice" w:id="1">
    <w:p w:rsidR="006C413B" w:rsidRDefault="006C4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Bliss2">
    <w:altName w:val="Arial Unicode MS"/>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F49" w:rsidRDefault="009A4F4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D03912" w:rsidRDefault="009A4F49" w:rsidP="00B527B9">
    <w:pPr>
      <w:pStyle w:val="Footer"/>
      <w:jc w:val="center"/>
      <w:rPr>
        <w:rFonts w:cs="Arial"/>
        <w:sz w:val="24"/>
        <w:szCs w:val="24"/>
      </w:rPr>
    </w:pPr>
    <w:r w:rsidRPr="00D03912">
      <w:rPr>
        <w:rFonts w:cs="Arial"/>
        <w:sz w:val="24"/>
        <w:szCs w:val="24"/>
      </w:rPr>
      <w:fldChar w:fldCharType="begin"/>
    </w:r>
    <w:r w:rsidRPr="00D03912">
      <w:rPr>
        <w:rFonts w:cs="Arial"/>
        <w:sz w:val="24"/>
        <w:szCs w:val="24"/>
      </w:rPr>
      <w:instrText xml:space="preserve"> PAGE   \* MERGEFORMAT </w:instrText>
    </w:r>
    <w:r w:rsidRPr="00D03912">
      <w:rPr>
        <w:rFonts w:cs="Arial"/>
        <w:sz w:val="24"/>
        <w:szCs w:val="24"/>
      </w:rPr>
      <w:fldChar w:fldCharType="separate"/>
    </w:r>
    <w:r w:rsidR="00764270">
      <w:rPr>
        <w:rFonts w:cs="Arial"/>
        <w:noProof/>
        <w:sz w:val="24"/>
        <w:szCs w:val="24"/>
      </w:rPr>
      <w:t>50</w:t>
    </w:r>
    <w:r w:rsidRPr="00D03912">
      <w:rPr>
        <w:rFonts w:cs="Arial"/>
        <w:noProof/>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1E31AC" w:rsidRDefault="009A4F49" w:rsidP="00DA7492">
    <w:pPr>
      <w:pStyle w:val="Footer"/>
      <w:jc w:val="center"/>
      <w:rPr>
        <w:rFonts w:cs="Arial"/>
        <w:sz w:val="24"/>
        <w:szCs w:val="24"/>
      </w:rPr>
    </w:pPr>
    <w:r w:rsidRPr="001E31AC">
      <w:rPr>
        <w:rFonts w:cs="Arial"/>
        <w:sz w:val="24"/>
        <w:szCs w:val="24"/>
      </w:rPr>
      <w:fldChar w:fldCharType="begin"/>
    </w:r>
    <w:r w:rsidRPr="001E31AC">
      <w:rPr>
        <w:rFonts w:cs="Arial"/>
        <w:sz w:val="24"/>
        <w:szCs w:val="24"/>
      </w:rPr>
      <w:instrText xml:space="preserve"> PAGE   \* MERGEFORMAT </w:instrText>
    </w:r>
    <w:r w:rsidRPr="001E31AC">
      <w:rPr>
        <w:rFonts w:cs="Arial"/>
        <w:sz w:val="24"/>
        <w:szCs w:val="24"/>
      </w:rPr>
      <w:fldChar w:fldCharType="separate"/>
    </w:r>
    <w:r w:rsidR="00764270">
      <w:rPr>
        <w:rFonts w:cs="Arial"/>
        <w:noProof/>
        <w:sz w:val="24"/>
        <w:szCs w:val="24"/>
      </w:rPr>
      <w:t>69</w:t>
    </w:r>
    <w:r w:rsidRPr="001E31AC">
      <w:rPr>
        <w:rFonts w:cs="Arial"/>
        <w:noProof/>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212E11" w:rsidRDefault="009A4F49" w:rsidP="00DF3CF7">
    <w:pPr>
      <w:pStyle w:val="Footer"/>
      <w:jc w:val="center"/>
      <w:rPr>
        <w:rFonts w:cs="Arial"/>
        <w:sz w:val="24"/>
        <w:szCs w:val="24"/>
      </w:rPr>
    </w:pPr>
    <w:r w:rsidRPr="00212E11">
      <w:rPr>
        <w:rFonts w:cs="Arial"/>
        <w:sz w:val="24"/>
        <w:szCs w:val="24"/>
      </w:rPr>
      <w:fldChar w:fldCharType="begin"/>
    </w:r>
    <w:r w:rsidRPr="00212E11">
      <w:rPr>
        <w:rFonts w:cs="Arial"/>
        <w:sz w:val="24"/>
        <w:szCs w:val="24"/>
      </w:rPr>
      <w:instrText xml:space="preserve"> PAGE   \* MERGEFORMAT </w:instrText>
    </w:r>
    <w:r w:rsidRPr="00212E11">
      <w:rPr>
        <w:rFonts w:cs="Arial"/>
        <w:sz w:val="24"/>
        <w:szCs w:val="24"/>
      </w:rPr>
      <w:fldChar w:fldCharType="separate"/>
    </w:r>
    <w:r w:rsidR="00764270">
      <w:rPr>
        <w:rFonts w:cs="Arial"/>
        <w:noProof/>
        <w:sz w:val="24"/>
        <w:szCs w:val="24"/>
      </w:rPr>
      <w:t>108</w:t>
    </w:r>
    <w:r w:rsidRPr="00212E11">
      <w:rPr>
        <w:rFonts w:cs="Arial"/>
        <w:noProof/>
        <w:sz w:val="24"/>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rsidP="00DF3CF7">
    <w:pPr>
      <w:jc w:val="center"/>
    </w:pPr>
    <w:r>
      <w:fldChar w:fldCharType="begin"/>
    </w:r>
    <w:r>
      <w:instrText xml:space="preserve"> PAGE   \* MERGEFORMAT </w:instrText>
    </w:r>
    <w:r>
      <w:fldChar w:fldCharType="separate"/>
    </w:r>
    <w:r w:rsidR="00764270">
      <w:rPr>
        <w:noProof/>
      </w:rPr>
      <w:t>120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336D86" w:rsidRDefault="009A4F49" w:rsidP="00D86E22">
    <w:pPr>
      <w:pStyle w:val="Footer"/>
      <w:jc w:val="center"/>
      <w:rPr>
        <w:rFonts w:cs="Arial"/>
        <w:sz w:val="24"/>
        <w:szCs w:val="24"/>
      </w:rPr>
    </w:pPr>
    <w:r w:rsidRPr="00336D86">
      <w:rPr>
        <w:rFonts w:cs="Arial"/>
        <w:sz w:val="24"/>
        <w:szCs w:val="24"/>
      </w:rPr>
      <w:fldChar w:fldCharType="begin"/>
    </w:r>
    <w:r w:rsidRPr="00336D86">
      <w:rPr>
        <w:rFonts w:cs="Arial"/>
        <w:sz w:val="24"/>
        <w:szCs w:val="24"/>
      </w:rPr>
      <w:instrText xml:space="preserve"> PAGE   \* MERGEFORMAT </w:instrText>
    </w:r>
    <w:r w:rsidRPr="00336D86">
      <w:rPr>
        <w:rFonts w:cs="Arial"/>
        <w:sz w:val="24"/>
        <w:szCs w:val="24"/>
      </w:rPr>
      <w:fldChar w:fldCharType="separate"/>
    </w:r>
    <w:r w:rsidR="00764270">
      <w:rPr>
        <w:rFonts w:cs="Arial"/>
        <w:noProof/>
        <w:sz w:val="24"/>
        <w:szCs w:val="24"/>
      </w:rPr>
      <w:t>142</w:t>
    </w:r>
    <w:r w:rsidRPr="00336D86">
      <w:rPr>
        <w:rFonts w:cs="Arial"/>
        <w:noProof/>
        <w:sz w:val="24"/>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FE3FFF" w:rsidRDefault="009A4F49" w:rsidP="00D86E22">
    <w:pPr>
      <w:pStyle w:val="Footer"/>
      <w:jc w:val="center"/>
      <w:rPr>
        <w:rFonts w:cs="Arial"/>
        <w:sz w:val="24"/>
        <w:szCs w:val="24"/>
      </w:rPr>
    </w:pPr>
    <w:r w:rsidRPr="00FE3FFF">
      <w:rPr>
        <w:rFonts w:cs="Arial"/>
        <w:sz w:val="24"/>
        <w:szCs w:val="24"/>
      </w:rPr>
      <w:fldChar w:fldCharType="begin"/>
    </w:r>
    <w:r w:rsidRPr="00FE3FFF">
      <w:rPr>
        <w:rFonts w:cs="Arial"/>
        <w:sz w:val="24"/>
        <w:szCs w:val="24"/>
      </w:rPr>
      <w:instrText xml:space="preserve"> PAGE   \* MERGEFORMAT </w:instrText>
    </w:r>
    <w:r w:rsidRPr="00FE3FFF">
      <w:rPr>
        <w:rFonts w:cs="Arial"/>
        <w:sz w:val="24"/>
        <w:szCs w:val="24"/>
      </w:rPr>
      <w:fldChar w:fldCharType="separate"/>
    </w:r>
    <w:r w:rsidR="00764270">
      <w:rPr>
        <w:rFonts w:cs="Arial"/>
        <w:noProof/>
        <w:sz w:val="24"/>
        <w:szCs w:val="24"/>
      </w:rPr>
      <w:t>158</w:t>
    </w:r>
    <w:r w:rsidRPr="00FE3FFF">
      <w:rPr>
        <w:rFonts w:cs="Arial"/>
        <w:noProof/>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751F80" w:rsidRDefault="009A4F49" w:rsidP="00D86E22">
    <w:pPr>
      <w:pStyle w:val="Footer"/>
      <w:jc w:val="center"/>
      <w:rPr>
        <w:sz w:val="24"/>
        <w:szCs w:val="24"/>
      </w:rPr>
    </w:pPr>
    <w:r w:rsidRPr="00751F80">
      <w:rPr>
        <w:sz w:val="24"/>
        <w:szCs w:val="24"/>
      </w:rPr>
      <w:fldChar w:fldCharType="begin"/>
    </w:r>
    <w:r w:rsidRPr="00751F80">
      <w:rPr>
        <w:sz w:val="24"/>
        <w:szCs w:val="24"/>
      </w:rPr>
      <w:instrText xml:space="preserve"> PAGE   \* MERGEFORMAT </w:instrText>
    </w:r>
    <w:r w:rsidRPr="00751F80">
      <w:rPr>
        <w:sz w:val="24"/>
        <w:szCs w:val="24"/>
      </w:rPr>
      <w:fldChar w:fldCharType="separate"/>
    </w:r>
    <w:r w:rsidR="00764270">
      <w:rPr>
        <w:noProof/>
        <w:sz w:val="24"/>
        <w:szCs w:val="24"/>
      </w:rPr>
      <w:t>162</w:t>
    </w:r>
    <w:r w:rsidRPr="00751F80">
      <w:rPr>
        <w:noProof/>
        <w:sz w:val="24"/>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F49" w:rsidRDefault="009A4F49">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BD1A7D" w:rsidRDefault="009A4F49" w:rsidP="00312F32">
    <w:pPr>
      <w:pStyle w:val="Footer"/>
      <w:jc w:val="center"/>
      <w:rPr>
        <w:sz w:val="24"/>
        <w:szCs w:val="24"/>
      </w:rPr>
    </w:pPr>
    <w:r w:rsidRPr="00BD1A7D">
      <w:rPr>
        <w:rFonts w:cs="Arial"/>
        <w:sz w:val="24"/>
        <w:szCs w:val="24"/>
      </w:rPr>
      <w:fldChar w:fldCharType="begin"/>
    </w:r>
    <w:r w:rsidRPr="00BD1A7D">
      <w:rPr>
        <w:rFonts w:cs="Arial"/>
        <w:sz w:val="24"/>
        <w:szCs w:val="24"/>
      </w:rPr>
      <w:instrText xml:space="preserve"> PAGE   \* MERGEFORMAT </w:instrText>
    </w:r>
    <w:r w:rsidRPr="00BD1A7D">
      <w:rPr>
        <w:rFonts w:cs="Arial"/>
        <w:sz w:val="24"/>
        <w:szCs w:val="24"/>
      </w:rPr>
      <w:fldChar w:fldCharType="separate"/>
    </w:r>
    <w:r w:rsidR="00764270">
      <w:rPr>
        <w:rFonts w:cs="Arial"/>
        <w:noProof/>
        <w:sz w:val="24"/>
        <w:szCs w:val="24"/>
      </w:rPr>
      <w:t>171</w:t>
    </w:r>
    <w:r w:rsidRPr="00BD1A7D">
      <w:rPr>
        <w:rFonts w:cs="Arial"/>
        <w:noProof/>
        <w:sz w:val="24"/>
        <w:szCs w:val="2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rsidP="00D86E22">
    <w:pPr>
      <w:pStyle w:val="Footer"/>
    </w:pPr>
    <w:r w:rsidRPr="005E062A">
      <w:rPr>
        <w:rFonts w:cs="Arial"/>
      </w:rPr>
      <w:fldChar w:fldCharType="begin"/>
    </w:r>
    <w:r w:rsidRPr="005E062A">
      <w:rPr>
        <w:rFonts w:cs="Arial"/>
      </w:rPr>
      <w:instrText xml:space="preserve"> PAGE   \* MERGEFORMAT </w:instrText>
    </w:r>
    <w:r w:rsidRPr="005E062A">
      <w:rPr>
        <w:rFonts w:cs="Arial"/>
      </w:rPr>
      <w:fldChar w:fldCharType="separate"/>
    </w:r>
    <w:r>
      <w:rPr>
        <w:rFonts w:cs="Arial"/>
        <w:noProof/>
      </w:rPr>
      <w:t>1</w:t>
    </w:r>
    <w:r w:rsidRPr="005E062A">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9A4F49" w:rsidRDefault="009A4F4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F49" w:rsidRDefault="009A4F49">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D149CE" w:rsidRDefault="009A4F49" w:rsidP="00440249">
    <w:pPr>
      <w:pStyle w:val="Footer"/>
      <w:jc w:val="center"/>
      <w:rPr>
        <w:rFonts w:cs="Arial"/>
        <w:sz w:val="24"/>
        <w:szCs w:val="24"/>
      </w:rPr>
    </w:pPr>
    <w:r w:rsidRPr="00D149CE">
      <w:rPr>
        <w:rFonts w:cs="Arial"/>
        <w:sz w:val="24"/>
        <w:szCs w:val="24"/>
      </w:rPr>
      <w:fldChar w:fldCharType="begin"/>
    </w:r>
    <w:r w:rsidRPr="00D149CE">
      <w:rPr>
        <w:rFonts w:cs="Arial"/>
        <w:sz w:val="24"/>
        <w:szCs w:val="24"/>
      </w:rPr>
      <w:instrText xml:space="preserve"> PAGE   \* MERGEFORMAT </w:instrText>
    </w:r>
    <w:r w:rsidRPr="00D149CE">
      <w:rPr>
        <w:rFonts w:cs="Arial"/>
        <w:sz w:val="24"/>
        <w:szCs w:val="24"/>
      </w:rPr>
      <w:fldChar w:fldCharType="separate"/>
    </w:r>
    <w:r w:rsidR="00764270">
      <w:rPr>
        <w:rFonts w:cs="Arial"/>
        <w:noProof/>
        <w:sz w:val="24"/>
        <w:szCs w:val="24"/>
      </w:rPr>
      <w:t>176</w:t>
    </w:r>
    <w:r w:rsidRPr="00D149CE">
      <w:rPr>
        <w:rFonts w:cs="Arial"/>
        <w:noProof/>
        <w:sz w:val="24"/>
        <w:szCs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D149CE" w:rsidRDefault="009A4F49" w:rsidP="00D86E22">
    <w:pPr>
      <w:pStyle w:val="Footer"/>
      <w:rPr>
        <w:rFonts w:cs="Arial"/>
        <w:sz w:val="24"/>
        <w:szCs w:val="24"/>
      </w:rPr>
    </w:pPr>
    <w:r w:rsidRPr="00D149CE">
      <w:rPr>
        <w:rFonts w:cs="Arial"/>
        <w:sz w:val="24"/>
        <w:szCs w:val="24"/>
      </w:rPr>
      <w:fldChar w:fldCharType="begin"/>
    </w:r>
    <w:r w:rsidRPr="00D149CE">
      <w:rPr>
        <w:rFonts w:cs="Arial"/>
        <w:sz w:val="24"/>
        <w:szCs w:val="24"/>
      </w:rPr>
      <w:instrText xml:space="preserve"> PAGE   \* MERGEFORMAT </w:instrText>
    </w:r>
    <w:r w:rsidRPr="00D149CE">
      <w:rPr>
        <w:rFonts w:cs="Arial"/>
        <w:sz w:val="24"/>
        <w:szCs w:val="24"/>
      </w:rPr>
      <w:fldChar w:fldCharType="separate"/>
    </w:r>
    <w:r>
      <w:rPr>
        <w:rFonts w:cs="Arial"/>
        <w:noProof/>
        <w:sz w:val="24"/>
        <w:szCs w:val="24"/>
      </w:rPr>
      <w:t>1</w:t>
    </w:r>
    <w:r w:rsidRPr="00D149CE">
      <w:rPr>
        <w:rFonts w:cs="Arial"/>
        <w:noProof/>
        <w:sz w:val="24"/>
        <w:szCs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F49" w:rsidRDefault="009A4F49">
    <w:pPr>
      <w:pStyle w:val="Footer"/>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1D6DB6" w:rsidRDefault="009A4F49" w:rsidP="00440249">
    <w:pPr>
      <w:pStyle w:val="Footer"/>
      <w:jc w:val="center"/>
      <w:rPr>
        <w:rFonts w:cs="Arial"/>
        <w:sz w:val="24"/>
        <w:szCs w:val="24"/>
      </w:rPr>
    </w:pPr>
    <w:r w:rsidRPr="001D6DB6">
      <w:rPr>
        <w:rFonts w:cs="Arial"/>
        <w:sz w:val="24"/>
        <w:szCs w:val="24"/>
      </w:rPr>
      <w:fldChar w:fldCharType="begin"/>
    </w:r>
    <w:r w:rsidRPr="001D6DB6">
      <w:rPr>
        <w:rFonts w:cs="Arial"/>
        <w:sz w:val="24"/>
        <w:szCs w:val="24"/>
      </w:rPr>
      <w:instrText xml:space="preserve"> PAGE   \* MERGEFORMAT </w:instrText>
    </w:r>
    <w:r w:rsidRPr="001D6DB6">
      <w:rPr>
        <w:rFonts w:cs="Arial"/>
        <w:sz w:val="24"/>
        <w:szCs w:val="24"/>
      </w:rPr>
      <w:fldChar w:fldCharType="separate"/>
    </w:r>
    <w:r w:rsidR="00764270">
      <w:rPr>
        <w:rFonts w:cs="Arial"/>
        <w:noProof/>
        <w:sz w:val="24"/>
        <w:szCs w:val="24"/>
      </w:rPr>
      <w:t>180</w:t>
    </w:r>
    <w:r w:rsidRPr="001D6DB6">
      <w:rPr>
        <w:rFonts w:cs="Arial"/>
        <w:noProof/>
        <w:sz w:val="24"/>
        <w:szCs w:val="24"/>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6F7CCB" w:rsidRDefault="009A4F49" w:rsidP="00D86E22">
    <w:pPr>
      <w:pStyle w:val="Footer"/>
      <w:rPr>
        <w:rFonts w:cs="Arial"/>
        <w:sz w:val="24"/>
        <w:szCs w:val="24"/>
      </w:rPr>
    </w:pPr>
    <w:r w:rsidRPr="006F7CCB">
      <w:rPr>
        <w:rFonts w:cs="Arial"/>
        <w:sz w:val="24"/>
        <w:szCs w:val="24"/>
      </w:rPr>
      <w:fldChar w:fldCharType="begin"/>
    </w:r>
    <w:r w:rsidRPr="006F7CCB">
      <w:rPr>
        <w:rFonts w:cs="Arial"/>
        <w:sz w:val="24"/>
        <w:szCs w:val="24"/>
      </w:rPr>
      <w:instrText xml:space="preserve"> PAGE   \* MERGEFORMAT </w:instrText>
    </w:r>
    <w:r w:rsidRPr="006F7CCB">
      <w:rPr>
        <w:rFonts w:cs="Arial"/>
        <w:sz w:val="24"/>
        <w:szCs w:val="24"/>
      </w:rPr>
      <w:fldChar w:fldCharType="separate"/>
    </w:r>
    <w:r>
      <w:rPr>
        <w:rFonts w:cs="Arial"/>
        <w:noProof/>
        <w:sz w:val="24"/>
        <w:szCs w:val="24"/>
      </w:rPr>
      <w:t>180</w:t>
    </w:r>
    <w:r w:rsidRPr="006F7CCB">
      <w:rPr>
        <w:rFonts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Default="009A4F49" w:rsidP="00412C49">
    <w:pPr>
      <w:pStyle w:val="Footer"/>
      <w:jc w:val="center"/>
    </w:pPr>
    <w:r w:rsidRPr="007E3223">
      <w:rPr>
        <w:sz w:val="24"/>
        <w:szCs w:val="24"/>
      </w:rPr>
      <w:fldChar w:fldCharType="begin"/>
    </w:r>
    <w:r w:rsidRPr="007E3223">
      <w:rPr>
        <w:sz w:val="24"/>
        <w:szCs w:val="24"/>
      </w:rPr>
      <w:instrText xml:space="preserve"> PAGE   \* MERGEFORMAT </w:instrText>
    </w:r>
    <w:r w:rsidRPr="007E3223">
      <w:rPr>
        <w:sz w:val="24"/>
        <w:szCs w:val="24"/>
      </w:rPr>
      <w:fldChar w:fldCharType="separate"/>
    </w:r>
    <w:r w:rsidR="00764270">
      <w:rPr>
        <w:noProof/>
        <w:sz w:val="24"/>
        <w:szCs w:val="24"/>
      </w:rPr>
      <w:t>iv</w:t>
    </w:r>
    <w:r w:rsidRPr="007E3223">
      <w:rPr>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3A76FC" w:rsidRDefault="009A4F49" w:rsidP="00331EDA">
    <w:pPr>
      <w:pStyle w:val="Footer"/>
      <w:jc w:val="center"/>
      <w:rPr>
        <w:rFonts w:cs="Arial"/>
        <w:sz w:val="24"/>
        <w:szCs w:val="24"/>
      </w:rPr>
    </w:pPr>
    <w:r w:rsidRPr="00CC2D06">
      <w:rPr>
        <w:rFonts w:cs="Arial"/>
        <w:sz w:val="24"/>
        <w:szCs w:val="24"/>
      </w:rPr>
      <w:fldChar w:fldCharType="begin"/>
    </w:r>
    <w:r w:rsidRPr="00CC2D06">
      <w:rPr>
        <w:rFonts w:cs="Arial"/>
        <w:sz w:val="24"/>
        <w:szCs w:val="24"/>
      </w:rPr>
      <w:instrText xml:space="preserve"> PAGE   \* MERGEFORMAT </w:instrText>
    </w:r>
    <w:r w:rsidRPr="00CC2D06">
      <w:rPr>
        <w:rFonts w:cs="Arial"/>
        <w:sz w:val="24"/>
        <w:szCs w:val="24"/>
      </w:rPr>
      <w:fldChar w:fldCharType="separate"/>
    </w:r>
    <w:r w:rsidR="00764270">
      <w:rPr>
        <w:rFonts w:cs="Arial"/>
        <w:noProof/>
        <w:sz w:val="24"/>
        <w:szCs w:val="24"/>
      </w:rPr>
      <w:t>5</w:t>
    </w:r>
    <w:r w:rsidRPr="00CC2D06">
      <w:rPr>
        <w:rFonts w:cs="Arial"/>
        <w:noProof/>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6B6BE6" w:rsidRDefault="009A4F49" w:rsidP="00331EDA">
    <w:pPr>
      <w:pStyle w:val="Footer"/>
      <w:jc w:val="center"/>
      <w:rPr>
        <w:rFonts w:cs="Arial"/>
        <w:sz w:val="24"/>
        <w:szCs w:val="24"/>
      </w:rPr>
    </w:pPr>
    <w:r w:rsidRPr="006B6BE6">
      <w:rPr>
        <w:rFonts w:cs="Arial"/>
        <w:sz w:val="24"/>
        <w:szCs w:val="24"/>
      </w:rPr>
      <w:fldChar w:fldCharType="begin"/>
    </w:r>
    <w:r w:rsidRPr="006B6BE6">
      <w:rPr>
        <w:rFonts w:cs="Arial"/>
        <w:sz w:val="24"/>
        <w:szCs w:val="24"/>
      </w:rPr>
      <w:instrText xml:space="preserve"> PAGE   \* MERGEFORMAT </w:instrText>
    </w:r>
    <w:r w:rsidRPr="006B6BE6">
      <w:rPr>
        <w:rFonts w:cs="Arial"/>
        <w:sz w:val="24"/>
        <w:szCs w:val="24"/>
      </w:rPr>
      <w:fldChar w:fldCharType="separate"/>
    </w:r>
    <w:r w:rsidR="00764270">
      <w:rPr>
        <w:rFonts w:cs="Arial"/>
        <w:noProof/>
        <w:sz w:val="24"/>
        <w:szCs w:val="24"/>
      </w:rPr>
      <w:t>9</w:t>
    </w:r>
    <w:r w:rsidRPr="006B6BE6">
      <w:rPr>
        <w:rFonts w:cs="Arial"/>
        <w:noProof/>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BB45B9" w:rsidRDefault="009A4F49" w:rsidP="00331EDA">
    <w:pPr>
      <w:pStyle w:val="Footer"/>
      <w:jc w:val="center"/>
      <w:rPr>
        <w:sz w:val="24"/>
        <w:szCs w:val="24"/>
      </w:rPr>
    </w:pPr>
    <w:r w:rsidRPr="00BB45B9">
      <w:rPr>
        <w:sz w:val="24"/>
        <w:szCs w:val="24"/>
      </w:rPr>
      <w:fldChar w:fldCharType="begin"/>
    </w:r>
    <w:r w:rsidRPr="00BB45B9">
      <w:rPr>
        <w:sz w:val="24"/>
        <w:szCs w:val="24"/>
      </w:rPr>
      <w:instrText xml:space="preserve"> PAGE   \* MERGEFORMAT </w:instrText>
    </w:r>
    <w:r w:rsidRPr="00BB45B9">
      <w:rPr>
        <w:sz w:val="24"/>
        <w:szCs w:val="24"/>
      </w:rPr>
      <w:fldChar w:fldCharType="separate"/>
    </w:r>
    <w:r w:rsidR="00764270">
      <w:rPr>
        <w:noProof/>
        <w:sz w:val="24"/>
        <w:szCs w:val="24"/>
      </w:rPr>
      <w:t>13</w:t>
    </w:r>
    <w:r w:rsidRPr="00BB45B9">
      <w:rPr>
        <w:noProof/>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6B6BE6" w:rsidRDefault="009A4F49" w:rsidP="00331EDA">
    <w:pPr>
      <w:pStyle w:val="Footer"/>
      <w:jc w:val="center"/>
      <w:rPr>
        <w:rFonts w:cs="Arial"/>
        <w:sz w:val="24"/>
        <w:szCs w:val="24"/>
      </w:rPr>
    </w:pPr>
    <w:r w:rsidRPr="006B6BE6">
      <w:rPr>
        <w:rFonts w:cs="Arial"/>
        <w:sz w:val="24"/>
        <w:szCs w:val="24"/>
      </w:rPr>
      <w:fldChar w:fldCharType="begin"/>
    </w:r>
    <w:r w:rsidRPr="006B6BE6">
      <w:rPr>
        <w:rFonts w:cs="Arial"/>
        <w:sz w:val="24"/>
        <w:szCs w:val="24"/>
      </w:rPr>
      <w:instrText xml:space="preserve"> PAGE   \* MERGEFORMAT </w:instrText>
    </w:r>
    <w:r w:rsidRPr="006B6BE6">
      <w:rPr>
        <w:rFonts w:cs="Arial"/>
        <w:sz w:val="24"/>
        <w:szCs w:val="24"/>
      </w:rPr>
      <w:fldChar w:fldCharType="separate"/>
    </w:r>
    <w:r w:rsidR="00764270">
      <w:rPr>
        <w:rFonts w:cs="Arial"/>
        <w:noProof/>
        <w:sz w:val="24"/>
        <w:szCs w:val="24"/>
      </w:rPr>
      <w:t>24</w:t>
    </w:r>
    <w:r w:rsidRPr="006B6BE6">
      <w:rPr>
        <w:rFonts w:cs="Arial"/>
        <w:noProof/>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49" w:rsidRPr="00484AE2" w:rsidRDefault="009A4F49" w:rsidP="00307F82">
    <w:pPr>
      <w:pStyle w:val="Footer"/>
      <w:jc w:val="center"/>
      <w:rPr>
        <w:rFonts w:cs="Arial"/>
        <w:sz w:val="24"/>
        <w:szCs w:val="24"/>
      </w:rPr>
    </w:pPr>
    <w:r w:rsidRPr="00484AE2">
      <w:rPr>
        <w:rFonts w:cs="Arial"/>
        <w:sz w:val="24"/>
        <w:szCs w:val="24"/>
      </w:rPr>
      <w:fldChar w:fldCharType="begin"/>
    </w:r>
    <w:r w:rsidRPr="00484AE2">
      <w:rPr>
        <w:rFonts w:cs="Arial"/>
        <w:sz w:val="24"/>
        <w:szCs w:val="24"/>
      </w:rPr>
      <w:instrText xml:space="preserve"> PAGE   \* MERGEFORMAT </w:instrText>
    </w:r>
    <w:r w:rsidRPr="00484AE2">
      <w:rPr>
        <w:rFonts w:cs="Arial"/>
        <w:sz w:val="24"/>
        <w:szCs w:val="24"/>
      </w:rPr>
      <w:fldChar w:fldCharType="separate"/>
    </w:r>
    <w:r w:rsidR="00764270">
      <w:rPr>
        <w:rFonts w:cs="Arial"/>
        <w:noProof/>
        <w:sz w:val="24"/>
        <w:szCs w:val="24"/>
      </w:rPr>
      <w:t>48</w:t>
    </w:r>
    <w:r w:rsidRPr="00484AE2">
      <w:rPr>
        <w:rFonts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3B" w:rsidRDefault="006C413B" w:rsidP="0013660E">
      <w:r>
        <w:separator/>
      </w:r>
    </w:p>
  </w:footnote>
  <w:footnote w:type="continuationSeparator" w:id="0">
    <w:p w:rsidR="006C413B" w:rsidRDefault="006C413B" w:rsidP="0013660E">
      <w:r>
        <w:continuationSeparator/>
      </w:r>
    </w:p>
  </w:footnote>
  <w:footnote w:type="continuationNotice" w:id="1">
    <w:p w:rsidR="006C413B" w:rsidRDefault="006C413B"/>
  </w:footnote>
  <w:footnote w:id="2">
    <w:p w:rsidR="009A4F49" w:rsidRPr="00A7031A" w:rsidRDefault="009A4F49" w:rsidP="0002672C">
      <w:pPr>
        <w:pStyle w:val="FootnoteText"/>
        <w:spacing w:after="0"/>
        <w:rPr>
          <w:lang w:val="en-US"/>
        </w:rPr>
      </w:pPr>
      <w:r w:rsidRPr="00505521">
        <w:rPr>
          <w:rStyle w:val="FootnoteReference"/>
        </w:rPr>
        <w:footnoteRef/>
      </w:r>
      <w:r w:rsidRPr="00505521">
        <w:t xml:space="preserve"> </w:t>
      </w:r>
      <w:r w:rsidRPr="00505521">
        <w:rPr>
          <w:lang w:val="en-US"/>
        </w:rPr>
        <w:tab/>
      </w:r>
      <w:r w:rsidRPr="00A7031A">
        <w:rPr>
          <w:i/>
          <w:lang w:val="en-US"/>
        </w:rPr>
        <w:t>The Universal Declaration on Archives</w:t>
      </w:r>
      <w:r w:rsidRPr="00A7031A">
        <w:rPr>
          <w:lang w:val="en-US"/>
        </w:rPr>
        <w:t xml:space="preserve"> adopted by the 36</w:t>
      </w:r>
      <w:r w:rsidRPr="00A7031A">
        <w:rPr>
          <w:vertAlign w:val="superscript"/>
          <w:lang w:val="en-US"/>
        </w:rPr>
        <w:t>th</w:t>
      </w:r>
      <w:r w:rsidRPr="00A7031A">
        <w:rPr>
          <w:lang w:val="en-US"/>
        </w:rPr>
        <w:t xml:space="preserve"> session of the General Conference of UNESCO in 2011, available at:</w:t>
      </w:r>
    </w:p>
    <w:p w:rsidR="009A4F49" w:rsidRPr="00A7031A" w:rsidRDefault="009A4F49" w:rsidP="00C51DE0">
      <w:pPr>
        <w:pStyle w:val="FootnoteText"/>
        <w:rPr>
          <w:lang w:val="en-US"/>
        </w:rPr>
      </w:pPr>
      <w:r w:rsidRPr="00A7031A">
        <w:tab/>
        <w:t>&lt;https://www.ica.org/sites/default/files/UDA_June%202012_web_EN.pdf&gt;</w:t>
      </w:r>
      <w:r w:rsidRPr="00A7031A">
        <w:rPr>
          <w:rFonts w:hint="eastAsia"/>
          <w:lang w:val="en-US"/>
        </w:rPr>
        <w:t>.</w:t>
      </w:r>
    </w:p>
  </w:footnote>
  <w:footnote w:id="3">
    <w:p w:rsidR="009A4F49" w:rsidRPr="00A7031A" w:rsidRDefault="009A4F49" w:rsidP="0002672C">
      <w:pPr>
        <w:pStyle w:val="FootnoteText"/>
        <w:spacing w:after="0"/>
        <w:rPr>
          <w:lang w:val="en-US"/>
        </w:rPr>
      </w:pPr>
      <w:r w:rsidRPr="00A7031A">
        <w:rPr>
          <w:rStyle w:val="FootnoteReference"/>
        </w:rPr>
        <w:footnoteRef/>
      </w:r>
      <w:r w:rsidRPr="00A7031A">
        <w:t xml:space="preserve"> </w:t>
      </w:r>
      <w:r w:rsidRPr="00A7031A">
        <w:rPr>
          <w:lang w:val="en-US"/>
        </w:rPr>
        <w:tab/>
        <w:t>See "</w:t>
      </w:r>
      <w:r w:rsidRPr="00A7031A">
        <w:rPr>
          <w:i/>
          <w:lang w:val="en-US"/>
        </w:rPr>
        <w:t>Why archiving?</w:t>
      </w:r>
      <w:r w:rsidRPr="00A7031A">
        <w:rPr>
          <w:lang w:val="en-US"/>
        </w:rPr>
        <w:t>" on the webpage of the International Council on Archives: &lt;</w:t>
      </w:r>
      <w:r w:rsidRPr="00A7031A">
        <w:t>https://www.ica.org/en/why-archiving&gt;</w:t>
      </w:r>
      <w:r w:rsidRPr="00A7031A">
        <w:rPr>
          <w:lang w:val="en-US"/>
        </w:rPr>
        <w:t xml:space="preserve">. </w:t>
      </w:r>
    </w:p>
  </w:footnote>
  <w:footnote w:id="4">
    <w:p w:rsidR="009A4F49" w:rsidRPr="00A7031A" w:rsidRDefault="009A4F49" w:rsidP="00C51DE0">
      <w:pPr>
        <w:pStyle w:val="FootnoteText"/>
        <w:rPr>
          <w:lang w:val="en-US"/>
        </w:rPr>
      </w:pPr>
      <w:r w:rsidRPr="00A7031A">
        <w:rPr>
          <w:rStyle w:val="FootnoteReference"/>
        </w:rPr>
        <w:footnoteRef/>
      </w:r>
      <w:r w:rsidRPr="00A7031A">
        <w:rPr>
          <w:lang w:val="en-US"/>
        </w:rPr>
        <w:tab/>
        <w:t>Mr Liao is also the Chairman of the Council of the Hong Kong University of Science and Technology.</w:t>
      </w:r>
    </w:p>
  </w:footnote>
  <w:footnote w:id="5">
    <w:p w:rsidR="009A4F49" w:rsidRPr="00A7031A" w:rsidRDefault="009A4F49" w:rsidP="0002672C">
      <w:pPr>
        <w:pStyle w:val="FootnoteText"/>
        <w:spacing w:after="0"/>
        <w:rPr>
          <w:lang w:val="en-US"/>
        </w:rPr>
      </w:pPr>
      <w:r w:rsidRPr="00A7031A">
        <w:rPr>
          <w:rStyle w:val="FootnoteReference"/>
        </w:rPr>
        <w:footnoteRef/>
      </w:r>
      <w:r w:rsidRPr="00A7031A">
        <w:rPr>
          <w:lang w:val="en-US"/>
        </w:rPr>
        <w:tab/>
        <w:t>Mr Gordon Leung, JP (then Deputy Secretary for Constitutional and Mainland Affairs  1, Constitutional and Mainland Affairs Bureau) was a member of the Sub-committee from its establishment until 9 September 2016.</w:t>
      </w:r>
    </w:p>
  </w:footnote>
  <w:footnote w:id="6">
    <w:p w:rsidR="009A4F49" w:rsidRPr="00A7031A" w:rsidRDefault="009A4F49" w:rsidP="00C51DE0">
      <w:pPr>
        <w:pStyle w:val="FootnoteText"/>
      </w:pPr>
      <w:r w:rsidRPr="00A7031A">
        <w:rPr>
          <w:rStyle w:val="FootnoteReference"/>
        </w:rPr>
        <w:footnoteRef/>
      </w:r>
      <w:r w:rsidRPr="00A7031A">
        <w:t xml:space="preserve"> </w:t>
      </w:r>
      <w:r w:rsidRPr="00A7031A">
        <w:tab/>
        <w:t>Mrs Lee is also a member of the Archives Action Group.</w:t>
      </w:r>
    </w:p>
  </w:footnote>
  <w:footnote w:id="7">
    <w:p w:rsidR="009A4F49" w:rsidRPr="00A7031A" w:rsidRDefault="009A4F49" w:rsidP="00C51DE0">
      <w:pPr>
        <w:pStyle w:val="FootnoteText"/>
        <w:rPr>
          <w:lang w:val="en-US"/>
        </w:rPr>
      </w:pPr>
      <w:r w:rsidRPr="00A7031A">
        <w:rPr>
          <w:rStyle w:val="FootnoteReference"/>
        </w:rPr>
        <w:footnoteRef/>
      </w:r>
      <w:r w:rsidRPr="00A7031A">
        <w:t xml:space="preserve"> </w:t>
      </w:r>
      <w:r w:rsidRPr="00A7031A">
        <w:rPr>
          <w:lang w:val="en-US"/>
        </w:rPr>
        <w:tab/>
        <w:t>Mr TY Lee and Ms Helen Kung were the secretary to the Sub-committee during the periods from 6 November 2014 to 26 July 2015 and from 27 July 2015 to 19 November 2017 respectively.</w:t>
      </w:r>
    </w:p>
  </w:footnote>
  <w:footnote w:id="8">
    <w:p w:rsidR="009A4F49" w:rsidRPr="00842BA3" w:rsidRDefault="009A4F49" w:rsidP="00C51DE0">
      <w:pPr>
        <w:pStyle w:val="FootnoteText"/>
        <w:rPr>
          <w:lang w:val="en-US"/>
        </w:rPr>
      </w:pPr>
      <w:r w:rsidRPr="00A7031A">
        <w:rPr>
          <w:rStyle w:val="FootnoteReference"/>
        </w:rPr>
        <w:footnoteRef/>
      </w:r>
      <w:r w:rsidRPr="00A7031A">
        <w:t xml:space="preserve"> </w:t>
      </w:r>
      <w:r w:rsidRPr="00A7031A">
        <w:rPr>
          <w:lang w:val="en-US"/>
        </w:rPr>
        <w:tab/>
        <w:t>For readers’ easy reference, these provisional views are set out again in Chapter 11 below, apart from the chapters (ie Chapters 6, 8, 9 and 10) in which they first appear.</w:t>
      </w:r>
    </w:p>
  </w:footnote>
  <w:footnote w:id="9">
    <w:p w:rsidR="009A4F49" w:rsidRPr="00A7031A" w:rsidRDefault="009A4F49" w:rsidP="00C51DE0">
      <w:pPr>
        <w:pStyle w:val="FootnoteText"/>
      </w:pPr>
      <w:r w:rsidRPr="00A7031A">
        <w:rPr>
          <w:rStyle w:val="FootnoteReference"/>
        </w:rPr>
        <w:footnoteRef/>
      </w:r>
      <w:r w:rsidRPr="00A7031A">
        <w:t xml:space="preserve"> </w:t>
      </w:r>
      <w:r w:rsidRPr="00A7031A">
        <w:tab/>
        <w:t>See, for example, Part 2 of the Companies Ordinance (Cap 622) regarding the powers and obligations of the Companies Registrar; s 2 of the Land Registration Ordinance (Cap 128); ss 10, 15 and 22 of the Births and Deaths Registration Ordinance (Cap</w:t>
      </w:r>
      <w:r w:rsidRPr="00A7031A">
        <w:rPr>
          <w:lang w:val="en-US"/>
        </w:rPr>
        <w:t> </w:t>
      </w:r>
      <w:r w:rsidRPr="00A7031A">
        <w:t>174); reg 4 of the Land Registration Regulations (Cap 128A); reg 8 of the Registration of Persons Regulations (Cap 177A) and ss 67 to 69 of the Trade Marks Ordinance (Cap 559).</w:t>
      </w:r>
    </w:p>
  </w:footnote>
  <w:footnote w:id="10">
    <w:p w:rsidR="009A4F49" w:rsidRPr="00A7031A" w:rsidRDefault="009A4F49" w:rsidP="00930A35">
      <w:pPr>
        <w:pStyle w:val="FootnoteText"/>
        <w:spacing w:after="0"/>
      </w:pPr>
      <w:r w:rsidRPr="00A7031A">
        <w:rPr>
          <w:rStyle w:val="FootnoteReference"/>
        </w:rPr>
        <w:footnoteRef/>
      </w:r>
      <w:r w:rsidRPr="00A7031A">
        <w:t xml:space="preserve"> </w:t>
      </w:r>
      <w:r w:rsidRPr="00A7031A">
        <w:tab/>
        <w:t>GRS' web page</w:t>
      </w:r>
      <w:r w:rsidRPr="00A7031A">
        <w:rPr>
          <w:lang w:eastAsia="zh-HK"/>
        </w:rPr>
        <w:t xml:space="preserve"> on records management guidelines</w:t>
      </w:r>
      <w:r w:rsidRPr="00A7031A">
        <w:t xml:space="preserve"> is at: </w:t>
      </w:r>
    </w:p>
    <w:p w:rsidR="009A4F49" w:rsidRPr="00A7031A" w:rsidRDefault="009A4F49" w:rsidP="00C51DE0">
      <w:pPr>
        <w:pStyle w:val="FootnoteText"/>
      </w:pPr>
      <w:r w:rsidRPr="00A7031A">
        <w:tab/>
        <w:t>&lt;http://www.grs.gov.hk/en/hksar_government_administrative_guidelines_on_recor</w:t>
      </w:r>
      <w:r w:rsidRPr="00A7031A">
        <w:rPr>
          <w:rFonts w:hint="eastAsia"/>
        </w:rPr>
        <w:t>d</w:t>
      </w:r>
      <w:r w:rsidRPr="00A7031A">
        <w:t>_</w:t>
      </w:r>
      <w:r>
        <w:t>‌</w:t>
      </w:r>
      <w:r w:rsidRPr="00A7031A">
        <w:t>management.html&gt;.</w:t>
      </w:r>
    </w:p>
  </w:footnote>
  <w:footnote w:id="11">
    <w:p w:rsidR="009A4F49" w:rsidRPr="00A7031A" w:rsidRDefault="009A4F49" w:rsidP="00C51DE0">
      <w:pPr>
        <w:pStyle w:val="FootnoteText"/>
      </w:pPr>
      <w:r w:rsidRPr="00A7031A">
        <w:rPr>
          <w:rStyle w:val="FootnoteReference"/>
        </w:rPr>
        <w:footnoteRef/>
      </w:r>
      <w:r w:rsidRPr="00A7031A">
        <w:t xml:space="preserve"> </w:t>
      </w:r>
      <w:r w:rsidRPr="00A7031A">
        <w:tab/>
        <w:t>Para 101 of the RMM.</w:t>
      </w:r>
    </w:p>
  </w:footnote>
  <w:footnote w:id="12">
    <w:p w:rsidR="009A4F49" w:rsidRPr="00A7031A" w:rsidRDefault="009A4F49" w:rsidP="00C51DE0">
      <w:pPr>
        <w:pStyle w:val="FootnoteText"/>
      </w:pPr>
      <w:r w:rsidRPr="00A7031A">
        <w:rPr>
          <w:rStyle w:val="FootnoteReference"/>
        </w:rPr>
        <w:footnoteRef/>
      </w:r>
      <w:r w:rsidRPr="00A7031A">
        <w:t xml:space="preserve"> </w:t>
      </w:r>
      <w:r w:rsidRPr="00A7031A">
        <w:tab/>
        <w:t xml:space="preserve">Paras 106 and 107 of the RMM.  </w:t>
      </w:r>
    </w:p>
  </w:footnote>
  <w:footnote w:id="13">
    <w:p w:rsidR="009A4F49" w:rsidRPr="00A7031A" w:rsidRDefault="009A4F49" w:rsidP="00C51DE0">
      <w:pPr>
        <w:pStyle w:val="FootnoteText"/>
      </w:pPr>
      <w:r w:rsidRPr="00A7031A">
        <w:rPr>
          <w:rStyle w:val="FootnoteReference"/>
        </w:rPr>
        <w:footnoteRef/>
      </w:r>
      <w:r w:rsidRPr="00A7031A">
        <w:t xml:space="preserve"> </w:t>
      </w:r>
      <w:r w:rsidRPr="00A7031A">
        <w:tab/>
        <w:t>Para 112 of the RMM.</w:t>
      </w:r>
    </w:p>
  </w:footnote>
  <w:footnote w:id="14">
    <w:p w:rsidR="009A4F49" w:rsidRPr="00A7031A" w:rsidRDefault="009A4F49" w:rsidP="00C51DE0">
      <w:pPr>
        <w:pStyle w:val="FootnoteText"/>
      </w:pPr>
      <w:r w:rsidRPr="00A7031A">
        <w:rPr>
          <w:rStyle w:val="FootnoteReference"/>
        </w:rPr>
        <w:footnoteRef/>
      </w:r>
      <w:r w:rsidRPr="00A7031A">
        <w:t xml:space="preserve"> </w:t>
      </w:r>
      <w:r w:rsidRPr="00A7031A">
        <w:tab/>
        <w:t>Records scheduling is the action for developing records retention and disposal schedules which stipulate the length of time that records should be retained and the ways they are to be disposed of.  The terms "records retention and disposal schedule" and "records disposal schedule" (or simply "disposal schedule") are interchangeable.  More details of records scheduling are discussed in chapter 2.</w:t>
      </w:r>
    </w:p>
  </w:footnote>
  <w:footnote w:id="15">
    <w:p w:rsidR="009A4F49" w:rsidRPr="00A7031A" w:rsidRDefault="009A4F49" w:rsidP="00C51DE0">
      <w:pPr>
        <w:pStyle w:val="FootnoteText"/>
      </w:pPr>
      <w:r w:rsidRPr="00A7031A">
        <w:rPr>
          <w:rStyle w:val="FootnoteReference"/>
        </w:rPr>
        <w:footnoteRef/>
      </w:r>
      <w:r w:rsidRPr="00A7031A">
        <w:t xml:space="preserve"> </w:t>
      </w:r>
      <w:r w:rsidRPr="00A7031A">
        <w:tab/>
        <w:t xml:space="preserve">Such mandatory records management requirements include </w:t>
      </w:r>
      <w:r w:rsidRPr="00A7031A">
        <w:rPr>
          <w:lang w:eastAsia="zh-HK"/>
        </w:rPr>
        <w:t>designation of Departmental Records Manager ("</w:t>
      </w:r>
      <w:r w:rsidRPr="00A7031A">
        <w:rPr>
          <w:b/>
          <w:lang w:eastAsia="zh-HK"/>
        </w:rPr>
        <w:t>DRM</w:t>
      </w:r>
      <w:r w:rsidRPr="00A7031A">
        <w:rPr>
          <w:lang w:eastAsia="zh-HK"/>
        </w:rPr>
        <w:t xml:space="preserve">"), accurate records inventory, </w:t>
      </w:r>
      <w:r w:rsidRPr="00A7031A">
        <w:t>proper management of</w:t>
      </w:r>
      <w:r w:rsidRPr="00A7031A">
        <w:rPr>
          <w:lang w:eastAsia="zh-HK"/>
        </w:rPr>
        <w:t xml:space="preserve"> email</w:t>
      </w:r>
      <w:r w:rsidRPr="00A7031A">
        <w:t xml:space="preserve"> records, records classification, records disposal (including </w:t>
      </w:r>
      <w:r w:rsidRPr="00A7031A">
        <w:rPr>
          <w:lang w:eastAsia="zh-HK"/>
        </w:rPr>
        <w:t xml:space="preserve">establishment of disposal schedules for all programme records, disposal of time-expired records at least once every two years, </w:t>
      </w:r>
      <w:r w:rsidRPr="00A7031A">
        <w:t xml:space="preserve">destruction of records </w:t>
      </w:r>
      <w:r w:rsidRPr="00A7031A">
        <w:rPr>
          <w:lang w:eastAsia="zh-HK"/>
        </w:rPr>
        <w:t xml:space="preserve">or transfer of records to non-government bodies </w:t>
      </w:r>
      <w:r w:rsidRPr="00A7031A">
        <w:t>subject to prior consent of GRS Director</w:t>
      </w:r>
      <w:r w:rsidRPr="00A7031A">
        <w:rPr>
          <w:lang w:eastAsia="zh-HK"/>
        </w:rPr>
        <w:t>,</w:t>
      </w:r>
      <w:r w:rsidRPr="00A7031A">
        <w:t xml:space="preserve"> and transfer of records having archival value to the GRS), proper custody and storage of records, protection of vital records</w:t>
      </w:r>
      <w:r w:rsidRPr="00A7031A">
        <w:rPr>
          <w:lang w:eastAsia="zh-HK"/>
        </w:rPr>
        <w:t>, and regular review of records management practices</w:t>
      </w:r>
      <w:r w:rsidRPr="00A7031A">
        <w:t xml:space="preserve">. </w:t>
      </w:r>
    </w:p>
  </w:footnote>
  <w:footnote w:id="16">
    <w:p w:rsidR="009A4F49" w:rsidRPr="00A7031A" w:rsidRDefault="009A4F49" w:rsidP="004D2CC1">
      <w:pPr>
        <w:pStyle w:val="FootnoteText"/>
        <w:spacing w:after="0"/>
      </w:pPr>
      <w:r w:rsidRPr="00A7031A">
        <w:rPr>
          <w:rStyle w:val="FootnoteReference"/>
        </w:rPr>
        <w:footnoteRef/>
      </w:r>
      <w:r w:rsidRPr="00A7031A">
        <w:t xml:space="preserve"> </w:t>
      </w:r>
      <w:r w:rsidRPr="00A7031A">
        <w:tab/>
        <w:t>See Parts I and II of the Information Note for the Public Accounts Committee on Chapter 10 of the Director of Audit's Report No 57 entitled "</w:t>
      </w:r>
      <w:r w:rsidRPr="00A7031A">
        <w:rPr>
          <w:i/>
        </w:rPr>
        <w:t>Records Management Work of the Government Records Service</w:t>
      </w:r>
      <w:r w:rsidRPr="00A7031A">
        <w:t>" ("</w:t>
      </w:r>
      <w:r w:rsidRPr="00A7031A">
        <w:rPr>
          <w:b/>
        </w:rPr>
        <w:t>PAC Information Note</w:t>
      </w:r>
      <w:r w:rsidRPr="00A7031A">
        <w:t>"), available at:</w:t>
      </w:r>
    </w:p>
    <w:p w:rsidR="009A4F49" w:rsidRPr="00487E7F" w:rsidRDefault="009A4F49" w:rsidP="00C51DE0">
      <w:pPr>
        <w:pStyle w:val="FootnoteText"/>
      </w:pPr>
      <w:r w:rsidRPr="00A7031A">
        <w:tab/>
        <w:t>&lt;</w:t>
      </w:r>
      <w:hyperlink r:id="rId1" w:history="1">
        <w:r w:rsidRPr="00A7031A">
          <w:rPr>
            <w:rStyle w:val="Hyperlink"/>
            <w:color w:val="auto"/>
            <w:u w:val="none"/>
          </w:rPr>
          <w:t>http://www.grs.gov.hk/pdf/Information_note_E.pdf</w:t>
        </w:r>
      </w:hyperlink>
      <w:r w:rsidRPr="00A7031A">
        <w:rPr>
          <w:rStyle w:val="Hyperlink"/>
          <w:color w:val="auto"/>
          <w:u w:val="none"/>
        </w:rPr>
        <w:t>&gt;</w:t>
      </w:r>
      <w:r w:rsidRPr="00A7031A">
        <w:t xml:space="preserve"> (from p 173 to 175)</w:t>
      </w:r>
      <w:r>
        <w:rPr>
          <w:rFonts w:hint="eastAsia"/>
        </w:rPr>
        <w:t>.</w:t>
      </w:r>
    </w:p>
  </w:footnote>
  <w:footnote w:id="17">
    <w:p w:rsidR="009A4F49" w:rsidRPr="00A7031A" w:rsidRDefault="009A4F49" w:rsidP="00372E3B">
      <w:pPr>
        <w:pStyle w:val="FootnoteText"/>
        <w:spacing w:after="0"/>
      </w:pPr>
      <w:r w:rsidRPr="00A7031A">
        <w:rPr>
          <w:rStyle w:val="FootnoteReference"/>
        </w:rPr>
        <w:footnoteRef/>
      </w:r>
      <w:r w:rsidRPr="00A7031A">
        <w:t xml:space="preserve"> </w:t>
      </w:r>
      <w:r w:rsidRPr="00A7031A">
        <w:tab/>
        <w:t xml:space="preserve">With the exception of the Independent Commission Against Corruption and the Hong Kong Monetary Authority.  See discussion later in this Paper. </w:t>
      </w:r>
    </w:p>
  </w:footnote>
  <w:footnote w:id="18">
    <w:p w:rsidR="009A4F49" w:rsidRPr="00487E7F" w:rsidRDefault="009A4F49" w:rsidP="00C51DE0">
      <w:pPr>
        <w:pStyle w:val="FootnoteText"/>
      </w:pPr>
      <w:r w:rsidRPr="00487E7F">
        <w:rPr>
          <w:rStyle w:val="FootnoteReference"/>
        </w:rPr>
        <w:footnoteRef/>
      </w:r>
      <w:r w:rsidRPr="00487E7F">
        <w:t xml:space="preserve"> </w:t>
      </w:r>
      <w:r w:rsidRPr="00487E7F">
        <w:tab/>
        <w:t xml:space="preserve">Para 220 of the RMM.  </w:t>
      </w:r>
    </w:p>
  </w:footnote>
  <w:footnote w:id="19">
    <w:p w:rsidR="009A4F49" w:rsidRPr="00487E7F" w:rsidRDefault="009A4F49" w:rsidP="00BB1555">
      <w:pPr>
        <w:pStyle w:val="FootnoteText"/>
        <w:spacing w:after="0"/>
      </w:pPr>
      <w:r w:rsidRPr="00487E7F">
        <w:rPr>
          <w:rStyle w:val="FootnoteReference"/>
        </w:rPr>
        <w:footnoteRef/>
      </w:r>
      <w:r w:rsidRPr="00487E7F">
        <w:t xml:space="preserve"> </w:t>
      </w:r>
      <w:r w:rsidRPr="00487E7F">
        <w:tab/>
        <w:t>The Government Microfilm Centre was established in 1997 to provide microfilming and related services to B/Ds and to conduct reviews on microfilming needs in B/D.</w:t>
      </w:r>
    </w:p>
  </w:footnote>
  <w:footnote w:id="20">
    <w:p w:rsidR="009A4F49" w:rsidRPr="00487E7F" w:rsidRDefault="009A4F49" w:rsidP="00C51DE0">
      <w:pPr>
        <w:pStyle w:val="FootnoteText"/>
      </w:pPr>
      <w:r w:rsidRPr="00487E7F">
        <w:rPr>
          <w:rStyle w:val="FootnoteReference"/>
        </w:rPr>
        <w:footnoteRef/>
      </w:r>
      <w:r w:rsidRPr="00487E7F">
        <w:t xml:space="preserve"> </w:t>
      </w:r>
      <w:r w:rsidRPr="00487E7F">
        <w:tab/>
        <w:t xml:space="preserve">An organisation chart of the GRS is available in </w:t>
      </w:r>
      <w:r w:rsidRPr="00487E7F">
        <w:rPr>
          <w:i/>
        </w:rPr>
        <w:t>GRS Annual Report 2016</w:t>
      </w:r>
      <w:r w:rsidRPr="00487E7F">
        <w:t xml:space="preserve">, at p 8, available at: </w:t>
      </w:r>
      <w:r>
        <w:t>&lt;http://www.grs.gov.hk/pdf/GRS_Annual_Report_2016_(Eng).pdf&gt;.</w:t>
      </w:r>
      <w:r w:rsidRPr="00487E7F">
        <w:t xml:space="preserve"> </w:t>
      </w:r>
      <w:hyperlink r:id="rId2" w:history="1"/>
    </w:p>
  </w:footnote>
  <w:footnote w:id="21">
    <w:p w:rsidR="009A4F49" w:rsidRPr="00487E7F" w:rsidRDefault="009A4F49" w:rsidP="00C51DE0">
      <w:pPr>
        <w:pStyle w:val="FootnoteText"/>
        <w:rPr>
          <w:lang w:eastAsia="zh-HK"/>
        </w:rPr>
      </w:pPr>
      <w:r w:rsidRPr="00487E7F">
        <w:rPr>
          <w:rStyle w:val="FootnoteReference"/>
        </w:rPr>
        <w:footnoteRef/>
      </w:r>
      <w:r w:rsidRPr="00487E7F">
        <w:t xml:space="preserve"> </w:t>
      </w:r>
      <w:r w:rsidRPr="00487E7F">
        <w:tab/>
        <w:t>GRS Annual Report 2016 at p 16.</w:t>
      </w:r>
    </w:p>
  </w:footnote>
  <w:footnote w:id="22">
    <w:p w:rsidR="009A4F49" w:rsidRPr="000B26D1" w:rsidRDefault="009A4F49" w:rsidP="00C51DE0">
      <w:pPr>
        <w:pStyle w:val="FootnoteText"/>
      </w:pPr>
      <w:r w:rsidRPr="00487E7F">
        <w:rPr>
          <w:rStyle w:val="FootnoteReference"/>
        </w:rPr>
        <w:footnoteRef/>
      </w:r>
      <w:r w:rsidRPr="00487E7F">
        <w:t xml:space="preserve"> </w:t>
      </w:r>
      <w:r w:rsidRPr="00487E7F">
        <w:tab/>
      </w:r>
      <w:r w:rsidRPr="000B26D1">
        <w:t xml:space="preserve">The Association for Intelligent Information Management (AIIM) is the community that provides education, research, and best practices to help organisations find, control, and optimise their information. </w:t>
      </w:r>
      <w:r w:rsidRPr="00487E7F">
        <w:t xml:space="preserve"> </w:t>
      </w:r>
      <w:r w:rsidRPr="000B26D1">
        <w:t xml:space="preserve">The AIIM was formerly known as the </w:t>
      </w:r>
      <w:r>
        <w:t>"</w:t>
      </w:r>
      <w:r w:rsidRPr="000B26D1">
        <w:t>Association for Information and Image Management</w:t>
      </w:r>
      <w:r>
        <w:t>"</w:t>
      </w:r>
      <w:r w:rsidRPr="000B26D1">
        <w:t xml:space="preserve">. </w:t>
      </w:r>
      <w:r w:rsidRPr="00487E7F">
        <w:t xml:space="preserve"> </w:t>
      </w:r>
      <w:r w:rsidRPr="000B26D1">
        <w:t xml:space="preserve">See further at: </w:t>
      </w:r>
      <w:r>
        <w:t>&lt;</w:t>
      </w:r>
      <w:hyperlink r:id="rId3" w:history="1">
        <w:r w:rsidRPr="000B26D1">
          <w:t>http://www.aiim.org</w:t>
        </w:r>
      </w:hyperlink>
      <w:r>
        <w:t>&gt;</w:t>
      </w:r>
      <w:r w:rsidRPr="000B26D1">
        <w:t xml:space="preserve">. </w:t>
      </w:r>
    </w:p>
  </w:footnote>
  <w:footnote w:id="23">
    <w:p w:rsidR="009A4F49" w:rsidRPr="00677F45" w:rsidRDefault="009A4F49" w:rsidP="00C51DE0">
      <w:pPr>
        <w:pStyle w:val="FootnoteText"/>
        <w:rPr>
          <w:lang w:val="en-US"/>
        </w:rPr>
      </w:pPr>
      <w:r w:rsidRPr="00487E7F">
        <w:rPr>
          <w:rStyle w:val="FootnoteReference"/>
        </w:rPr>
        <w:footnoteRef/>
      </w:r>
      <w:r w:rsidRPr="00487E7F">
        <w:t xml:space="preserve"> </w:t>
      </w:r>
      <w:r w:rsidRPr="00487E7F">
        <w:rPr>
          <w:lang w:val="en-US"/>
        </w:rPr>
        <w:tab/>
        <w:t xml:space="preserve">Para 7(f) of LC Paper No. CB(2) 28/17-18(02) </w:t>
      </w:r>
      <w:r>
        <w:rPr>
          <w:lang w:val="en-US"/>
        </w:rPr>
        <w:t>"</w:t>
      </w:r>
      <w:r w:rsidRPr="00487E7F">
        <w:rPr>
          <w:lang w:val="en-US"/>
        </w:rPr>
        <w:t>The Chief Executive</w:t>
      </w:r>
      <w:r>
        <w:rPr>
          <w:lang w:val="en-US"/>
        </w:rPr>
        <w:t>'</w:t>
      </w:r>
      <w:r w:rsidRPr="00487E7F">
        <w:rPr>
          <w:lang w:val="en-US"/>
        </w:rPr>
        <w:t>s 2017 Policy Address – Policy Initiative of Chief Secretary for Administration</w:t>
      </w:r>
      <w:r>
        <w:rPr>
          <w:lang w:val="en-US"/>
        </w:rPr>
        <w:t>'</w:t>
      </w:r>
      <w:r w:rsidRPr="00487E7F">
        <w:rPr>
          <w:lang w:val="en-US"/>
        </w:rPr>
        <w:t>s Office in relation to Archives Law</w:t>
      </w:r>
      <w:r>
        <w:rPr>
          <w:lang w:val="en-US"/>
        </w:rPr>
        <w:t>"</w:t>
      </w:r>
      <w:r w:rsidRPr="00487E7F">
        <w:rPr>
          <w:lang w:val="en-US"/>
        </w:rPr>
        <w:t xml:space="preserve"> for LegCo Panel on Constitutional Affairs meeting on 16 October 2017: </w:t>
      </w:r>
      <w:r w:rsidRPr="00AA4DBC">
        <w:rPr>
          <w:spacing w:val="-8"/>
          <w:lang w:val="en-US"/>
        </w:rPr>
        <w:t>&lt;https://</w:t>
      </w:r>
      <w:r w:rsidRPr="00AA4DBC">
        <w:rPr>
          <w:spacing w:val="-10"/>
          <w:lang w:val="en-US"/>
        </w:rPr>
        <w:t>www</w:t>
      </w:r>
      <w:r w:rsidRPr="00CD325D">
        <w:rPr>
          <w:lang w:val="en-US"/>
        </w:rPr>
        <w:t>.legco.gov.hk/yr17-18/english/panels/ca/papers/ca20171016cb2-28-2-e.pdf</w:t>
      </w:r>
      <w:r>
        <w:rPr>
          <w:lang w:val="en-US"/>
        </w:rPr>
        <w:t>&gt;.</w:t>
      </w:r>
      <w:r w:rsidRPr="00677F45">
        <w:rPr>
          <w:lang w:val="en-US"/>
        </w:rPr>
        <w:t xml:space="preserve"> </w:t>
      </w:r>
    </w:p>
  </w:footnote>
  <w:footnote w:id="24">
    <w:p w:rsidR="009A4F49" w:rsidRPr="00487E7F" w:rsidRDefault="009A4F49" w:rsidP="00C51DE0">
      <w:pPr>
        <w:pStyle w:val="FootnoteText"/>
      </w:pPr>
      <w:r w:rsidRPr="00487E7F">
        <w:rPr>
          <w:rStyle w:val="FootnoteReference"/>
        </w:rPr>
        <w:footnoteRef/>
      </w:r>
      <w:r w:rsidRPr="00487E7F">
        <w:t xml:space="preserve"> </w:t>
      </w:r>
      <w:r w:rsidRPr="00487E7F">
        <w:tab/>
        <w:t xml:space="preserve">The Hong Kong Public Records Building is located at Kwun Tong, Kowloon. </w:t>
      </w:r>
    </w:p>
  </w:footnote>
  <w:footnote w:id="25">
    <w:p w:rsidR="009A4F49" w:rsidRPr="00487E7F" w:rsidRDefault="009A4F49" w:rsidP="00C51DE0">
      <w:pPr>
        <w:pStyle w:val="FootnoteText"/>
        <w:rPr>
          <w:i/>
          <w:color w:val="FF0000"/>
          <w:lang w:eastAsia="zh-HK"/>
        </w:rPr>
      </w:pPr>
      <w:r w:rsidRPr="00487E7F">
        <w:rPr>
          <w:rStyle w:val="FootnoteReference"/>
        </w:rPr>
        <w:footnoteRef/>
      </w:r>
      <w:r w:rsidRPr="00487E7F">
        <w:t xml:space="preserve"> </w:t>
      </w:r>
      <w:r w:rsidRPr="00487E7F">
        <w:tab/>
        <w:t xml:space="preserve">Presently located in Tuen Mun with two separate sites, namely, Tuen Mun Government Storage Centre and YKK Records Centre.  The total floor area is </w:t>
      </w:r>
      <w:r w:rsidRPr="00487E7F">
        <w:rPr>
          <w:lang w:eastAsia="zh-HK"/>
        </w:rPr>
        <w:t xml:space="preserve">15,200 </w:t>
      </w:r>
      <w:r w:rsidRPr="00487E7F">
        <w:t>square metres</w:t>
      </w:r>
      <w:r w:rsidRPr="00487E7F">
        <w:rPr>
          <w:lang w:eastAsia="zh-HK"/>
        </w:rPr>
        <w:t>.</w:t>
      </w:r>
      <w:r w:rsidRPr="00487E7F">
        <w:t xml:space="preserve">  </w:t>
      </w:r>
      <w:r w:rsidRPr="00487E7F">
        <w:rPr>
          <w:lang w:eastAsia="zh-HK"/>
        </w:rPr>
        <w:t>I</w:t>
      </w:r>
      <w:r w:rsidRPr="00487E7F">
        <w:t xml:space="preserve">t has a storage capacity of </w:t>
      </w:r>
      <w:r w:rsidRPr="00487E7F">
        <w:rPr>
          <w:lang w:eastAsia="zh-HK"/>
        </w:rPr>
        <w:t xml:space="preserve">116,000 </w:t>
      </w:r>
      <w:r w:rsidRPr="00487E7F">
        <w:t>linear metres</w:t>
      </w:r>
      <w:r w:rsidRPr="00487E7F">
        <w:rPr>
          <w:lang w:eastAsia="zh-HK"/>
        </w:rPr>
        <w:t xml:space="preserve"> for inactive records</w:t>
      </w:r>
      <w:r w:rsidRPr="00487E7F">
        <w:rPr>
          <w:i/>
          <w:lang w:eastAsia="zh-HK"/>
        </w:rPr>
        <w:t>.</w:t>
      </w:r>
    </w:p>
  </w:footnote>
  <w:footnote w:id="26">
    <w:p w:rsidR="009A4F49" w:rsidRPr="00487E7F" w:rsidRDefault="009A4F49" w:rsidP="00C51DE0">
      <w:pPr>
        <w:pStyle w:val="FootnoteText"/>
        <w:rPr>
          <w:lang w:eastAsia="zh-HK"/>
        </w:rPr>
      </w:pPr>
      <w:r w:rsidRPr="00487E7F">
        <w:rPr>
          <w:rStyle w:val="FootnoteReference"/>
        </w:rPr>
        <w:footnoteRef/>
      </w:r>
      <w:r w:rsidRPr="00487E7F">
        <w:t xml:space="preserve"> </w:t>
      </w:r>
      <w:r w:rsidRPr="00487E7F">
        <w:tab/>
      </w:r>
      <w:r>
        <w:t>Information provided by GRS on 13 March 2018.</w:t>
      </w:r>
      <w:r w:rsidRPr="00487E7F">
        <w:t xml:space="preserve"> </w:t>
      </w:r>
    </w:p>
  </w:footnote>
  <w:footnote w:id="27">
    <w:p w:rsidR="009A4F49" w:rsidRPr="00487E7F" w:rsidRDefault="009A4F49" w:rsidP="00C51DE0">
      <w:pPr>
        <w:pStyle w:val="FootnoteText"/>
      </w:pPr>
      <w:r w:rsidRPr="00487E7F">
        <w:rPr>
          <w:rStyle w:val="FootnoteReference"/>
        </w:rPr>
        <w:footnoteRef/>
      </w:r>
      <w:r w:rsidRPr="00487E7F">
        <w:t xml:space="preserve"> </w:t>
      </w:r>
      <w:r w:rsidRPr="00487E7F">
        <w:tab/>
        <w:t xml:space="preserve">Christine Loh, Marcos Van Rafelghem and Jaimie C Graham, Managing Public Records for Good Governance and Preservation of Collective Memory: The </w:t>
      </w:r>
      <w:r>
        <w:t>C</w:t>
      </w:r>
      <w:r w:rsidRPr="00487E7F">
        <w:t>ase for Archival Legislation, Civic Exchange, March 2007.</w:t>
      </w:r>
    </w:p>
  </w:footnote>
  <w:footnote w:id="28">
    <w:p w:rsidR="009A4F49" w:rsidRPr="00487E7F" w:rsidRDefault="009A4F49" w:rsidP="00C51DE0">
      <w:pPr>
        <w:pStyle w:val="FootnoteText"/>
      </w:pPr>
      <w:r w:rsidRPr="00487E7F">
        <w:rPr>
          <w:rStyle w:val="FootnoteReference"/>
        </w:rPr>
        <w:footnoteRef/>
      </w:r>
      <w:r w:rsidRPr="00487E7F">
        <w:t xml:space="preserve"> </w:t>
      </w:r>
      <w:r w:rsidRPr="00487E7F">
        <w:tab/>
        <w:t xml:space="preserve">Christine Loh and Nick Frisch, </w:t>
      </w:r>
      <w:r w:rsidRPr="00487E7F">
        <w:rPr>
          <w:i/>
        </w:rPr>
        <w:t>The Memory Hole: Why Hong Kong Needs an Archives Law</w:t>
      </w:r>
      <w:r w:rsidRPr="00487E7F">
        <w:t>, Civic Exchange, November 2011.</w:t>
      </w:r>
    </w:p>
  </w:footnote>
  <w:footnote w:id="29">
    <w:p w:rsidR="009A4F49" w:rsidRDefault="009A4F49" w:rsidP="00BB1555">
      <w:pPr>
        <w:pStyle w:val="FootnoteText"/>
        <w:spacing w:after="0"/>
      </w:pPr>
      <w:r w:rsidRPr="00487E7F">
        <w:rPr>
          <w:rStyle w:val="FootnoteReference"/>
        </w:rPr>
        <w:footnoteRef/>
      </w:r>
      <w:r w:rsidRPr="00487E7F">
        <w:t xml:space="preserve"> </w:t>
      </w:r>
      <w:r w:rsidRPr="00487E7F">
        <w:tab/>
        <w:t xml:space="preserve">Audit Commission, Report No 57, </w:t>
      </w:r>
      <w:r w:rsidRPr="00487E7F">
        <w:rPr>
          <w:i/>
        </w:rPr>
        <w:t xml:space="preserve">Records </w:t>
      </w:r>
      <w:r w:rsidRPr="00487E7F">
        <w:rPr>
          <w:i/>
          <w:lang w:eastAsia="zh-HK"/>
        </w:rPr>
        <w:t>m</w:t>
      </w:r>
      <w:r w:rsidRPr="00487E7F">
        <w:rPr>
          <w:i/>
        </w:rPr>
        <w:t xml:space="preserve">anagement work of the Government </w:t>
      </w:r>
      <w:r>
        <w:rPr>
          <w:i/>
        </w:rPr>
        <w:t>R</w:t>
      </w:r>
      <w:r w:rsidRPr="00487E7F">
        <w:rPr>
          <w:i/>
        </w:rPr>
        <w:t>ecords Service</w:t>
      </w:r>
      <w:r w:rsidRPr="00487E7F">
        <w:t>, October 2011, available at:</w:t>
      </w:r>
    </w:p>
    <w:p w:rsidR="009A4F49" w:rsidRPr="00487E7F" w:rsidRDefault="00BB1555" w:rsidP="00C51DE0">
      <w:pPr>
        <w:pStyle w:val="FootnoteText"/>
      </w:pPr>
      <w:r>
        <w:tab/>
      </w:r>
      <w:r w:rsidR="009A4F49">
        <w:t>&lt;</w:t>
      </w:r>
      <w:r w:rsidR="009A4F49" w:rsidRPr="00CD325D">
        <w:t>http://www.aud.gov.hk/pdf_e/e57ch10.pdf</w:t>
      </w:r>
      <w:r w:rsidR="009A4F49">
        <w:t>&gt;</w:t>
      </w:r>
      <w:r w:rsidR="009A4F49" w:rsidRPr="00487E7F">
        <w:t>.</w:t>
      </w:r>
    </w:p>
  </w:footnote>
  <w:footnote w:id="30">
    <w:p w:rsidR="009A4F49" w:rsidRDefault="009A4F49" w:rsidP="00402C54">
      <w:pPr>
        <w:pStyle w:val="FootnoteText"/>
        <w:spacing w:after="0"/>
      </w:pPr>
      <w:r w:rsidRPr="00487E7F">
        <w:rPr>
          <w:rStyle w:val="FootnoteReference"/>
        </w:rPr>
        <w:footnoteRef/>
      </w:r>
      <w:r w:rsidRPr="00487E7F">
        <w:t xml:space="preserve"> </w:t>
      </w:r>
      <w:r w:rsidRPr="00487E7F">
        <w:tab/>
        <w:t xml:space="preserve">Office of The Ombudsman, Direct Investigation Report </w:t>
      </w:r>
      <w:r>
        <w:t>-</w:t>
      </w:r>
      <w:r w:rsidRPr="00487E7F">
        <w:t xml:space="preserve"> Public Records Management in Hong Kong, March 2014, available at:</w:t>
      </w:r>
    </w:p>
    <w:p w:rsidR="009A4F49" w:rsidRPr="00CD325D" w:rsidRDefault="009A4F49" w:rsidP="00C51DE0">
      <w:pPr>
        <w:pStyle w:val="FootnoteText"/>
      </w:pPr>
      <w:r w:rsidRPr="00487E7F">
        <w:t xml:space="preserve"> </w:t>
      </w:r>
      <w:r>
        <w:tab/>
        <w:t>&lt;</w:t>
      </w:r>
      <w:r w:rsidRPr="00CD325D">
        <w:t>http://ofomb.ombudsman.hk/abc/files/DI246</w:t>
      </w:r>
      <w:r w:rsidRPr="00CD325D">
        <w:rPr>
          <w:spacing w:val="-20"/>
        </w:rPr>
        <w:t>_f</w:t>
      </w:r>
      <w:r w:rsidRPr="00CD325D">
        <w:t>ull_E-</w:t>
      </w:r>
      <w:r w:rsidRPr="00CD325D">
        <w:rPr>
          <w:spacing w:val="-20"/>
        </w:rPr>
        <w:t>20_3_2014_</w:t>
      </w:r>
      <w:r w:rsidRPr="00CD325D">
        <w:t>with_Appendix_1.pdf</w:t>
      </w:r>
      <w:r w:rsidRPr="00AA4DBC">
        <w:rPr>
          <w:rStyle w:val="Hyperlink"/>
          <w:color w:val="auto"/>
          <w:u w:val="none"/>
        </w:rPr>
        <w:t>&gt;.</w:t>
      </w:r>
    </w:p>
  </w:footnote>
  <w:footnote w:id="31">
    <w:p w:rsidR="009A4F49" w:rsidRPr="00487E7F" w:rsidRDefault="009A4F49" w:rsidP="00C51DE0">
      <w:pPr>
        <w:pStyle w:val="FootnoteText"/>
      </w:pPr>
      <w:r w:rsidRPr="00487E7F">
        <w:rPr>
          <w:rStyle w:val="FootnoteReference"/>
        </w:rPr>
        <w:footnoteRef/>
      </w:r>
      <w:r w:rsidRPr="00487E7F">
        <w:t xml:space="preserve"> </w:t>
      </w:r>
      <w:r w:rsidRPr="00487E7F">
        <w:tab/>
        <w:t xml:space="preserve">See, for example, </w:t>
      </w:r>
      <w:r>
        <w:t>"</w:t>
      </w:r>
      <w:r w:rsidRPr="00487E7F">
        <w:rPr>
          <w:i/>
        </w:rPr>
        <w:t>Records swept away on wave of indifference</w:t>
      </w:r>
      <w:r>
        <w:t>"</w:t>
      </w:r>
      <w:r w:rsidRPr="00487E7F">
        <w:t xml:space="preserve">, South China Morning Post, 30 March 2008;  </w:t>
      </w:r>
      <w:r>
        <w:rPr>
          <w:rFonts w:hint="eastAsia"/>
        </w:rPr>
        <w:t>“</w:t>
      </w:r>
      <w:r w:rsidRPr="000B26D1">
        <w:rPr>
          <w:rFonts w:hint="eastAsia"/>
          <w:i/>
          <w:spacing w:val="10"/>
        </w:rPr>
        <w:t>政府總部遷址恐失檔案，前法官促立檔案法</w:t>
      </w:r>
      <w:r>
        <w:rPr>
          <w:rFonts w:hint="eastAsia"/>
        </w:rPr>
        <w:t>”，</w:t>
      </w:r>
      <w:r w:rsidRPr="00487E7F">
        <w:t xml:space="preserve">Hong Kong Economic Journal, 7 March 2011;  </w:t>
      </w:r>
      <w:r>
        <w:t>"</w:t>
      </w:r>
      <w:r w:rsidRPr="00487E7F">
        <w:rPr>
          <w:i/>
        </w:rPr>
        <w:t>Fresh call for archive law to halt destruction of documents</w:t>
      </w:r>
      <w:r>
        <w:t>"</w:t>
      </w:r>
      <w:r w:rsidRPr="00487E7F">
        <w:t>, South China Morning Post, 28 March 2011;  William Waung</w:t>
      </w:r>
      <w:r>
        <w:t xml:space="preserve"> (Founding member of the Archives Action Group; Adjunct Professor, The University of Hong Kong; Former Judge of the Court of First Instance, HKSAR)</w:t>
      </w:r>
      <w:r w:rsidRPr="00487E7F">
        <w:t xml:space="preserve">, </w:t>
      </w:r>
      <w:r>
        <w:t>"</w:t>
      </w:r>
      <w:r w:rsidRPr="00487E7F">
        <w:rPr>
          <w:i/>
        </w:rPr>
        <w:t>Good governance and preserving history: why Hong Kong needs an archives law</w:t>
      </w:r>
      <w:r>
        <w:t>"</w:t>
      </w:r>
      <w:r w:rsidRPr="00487E7F">
        <w:t xml:space="preserve">, Hong Kong Lawyer, July 2011, at 16 to 29;  </w:t>
      </w:r>
      <w:r>
        <w:t>"</w:t>
      </w:r>
      <w:r w:rsidRPr="00487E7F">
        <w:rPr>
          <w:i/>
        </w:rPr>
        <w:t>Archivists ask for action, now</w:t>
      </w:r>
      <w:r>
        <w:t>"</w:t>
      </w:r>
      <w:r w:rsidRPr="00487E7F">
        <w:t>, China Daily, 4</w:t>
      </w:r>
      <w:r>
        <w:rPr>
          <w:lang w:val="en-US"/>
        </w:rPr>
        <w:t> </w:t>
      </w:r>
      <w:r w:rsidRPr="00487E7F">
        <w:t>August 2011;</w:t>
      </w:r>
      <w:r w:rsidRPr="00487E7F">
        <w:rPr>
          <w:lang w:val="en-US"/>
        </w:rPr>
        <w:t xml:space="preserve">  </w:t>
      </w:r>
      <w:r w:rsidRPr="00487E7F">
        <w:t xml:space="preserve">Nicholas Frisch, </w:t>
      </w:r>
      <w:r>
        <w:t>"</w:t>
      </w:r>
      <w:r w:rsidRPr="00487E7F">
        <w:rPr>
          <w:i/>
        </w:rPr>
        <w:t>Hong Kong</w:t>
      </w:r>
      <w:r>
        <w:rPr>
          <w:i/>
        </w:rPr>
        <w:t>'</w:t>
      </w:r>
      <w:r w:rsidRPr="00487E7F">
        <w:rPr>
          <w:i/>
        </w:rPr>
        <w:t>s Blind Spot, The territory lacks a law to ensure the government preserves its records</w:t>
      </w:r>
      <w:r>
        <w:t>"</w:t>
      </w:r>
      <w:r w:rsidRPr="00487E7F">
        <w:t xml:space="preserve">, The Wall Street Journal, 25 November 2011;  Patrick Lo, </w:t>
      </w:r>
      <w:r w:rsidRPr="00487E7F">
        <w:rPr>
          <w:i/>
        </w:rPr>
        <w:t>Preserving Local Documentary Heritage, Conversations with Special Library Managers and Archivists in Hong Kong</w:t>
      </w:r>
      <w:r w:rsidRPr="00487E7F">
        <w:t xml:space="preserve"> (City University of Hong Kong Press, 2015), Ch 1 and 2. </w:t>
      </w:r>
    </w:p>
  </w:footnote>
  <w:footnote w:id="32">
    <w:p w:rsidR="009A4F49" w:rsidRDefault="009A4F49" w:rsidP="00402C54">
      <w:pPr>
        <w:pStyle w:val="FootnoteText"/>
        <w:spacing w:after="0"/>
      </w:pPr>
      <w:r w:rsidRPr="00487E7F">
        <w:rPr>
          <w:rStyle w:val="FootnoteReference"/>
        </w:rPr>
        <w:footnoteRef/>
      </w:r>
      <w:r w:rsidRPr="00487E7F">
        <w:t xml:space="preserve"> </w:t>
      </w:r>
      <w:r w:rsidRPr="00487E7F">
        <w:tab/>
        <w:t>The Commission of Inquiry</w:t>
      </w:r>
      <w:r>
        <w:t>'</w:t>
      </w:r>
      <w:r w:rsidRPr="00487E7F">
        <w:t>s Report dated 10 April 2013 on the collision of vessels near Lamma Island on 1 October 2012 showed shortcomings of the Marine Department</w:t>
      </w:r>
      <w:r>
        <w:t>'</w:t>
      </w:r>
      <w:r w:rsidRPr="00487E7F">
        <w:t xml:space="preserve">s recordkeeping, including the absence of contemporaneous documentation of the genesis of decision-making, policy and job requirements.  The redacted version of this report is available at : </w:t>
      </w:r>
    </w:p>
    <w:p w:rsidR="009A4F49" w:rsidRPr="00487E7F" w:rsidRDefault="00402C54" w:rsidP="00C51DE0">
      <w:pPr>
        <w:pStyle w:val="FootnoteText"/>
        <w:rPr>
          <w:rStyle w:val="Hyperlink"/>
        </w:rPr>
      </w:pPr>
      <w:r>
        <w:tab/>
      </w:r>
      <w:r w:rsidR="009A4F49">
        <w:t>&lt;</w:t>
      </w:r>
      <w:r w:rsidR="009A4F49" w:rsidRPr="00102790">
        <w:t>http://www.legco.gov.hk/yr12-13/english/panels/edev/papers/edev0527-rpt20130430</w:t>
      </w:r>
      <w:r w:rsidR="009A4F49">
        <w:t>‌</w:t>
      </w:r>
      <w:r w:rsidR="009A4F49" w:rsidRPr="00102790">
        <w:t>-e.pdf</w:t>
      </w:r>
      <w:r w:rsidR="009A4F49">
        <w:t>&gt;</w:t>
      </w:r>
      <w:r w:rsidR="009A4F49" w:rsidRPr="000B26D1">
        <w:t>.</w:t>
      </w:r>
    </w:p>
    <w:p w:rsidR="009A4F49" w:rsidRPr="00487E7F" w:rsidRDefault="009A4F49" w:rsidP="00C51DE0">
      <w:pPr>
        <w:pStyle w:val="FootnoteText"/>
      </w:pPr>
      <w:r>
        <w:tab/>
      </w:r>
      <w:r w:rsidRPr="00487E7F">
        <w:t>Questions have been raised regarding Government</w:t>
      </w:r>
      <w:r>
        <w:t>'</w:t>
      </w:r>
      <w:r w:rsidRPr="00487E7F">
        <w:t>s destruction of records.  See, for example, the Chief Secretary for Administration</w:t>
      </w:r>
      <w:r>
        <w:t>'</w:t>
      </w:r>
      <w:r w:rsidRPr="00487E7F">
        <w:t xml:space="preserve">s written reply to the question raised by Hon Emily Lau in the Legislative Council dated 19 October 2011 at: </w:t>
      </w:r>
      <w:r>
        <w:t>&lt;</w:t>
      </w:r>
      <w:r w:rsidRPr="00102790">
        <w:t>http://www.info.gov.hk/gia/general/201110/19/P201110190200.htm</w:t>
      </w:r>
      <w:r>
        <w:t>&gt;</w:t>
      </w:r>
      <w:r w:rsidRPr="00487E7F">
        <w:t>.</w:t>
      </w:r>
    </w:p>
  </w:footnote>
  <w:footnote w:id="33">
    <w:p w:rsidR="009A4F49" w:rsidRPr="00487E7F" w:rsidRDefault="009A4F49" w:rsidP="00C51DE0">
      <w:pPr>
        <w:pStyle w:val="FootnoteText"/>
      </w:pPr>
      <w:r w:rsidRPr="00487E7F">
        <w:rPr>
          <w:rStyle w:val="FootnoteReference"/>
        </w:rPr>
        <w:footnoteRef/>
      </w:r>
      <w:r w:rsidRPr="00487E7F">
        <w:t xml:space="preserve"> </w:t>
      </w:r>
      <w:r w:rsidRPr="00487E7F">
        <w:tab/>
        <w:t xml:space="preserve">For instance, in </w:t>
      </w:r>
      <w:r w:rsidRPr="00487E7F">
        <w:rPr>
          <w:i/>
        </w:rPr>
        <w:t>Chu Woan-chyi &amp; Ors v The Director of Immigration</w:t>
      </w:r>
      <w:r w:rsidRPr="00487E7F">
        <w:t xml:space="preserve"> (HCAL 32/2003, at para 110; [2007] HKCFI 267; [2007] 3 HKC 168), Hartmann J (as he then was) expressed concern that there was a lack of substantive contemporary records in the archives of Government to show why four applicants, together with more than 70</w:t>
      </w:r>
      <w:r>
        <w:rPr>
          <w:lang w:val="en-US"/>
        </w:rPr>
        <w:t> </w:t>
      </w:r>
      <w:r w:rsidRPr="00487E7F">
        <w:t>others, were refused entry to Hong Kong.</w:t>
      </w:r>
      <w:r w:rsidRPr="00487E7F">
        <w:rPr>
          <w:i/>
        </w:rPr>
        <w:t xml:space="preserve">  </w:t>
      </w:r>
      <w:r w:rsidRPr="00487E7F">
        <w:t xml:space="preserve">See also </w:t>
      </w:r>
      <w:r w:rsidRPr="00B04CCB">
        <w:rPr>
          <w:i/>
        </w:rPr>
        <w:t>Abid</w:t>
      </w:r>
      <w:r>
        <w:t xml:space="preserve"> </w:t>
      </w:r>
      <w:r w:rsidRPr="00487E7F">
        <w:rPr>
          <w:i/>
        </w:rPr>
        <w:t>Saeed v Secretary for Justice</w:t>
      </w:r>
      <w:r w:rsidRPr="00487E7F">
        <w:t xml:space="preserve"> [2015] 1 HKLRD 1030 at paras 94-101.</w:t>
      </w:r>
    </w:p>
  </w:footnote>
  <w:footnote w:id="34">
    <w:p w:rsidR="009A4F49" w:rsidRPr="00487E7F" w:rsidRDefault="009A4F49" w:rsidP="001868A6">
      <w:pPr>
        <w:pStyle w:val="FootnoteText"/>
        <w:spacing w:after="0"/>
      </w:pPr>
      <w:r w:rsidRPr="00487E7F">
        <w:rPr>
          <w:rStyle w:val="FootnoteReference"/>
        </w:rPr>
        <w:footnoteRef/>
      </w:r>
      <w:r w:rsidRPr="00487E7F">
        <w:t xml:space="preserve"> </w:t>
      </w:r>
      <w:r w:rsidRPr="00487E7F">
        <w:tab/>
        <w:t xml:space="preserve">Hong Kong Hansard, Session 2011-12, 16 November 2011, at 2182, available at: </w:t>
      </w:r>
    </w:p>
    <w:p w:rsidR="009A4F49" w:rsidRPr="00487E7F" w:rsidRDefault="009A4F49" w:rsidP="00C51DE0">
      <w:pPr>
        <w:pStyle w:val="FootnoteText"/>
      </w:pPr>
      <w:r w:rsidRPr="00487E7F">
        <w:tab/>
      </w:r>
      <w:r>
        <w:t>&lt;</w:t>
      </w:r>
      <w:r w:rsidRPr="00102790">
        <w:t>http://legco.gov.hk/yr11-12/english/counmtg/hansard/cm1116-translate-e.pdf</w:t>
      </w:r>
      <w:r>
        <w:t>&gt;</w:t>
      </w:r>
      <w:r w:rsidRPr="00487E7F">
        <w:t xml:space="preserve">.  </w:t>
      </w:r>
    </w:p>
  </w:footnote>
  <w:footnote w:id="35">
    <w:p w:rsidR="009A4F49" w:rsidRPr="00487E7F" w:rsidRDefault="009A4F49" w:rsidP="00C51DE0">
      <w:pPr>
        <w:pStyle w:val="FootnoteText"/>
      </w:pPr>
      <w:r w:rsidRPr="00487E7F">
        <w:rPr>
          <w:rStyle w:val="FootnoteReference"/>
        </w:rPr>
        <w:footnoteRef/>
      </w:r>
      <w:r w:rsidRPr="00487E7F">
        <w:t xml:space="preserve"> </w:t>
      </w:r>
      <w:r w:rsidRPr="00487E7F">
        <w:tab/>
        <w:t xml:space="preserve">They were the Hon Tanya Chan, the Hon Dennis Kwok and the Hon Charles Mok. </w:t>
      </w:r>
      <w:r>
        <w:rPr>
          <w:rFonts w:hint="eastAsia"/>
        </w:rPr>
        <w:t xml:space="preserve"> </w:t>
      </w:r>
      <w:r w:rsidRPr="00487E7F">
        <w:t xml:space="preserve">A copy of the draft Public Records Bill and other relevant materials are available at: </w:t>
      </w:r>
      <w:r>
        <w:t>&lt;</w:t>
      </w:r>
      <w:r w:rsidRPr="00102790">
        <w:t>https://www.charlesmok.hk/legco/hon-charles-mok-hon-tanya-chan-and-hon-dennis-kwok-will-table-the-draft-public-records-bill-as-members-bill/</w:t>
      </w:r>
      <w:r>
        <w:t>&gt;</w:t>
      </w:r>
      <w:r w:rsidRPr="00487E7F">
        <w:t xml:space="preserve">.  </w:t>
      </w:r>
    </w:p>
  </w:footnote>
  <w:footnote w:id="36">
    <w:p w:rsidR="009A4F49" w:rsidRPr="00463E32" w:rsidRDefault="009A4F49" w:rsidP="00C51DE0">
      <w:pPr>
        <w:pStyle w:val="FootnoteText"/>
      </w:pPr>
      <w:r w:rsidRPr="00463E32">
        <w:rPr>
          <w:rStyle w:val="FootnoteReference"/>
        </w:rPr>
        <w:footnoteRef/>
      </w:r>
      <w:r w:rsidRPr="00463E32">
        <w:t xml:space="preserve"> </w:t>
      </w:r>
      <w:r w:rsidRPr="00463E32">
        <w:tab/>
        <w:t>Records Management Glossary in Appendix B of the RMM.</w:t>
      </w:r>
    </w:p>
  </w:footnote>
  <w:footnote w:id="37">
    <w:p w:rsidR="009A4F49" w:rsidRPr="00463E32" w:rsidRDefault="009A4F49" w:rsidP="00C51DE0">
      <w:pPr>
        <w:pStyle w:val="FootnoteText"/>
      </w:pPr>
      <w:r w:rsidRPr="00463E32">
        <w:rPr>
          <w:rStyle w:val="FootnoteReference"/>
        </w:rPr>
        <w:footnoteRef/>
      </w:r>
      <w:r w:rsidRPr="00463E32">
        <w:t xml:space="preserve"> </w:t>
      </w:r>
      <w:r w:rsidRPr="00463E32">
        <w:tab/>
        <w:t xml:space="preserve">Para 115 of the RMM.    </w:t>
      </w:r>
    </w:p>
  </w:footnote>
  <w:footnote w:id="38">
    <w:p w:rsidR="009A4F49" w:rsidRPr="00463E32" w:rsidRDefault="009A4F49" w:rsidP="00C51DE0">
      <w:pPr>
        <w:pStyle w:val="FootnoteText"/>
      </w:pPr>
      <w:r w:rsidRPr="00463E32">
        <w:rPr>
          <w:rStyle w:val="FootnoteReference"/>
        </w:rPr>
        <w:footnoteRef/>
      </w:r>
      <w:r w:rsidRPr="00463E32">
        <w:t xml:space="preserve"> </w:t>
      </w:r>
      <w:r w:rsidRPr="00463E32">
        <w:tab/>
        <w:t>Records Management Glossary in Appendix B of the RMM.</w:t>
      </w:r>
    </w:p>
  </w:footnote>
  <w:footnote w:id="39">
    <w:p w:rsidR="009A4F49" w:rsidRPr="00463E32" w:rsidRDefault="009A4F49" w:rsidP="00C51DE0">
      <w:pPr>
        <w:pStyle w:val="FootnoteText"/>
      </w:pPr>
      <w:r w:rsidRPr="00463E32">
        <w:rPr>
          <w:rStyle w:val="FootnoteReference"/>
        </w:rPr>
        <w:footnoteRef/>
      </w:r>
      <w:r w:rsidRPr="00463E32">
        <w:t xml:space="preserve"> </w:t>
      </w:r>
      <w:r w:rsidRPr="00463E32">
        <w:tab/>
        <w:t xml:space="preserve">Records Management Glossary in Appendix B of the RMM. </w:t>
      </w:r>
    </w:p>
  </w:footnote>
  <w:footnote w:id="40">
    <w:p w:rsidR="009A4F49" w:rsidRPr="00463E32" w:rsidRDefault="009A4F49" w:rsidP="00C51DE0">
      <w:pPr>
        <w:pStyle w:val="FootnoteText"/>
      </w:pPr>
      <w:r w:rsidRPr="00463E32">
        <w:rPr>
          <w:rStyle w:val="FootnoteReference"/>
        </w:rPr>
        <w:footnoteRef/>
      </w:r>
      <w:r w:rsidRPr="00463E32">
        <w:t xml:space="preserve"> </w:t>
      </w:r>
      <w:r w:rsidRPr="00463E32">
        <w:tab/>
        <w:t xml:space="preserve">Records Management Glossary in Appendix B of the RMM.  </w:t>
      </w:r>
    </w:p>
  </w:footnote>
  <w:footnote w:id="41">
    <w:p w:rsidR="009A4F49" w:rsidRPr="00463E32" w:rsidRDefault="009A4F49" w:rsidP="00C51DE0">
      <w:pPr>
        <w:pStyle w:val="FootnoteText"/>
      </w:pPr>
      <w:r w:rsidRPr="00463E32">
        <w:rPr>
          <w:rStyle w:val="FootnoteReference"/>
        </w:rPr>
        <w:footnoteRef/>
      </w:r>
      <w:r w:rsidRPr="00463E32">
        <w:t xml:space="preserve"> </w:t>
      </w:r>
      <w:r w:rsidRPr="00463E32">
        <w:tab/>
        <w:t xml:space="preserve">Records Management Glossary in Appendix B of the RMM.  </w:t>
      </w:r>
    </w:p>
  </w:footnote>
  <w:footnote w:id="42">
    <w:p w:rsidR="009A4F49" w:rsidRPr="00463E32" w:rsidRDefault="009A4F49" w:rsidP="00C51DE0">
      <w:pPr>
        <w:pStyle w:val="FootnoteText"/>
      </w:pPr>
      <w:r w:rsidRPr="00463E32">
        <w:rPr>
          <w:rStyle w:val="FootnoteReference"/>
        </w:rPr>
        <w:footnoteRef/>
      </w:r>
      <w:r w:rsidRPr="00463E32">
        <w:t xml:space="preserve"> </w:t>
      </w:r>
      <w:r w:rsidRPr="00463E32">
        <w:tab/>
        <w:t>Paras 200 and 208 of the RMM.  A comprehensive records management programme includes (i) determining what records should be created, what form and structure records should be created and the level of accuracy and security required; and (ii)</w:t>
      </w:r>
      <w:r w:rsidRPr="00463E32">
        <w:rPr>
          <w:lang w:val="en-US"/>
        </w:rPr>
        <w:t> </w:t>
      </w:r>
      <w:r w:rsidRPr="00463E32">
        <w:t xml:space="preserve">ensuring compliance with legal and regulatory requirement, applicable standards and organisational policy. </w:t>
      </w:r>
    </w:p>
  </w:footnote>
  <w:footnote w:id="43">
    <w:p w:rsidR="009A4F49" w:rsidRPr="00463E32" w:rsidRDefault="009A4F49" w:rsidP="00C51DE0">
      <w:pPr>
        <w:pStyle w:val="FootnoteText"/>
        <w:rPr>
          <w:lang w:eastAsia="zh-HK"/>
        </w:rPr>
      </w:pPr>
      <w:r w:rsidRPr="00463E32">
        <w:rPr>
          <w:rStyle w:val="FootnoteReference"/>
        </w:rPr>
        <w:footnoteRef/>
      </w:r>
      <w:r w:rsidRPr="00463E32">
        <w:t xml:space="preserve"> </w:t>
      </w:r>
      <w:r w:rsidRPr="00463E32">
        <w:tab/>
        <w:t>Para 221 of the RMM.</w:t>
      </w:r>
      <w:r w:rsidRPr="00463E32">
        <w:rPr>
          <w:lang w:eastAsia="zh-HK"/>
        </w:rPr>
        <w:t xml:space="preserve">  </w:t>
      </w:r>
    </w:p>
  </w:footnote>
  <w:footnote w:id="44">
    <w:p w:rsidR="009A4F49" w:rsidRPr="00463E32" w:rsidRDefault="009A4F49" w:rsidP="00C51DE0">
      <w:pPr>
        <w:pStyle w:val="FootnoteText"/>
        <w:rPr>
          <w:lang w:eastAsia="zh-HK"/>
        </w:rPr>
      </w:pPr>
      <w:r w:rsidRPr="00463E32">
        <w:rPr>
          <w:rStyle w:val="FootnoteReference"/>
        </w:rPr>
        <w:footnoteRef/>
      </w:r>
      <w:r w:rsidRPr="00463E32">
        <w:t xml:space="preserve"> </w:t>
      </w:r>
      <w:r w:rsidRPr="00463E32">
        <w:tab/>
        <w:t>Administration Wing Circular Memorandum No</w:t>
      </w:r>
      <w:r w:rsidRPr="00463E32">
        <w:rPr>
          <w:lang w:val="en-US"/>
        </w:rPr>
        <w:t> </w:t>
      </w:r>
      <w:r w:rsidRPr="00463E32">
        <w:t xml:space="preserve">5/2012 - </w:t>
      </w:r>
      <w:r w:rsidRPr="00463E32">
        <w:rPr>
          <w:lang w:val="en-US"/>
        </w:rPr>
        <w:t>Establishment</w:t>
      </w:r>
      <w:r w:rsidRPr="00463E32">
        <w:t xml:space="preserve"> of Departmental Records Management Policies (</w:t>
      </w:r>
      <w:r>
        <w:t>"</w:t>
      </w:r>
      <w:r w:rsidRPr="00463E32">
        <w:rPr>
          <w:b/>
        </w:rPr>
        <w:t>EDRMP</w:t>
      </w:r>
      <w:r>
        <w:t>"</w:t>
      </w:r>
      <w:r w:rsidRPr="00463E32">
        <w:t>)</w:t>
      </w:r>
      <w:r w:rsidRPr="00463E32">
        <w:rPr>
          <w:lang w:eastAsia="zh-HK"/>
        </w:rPr>
        <w:t xml:space="preserve"> para 7 in Annex I. </w:t>
      </w:r>
    </w:p>
  </w:footnote>
  <w:footnote w:id="45">
    <w:p w:rsidR="009A4F49" w:rsidRPr="00463E32" w:rsidRDefault="009A4F49" w:rsidP="00C51DE0">
      <w:pPr>
        <w:pStyle w:val="FootnoteText"/>
      </w:pPr>
      <w:r w:rsidRPr="00463E32">
        <w:rPr>
          <w:rStyle w:val="FootnoteReference"/>
        </w:rPr>
        <w:footnoteRef/>
      </w:r>
      <w:r w:rsidRPr="00463E32">
        <w:t xml:space="preserve"> </w:t>
      </w:r>
      <w:r w:rsidRPr="00463E32">
        <w:tab/>
        <w:t>The DRM is normally the Departmental Secretary or an officer holding equivalent position.</w:t>
      </w:r>
    </w:p>
  </w:footnote>
  <w:footnote w:id="46">
    <w:p w:rsidR="009A4F49" w:rsidRPr="00463E32" w:rsidRDefault="009A4F49" w:rsidP="00C51DE0">
      <w:pPr>
        <w:pStyle w:val="FootnoteText"/>
      </w:pPr>
      <w:r w:rsidRPr="00463E32">
        <w:rPr>
          <w:rStyle w:val="FootnoteReference"/>
        </w:rPr>
        <w:footnoteRef/>
      </w:r>
      <w:r w:rsidRPr="00463E32">
        <w:t xml:space="preserve"> </w:t>
      </w:r>
      <w:r w:rsidRPr="00463E32">
        <w:tab/>
        <w:t>Paras 210, 21</w:t>
      </w:r>
      <w:r w:rsidRPr="00463E32">
        <w:rPr>
          <w:lang w:eastAsia="zh-HK"/>
        </w:rPr>
        <w:t>2</w:t>
      </w:r>
      <w:r w:rsidRPr="00463E32">
        <w:t xml:space="preserve"> and Appendix C of the RMM.</w:t>
      </w:r>
    </w:p>
  </w:footnote>
  <w:footnote w:id="47">
    <w:p w:rsidR="009A4F49" w:rsidRPr="00463E32" w:rsidRDefault="009A4F49" w:rsidP="00C51DE0">
      <w:pPr>
        <w:pStyle w:val="FootnoteText"/>
        <w:rPr>
          <w:lang w:val="es-ES" w:eastAsia="zh-HK"/>
        </w:rPr>
      </w:pPr>
      <w:r w:rsidRPr="00463E32">
        <w:rPr>
          <w:rStyle w:val="FootnoteReference"/>
        </w:rPr>
        <w:footnoteRef/>
      </w:r>
      <w:r w:rsidRPr="00463E32">
        <w:rPr>
          <w:lang w:val="es-ES"/>
        </w:rPr>
        <w:t xml:space="preserve"> </w:t>
      </w:r>
      <w:r w:rsidRPr="00463E32">
        <w:rPr>
          <w:lang w:val="es-ES"/>
        </w:rPr>
        <w:tab/>
        <w:t>Paras 2, 3 and 8 of</w:t>
      </w:r>
      <w:r w:rsidRPr="00463E32">
        <w:rPr>
          <w:lang w:val="es-ES" w:eastAsia="zh-HK"/>
        </w:rPr>
        <w:t xml:space="preserve"> the </w:t>
      </w:r>
      <w:r>
        <w:rPr>
          <w:lang w:val="es-ES" w:eastAsia="zh-HK"/>
        </w:rPr>
        <w:t>"</w:t>
      </w:r>
      <w:r w:rsidRPr="00463E32">
        <w:rPr>
          <w:lang w:val="es-ES" w:eastAsia="zh-HK"/>
        </w:rPr>
        <w:t>Guidelines on Creation and Collection of Records</w:t>
      </w:r>
      <w:r>
        <w:rPr>
          <w:lang w:val="es-ES" w:eastAsia="zh-HK"/>
        </w:rPr>
        <w:t>"</w:t>
      </w:r>
      <w:r w:rsidRPr="00463E32">
        <w:rPr>
          <w:lang w:val="es-ES" w:eastAsia="zh-HK"/>
        </w:rPr>
        <w:t xml:space="preserve"> promulgated in </w:t>
      </w:r>
      <w:r w:rsidRPr="00463E32">
        <w:rPr>
          <w:lang w:val="es-ES"/>
        </w:rPr>
        <w:t xml:space="preserve">the </w:t>
      </w:r>
      <w:r w:rsidRPr="00463E32">
        <w:rPr>
          <w:i/>
        </w:rPr>
        <w:t>Administration Wing Circular Memorandum No 4/2012 - Guidelines on Creation and Collection of Records</w:t>
      </w:r>
      <w:r w:rsidRPr="00463E32">
        <w:rPr>
          <w:lang w:val="es-ES"/>
        </w:rPr>
        <w:t xml:space="preserve"> (</w:t>
      </w:r>
      <w:r>
        <w:rPr>
          <w:lang w:val="es-ES"/>
        </w:rPr>
        <w:t>"</w:t>
      </w:r>
      <w:r w:rsidRPr="00463E32">
        <w:rPr>
          <w:b/>
          <w:lang w:val="es-ES"/>
        </w:rPr>
        <w:t>GCCR</w:t>
      </w:r>
      <w:r>
        <w:rPr>
          <w:lang w:val="es-ES"/>
        </w:rPr>
        <w:t>"</w:t>
      </w:r>
      <w:r w:rsidRPr="00463E32">
        <w:rPr>
          <w:lang w:val="es-ES"/>
        </w:rPr>
        <w:t xml:space="preserve">); para 303 of the RMM.  </w:t>
      </w:r>
    </w:p>
  </w:footnote>
  <w:footnote w:id="48">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Paras 8 and 17 of the </w:t>
      </w:r>
      <w:r>
        <w:rPr>
          <w:lang w:val="es-ES" w:eastAsia="zh-HK"/>
        </w:rPr>
        <w:t>"</w:t>
      </w:r>
      <w:r w:rsidRPr="00463E32">
        <w:rPr>
          <w:lang w:val="es-ES" w:eastAsia="zh-HK"/>
        </w:rPr>
        <w:t>Guidelines on Creation and Collection of Records</w:t>
      </w:r>
      <w:r>
        <w:rPr>
          <w:lang w:val="es-ES" w:eastAsia="zh-HK"/>
        </w:rPr>
        <w:t>"</w:t>
      </w:r>
      <w:r w:rsidRPr="00463E32">
        <w:rPr>
          <w:lang w:val="es-ES" w:eastAsia="zh-HK"/>
        </w:rPr>
        <w:t xml:space="preserve"> promulgated in</w:t>
      </w:r>
      <w:r w:rsidRPr="00463E32">
        <w:rPr>
          <w:lang w:val="es-ES"/>
        </w:rPr>
        <w:t xml:space="preserve"> the GCCR.  </w:t>
      </w:r>
    </w:p>
  </w:footnote>
  <w:footnote w:id="49">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18 of the </w:t>
      </w:r>
      <w:r>
        <w:rPr>
          <w:lang w:val="es-ES" w:eastAsia="zh-HK"/>
        </w:rPr>
        <w:t>"</w:t>
      </w:r>
      <w:r w:rsidRPr="00463E32">
        <w:rPr>
          <w:lang w:val="es-ES" w:eastAsia="zh-HK"/>
        </w:rPr>
        <w:t>Guidelines on Creation and Collection of Records</w:t>
      </w:r>
      <w:r>
        <w:rPr>
          <w:lang w:val="es-ES" w:eastAsia="zh-HK"/>
        </w:rPr>
        <w:t>"</w:t>
      </w:r>
      <w:r w:rsidRPr="00463E32">
        <w:rPr>
          <w:lang w:val="es-ES" w:eastAsia="zh-HK"/>
        </w:rPr>
        <w:t xml:space="preserve"> promulgated in</w:t>
      </w:r>
      <w:r w:rsidRPr="00463E32">
        <w:rPr>
          <w:lang w:val="es-ES"/>
        </w:rPr>
        <w:t xml:space="preserve"> the GCCR.</w:t>
      </w:r>
    </w:p>
  </w:footnote>
  <w:footnote w:id="50">
    <w:p w:rsidR="009A4F49" w:rsidRPr="00463E32" w:rsidRDefault="009A4F49" w:rsidP="00C51DE0">
      <w:pPr>
        <w:pStyle w:val="FootnoteText"/>
      </w:pPr>
      <w:r w:rsidRPr="00463E32">
        <w:rPr>
          <w:rStyle w:val="FootnoteReference"/>
        </w:rPr>
        <w:footnoteRef/>
      </w:r>
      <w:r w:rsidRPr="00463E32">
        <w:t xml:space="preserve"> </w:t>
      </w:r>
      <w:r w:rsidRPr="00463E32">
        <w:tab/>
        <w:t>For example, the structure of a memorandum should cover its header and body; whereas its contextual information should include sender, addressees, issue date, reference and security classification, see item I in Appendix </w:t>
      </w:r>
      <w:r w:rsidRPr="00463E32">
        <w:rPr>
          <w:lang w:eastAsia="zh-HK"/>
        </w:rPr>
        <w:t>I</w:t>
      </w:r>
      <w:r w:rsidRPr="00463E32">
        <w:t>(b) to PAC Information Note issued by the Administration Wing of the Chief Secretary for Administration</w:t>
      </w:r>
      <w:r>
        <w:t>'</w:t>
      </w:r>
      <w:r w:rsidRPr="00463E32">
        <w:t xml:space="preserve">s Office, available at: </w:t>
      </w:r>
      <w:r>
        <w:t>&lt;</w:t>
      </w:r>
      <w:r w:rsidRPr="007B430E">
        <w:t>http://www.grs.gov.hk/pdf/Information_note_E.pdf</w:t>
      </w:r>
      <w:r>
        <w:t>&gt;</w:t>
      </w:r>
      <w:r w:rsidRPr="00463E32">
        <w:t xml:space="preserve">.  </w:t>
      </w:r>
    </w:p>
  </w:footnote>
  <w:footnote w:id="51">
    <w:p w:rsidR="009A4F49" w:rsidRPr="00463E32" w:rsidRDefault="009A4F49" w:rsidP="00C51DE0">
      <w:pPr>
        <w:pStyle w:val="FootnoteText"/>
      </w:pPr>
      <w:r w:rsidRPr="00463E32">
        <w:rPr>
          <w:rStyle w:val="FootnoteReference"/>
        </w:rPr>
        <w:footnoteRef/>
      </w:r>
      <w:r w:rsidRPr="00463E32">
        <w:t xml:space="preserve"> </w:t>
      </w:r>
      <w:r w:rsidRPr="00463E32">
        <w:tab/>
        <w:t xml:space="preserve">Under para 9 of the </w:t>
      </w:r>
      <w:r>
        <w:rPr>
          <w:lang w:val="es-ES" w:eastAsia="zh-HK"/>
        </w:rPr>
        <w:t>"</w:t>
      </w:r>
      <w:r w:rsidRPr="00463E32">
        <w:rPr>
          <w:lang w:val="es-ES" w:eastAsia="zh-HK"/>
        </w:rPr>
        <w:t>Guidelines on Creation and Collection of Records</w:t>
      </w:r>
      <w:r>
        <w:rPr>
          <w:lang w:val="es-ES" w:eastAsia="zh-HK"/>
        </w:rPr>
        <w:t>"</w:t>
      </w:r>
      <w:r w:rsidRPr="00463E32">
        <w:rPr>
          <w:lang w:val="es-ES" w:eastAsia="zh-HK"/>
        </w:rPr>
        <w:t xml:space="preserve"> promulgated in</w:t>
      </w:r>
      <w:r w:rsidRPr="00463E32">
        <w:t xml:space="preserve"> the GCCR, key </w:t>
      </w:r>
      <w:r w:rsidRPr="00463E32">
        <w:rPr>
          <w:lang w:eastAsia="zh-HK"/>
        </w:rPr>
        <w:t>considerations</w:t>
      </w:r>
      <w:r w:rsidRPr="00463E32">
        <w:t xml:space="preserve"> for determining what records should be created and collected include the need to explain, and if necessary justify, past actions in the event of an inquiry, audit or other investigations.  According to para 302 of the RMM and para 10 of the </w:t>
      </w:r>
      <w:r>
        <w:rPr>
          <w:lang w:val="es-ES" w:eastAsia="zh-HK"/>
        </w:rPr>
        <w:t>"</w:t>
      </w:r>
      <w:r w:rsidRPr="00463E32">
        <w:rPr>
          <w:lang w:val="es-ES" w:eastAsia="zh-HK"/>
        </w:rPr>
        <w:t>Guidelines on Creation and Collection of Records</w:t>
      </w:r>
      <w:r>
        <w:rPr>
          <w:lang w:val="es-ES" w:eastAsia="zh-HK"/>
        </w:rPr>
        <w:t>"</w:t>
      </w:r>
      <w:r w:rsidRPr="00463E32">
        <w:rPr>
          <w:lang w:val="es-ES" w:eastAsia="zh-HK"/>
        </w:rPr>
        <w:t xml:space="preserve"> promulgated in</w:t>
      </w:r>
      <w:r w:rsidRPr="00463E32">
        <w:t xml:space="preserve"> the GCCR, examples of records to be created and kept include (a) inward and outward communications with external persons and bodies directly relating to the functions and activities of the organisation; (b) minutes and other records of meetings, consultations and deliberations pertinent to the decision-making process, formulation of policies and procedures or transaction of business; (c) major oral decisions and commitments; (d)</w:t>
      </w:r>
      <w:r>
        <w:rPr>
          <w:lang w:val="en-US"/>
        </w:rPr>
        <w:t> </w:t>
      </w:r>
      <w:r w:rsidRPr="00463E32">
        <w:t xml:space="preserve">individual exercise of a discretionary judgement which has a major effect on the functions and activities of the organisations; (e) departmental/government forms, registers and information (in electronic/non-electronic forms) which document business transactions/procedures; and (f) draft documents (eg amendments to minutes of meetings) which form part of a complete documentation of the relevant issue, as appropriate.  </w:t>
      </w:r>
    </w:p>
  </w:footnote>
  <w:footnote w:id="52">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314 of the RMM and para 7 of the </w:t>
      </w:r>
      <w:r>
        <w:rPr>
          <w:lang w:val="es-ES" w:eastAsia="zh-HK"/>
        </w:rPr>
        <w:t>"</w:t>
      </w:r>
      <w:r w:rsidRPr="00463E32">
        <w:rPr>
          <w:lang w:val="es-ES" w:eastAsia="zh-HK"/>
        </w:rPr>
        <w:t>Guidelines on Creation and Collection of Records</w:t>
      </w:r>
      <w:r>
        <w:rPr>
          <w:lang w:val="es-ES" w:eastAsia="zh-HK"/>
        </w:rPr>
        <w:t>"</w:t>
      </w:r>
      <w:r w:rsidRPr="00463E32">
        <w:rPr>
          <w:lang w:val="es-ES" w:eastAsia="zh-HK"/>
        </w:rPr>
        <w:t xml:space="preserve"> promulgated in</w:t>
      </w:r>
      <w:r w:rsidRPr="00463E32">
        <w:rPr>
          <w:lang w:val="es-ES"/>
        </w:rPr>
        <w:t xml:space="preserve"> the GCCR.</w:t>
      </w:r>
    </w:p>
  </w:footnote>
  <w:footnote w:id="53">
    <w:p w:rsidR="009A4F49" w:rsidRPr="00463E32" w:rsidRDefault="009A4F49" w:rsidP="00C51DE0">
      <w:pPr>
        <w:pStyle w:val="FootnoteText"/>
      </w:pPr>
      <w:r w:rsidRPr="00463E32">
        <w:rPr>
          <w:rStyle w:val="FootnoteReference"/>
        </w:rPr>
        <w:footnoteRef/>
      </w:r>
      <w:r w:rsidRPr="00463E32">
        <w:t xml:space="preserve"> </w:t>
      </w:r>
      <w:r w:rsidRPr="00463E32">
        <w:tab/>
        <w:t>Para 7 of GC09.</w:t>
      </w:r>
    </w:p>
  </w:footnote>
  <w:footnote w:id="54">
    <w:p w:rsidR="009A4F49" w:rsidRPr="00463E32" w:rsidRDefault="009A4F49" w:rsidP="00C51DE0">
      <w:pPr>
        <w:pStyle w:val="FootnoteText"/>
      </w:pPr>
      <w:r w:rsidRPr="00463E32">
        <w:rPr>
          <w:rStyle w:val="FootnoteReference"/>
        </w:rPr>
        <w:footnoteRef/>
      </w:r>
      <w:r w:rsidRPr="00463E32">
        <w:t xml:space="preserve"> </w:t>
      </w:r>
      <w:r w:rsidRPr="00463E32">
        <w:tab/>
        <w:t xml:space="preserve">Para 311 of the RMM.  </w:t>
      </w:r>
    </w:p>
  </w:footnote>
  <w:footnote w:id="55">
    <w:p w:rsidR="009A4F49" w:rsidRPr="00463E32" w:rsidRDefault="009A4F49" w:rsidP="00C51DE0">
      <w:pPr>
        <w:pStyle w:val="FootnoteText"/>
        <w:rPr>
          <w:lang w:eastAsia="zh-HK"/>
        </w:rPr>
      </w:pPr>
      <w:r w:rsidRPr="00463E32">
        <w:rPr>
          <w:rStyle w:val="FootnoteReference"/>
        </w:rPr>
        <w:footnoteRef/>
      </w:r>
      <w:r w:rsidRPr="00463E32">
        <w:t xml:space="preserve"> </w:t>
      </w:r>
      <w:r w:rsidRPr="00463E32">
        <w:tab/>
        <w:t>Para 6 of GC09.</w:t>
      </w:r>
      <w:r w:rsidRPr="00463E32">
        <w:rPr>
          <w:lang w:eastAsia="zh-HK"/>
        </w:rPr>
        <w:t xml:space="preserve">  </w:t>
      </w:r>
    </w:p>
  </w:footnote>
  <w:footnote w:id="56">
    <w:p w:rsidR="009A4F49" w:rsidRPr="00463E32" w:rsidRDefault="009A4F49" w:rsidP="00C51DE0">
      <w:pPr>
        <w:pStyle w:val="FootnoteText"/>
      </w:pPr>
      <w:r w:rsidRPr="00463E32">
        <w:rPr>
          <w:rStyle w:val="FootnoteReference"/>
        </w:rPr>
        <w:footnoteRef/>
      </w:r>
      <w:r w:rsidRPr="00463E32">
        <w:t xml:space="preserve"> </w:t>
      </w:r>
      <w:r w:rsidRPr="00463E32">
        <w:tab/>
        <w:t>Paras 480 to 482 of the RMM.</w:t>
      </w:r>
    </w:p>
  </w:footnote>
  <w:footnote w:id="57">
    <w:p w:rsidR="009A4F49" w:rsidRPr="00463E32" w:rsidRDefault="009A4F49" w:rsidP="00C51DE0">
      <w:pPr>
        <w:pStyle w:val="FootnoteText"/>
      </w:pPr>
      <w:r w:rsidRPr="00463E32">
        <w:rPr>
          <w:rStyle w:val="FootnoteReference"/>
        </w:rPr>
        <w:footnoteRef/>
      </w:r>
      <w:r w:rsidRPr="00463E32">
        <w:t xml:space="preserve"> </w:t>
      </w:r>
      <w:r w:rsidRPr="00463E32">
        <w:tab/>
        <w:t xml:space="preserve">Para 416 of the RMM and para </w:t>
      </w:r>
      <w:r w:rsidRPr="00463E32">
        <w:rPr>
          <w:lang w:eastAsia="zh-HK"/>
        </w:rPr>
        <w:t>3.4.3 of RMP1</w:t>
      </w:r>
      <w:r w:rsidRPr="00463E32">
        <w:t xml:space="preserve">. </w:t>
      </w:r>
    </w:p>
  </w:footnote>
  <w:footnote w:id="58">
    <w:p w:rsidR="009A4F49" w:rsidRPr="00463E32" w:rsidRDefault="009A4F49" w:rsidP="00C51DE0">
      <w:pPr>
        <w:pStyle w:val="FootnoteText"/>
      </w:pPr>
      <w:r w:rsidRPr="00463E32">
        <w:rPr>
          <w:rStyle w:val="FootnoteReference"/>
        </w:rPr>
        <w:footnoteRef/>
      </w:r>
      <w:r w:rsidRPr="00463E32">
        <w:t xml:space="preserve"> </w:t>
      </w:r>
      <w:r w:rsidRPr="00463E32">
        <w:tab/>
        <w:t xml:space="preserve">According to para 8 of GC09, a records classification scheme is a plan for logical arrangement of records according to one or more of the following: business functions, activities and contents of the records.  </w:t>
      </w:r>
    </w:p>
  </w:footnote>
  <w:footnote w:id="59">
    <w:p w:rsidR="009A4F49" w:rsidRPr="00463E32" w:rsidRDefault="009A4F49" w:rsidP="00C51DE0">
      <w:pPr>
        <w:pStyle w:val="FootnoteText"/>
      </w:pPr>
      <w:r w:rsidRPr="00463E32">
        <w:rPr>
          <w:rStyle w:val="FootnoteReference"/>
        </w:rPr>
        <w:footnoteRef/>
      </w:r>
      <w:r w:rsidRPr="00463E32">
        <w:t xml:space="preserve"> </w:t>
      </w:r>
      <w:r w:rsidRPr="00463E32">
        <w:tab/>
        <w:t xml:space="preserve">See the definitions of </w:t>
      </w:r>
      <w:r>
        <w:t>"</w:t>
      </w:r>
      <w:r w:rsidRPr="00463E32">
        <w:t>administrative record</w:t>
      </w:r>
      <w:r>
        <w:t>"</w:t>
      </w:r>
      <w:r w:rsidRPr="00463E32">
        <w:t xml:space="preserve"> and </w:t>
      </w:r>
      <w:r>
        <w:t>"</w:t>
      </w:r>
      <w:r w:rsidRPr="00463E32">
        <w:t>programme record</w:t>
      </w:r>
      <w:r>
        <w:t>"</w:t>
      </w:r>
      <w:r w:rsidRPr="00463E32">
        <w:t xml:space="preserve"> earlier in this chapter. </w:t>
      </w:r>
    </w:p>
  </w:footnote>
  <w:footnote w:id="60">
    <w:p w:rsidR="009A4F49" w:rsidRPr="00463E32" w:rsidRDefault="009A4F49" w:rsidP="00C51DE0">
      <w:pPr>
        <w:pStyle w:val="FootnoteText"/>
      </w:pPr>
      <w:r w:rsidRPr="00463E32">
        <w:rPr>
          <w:rStyle w:val="FootnoteReference"/>
        </w:rPr>
        <w:footnoteRef/>
      </w:r>
      <w:r w:rsidRPr="00463E32">
        <w:t xml:space="preserve"> </w:t>
      </w:r>
      <w:r w:rsidRPr="00463E32">
        <w:tab/>
        <w:t xml:space="preserve">Paras 612 to 613 of the RMM. </w:t>
      </w:r>
    </w:p>
  </w:footnote>
  <w:footnote w:id="61">
    <w:p w:rsidR="009A4F49" w:rsidRPr="00463E32" w:rsidRDefault="009A4F49" w:rsidP="00C51DE0">
      <w:pPr>
        <w:pStyle w:val="FootnoteText"/>
      </w:pPr>
      <w:r w:rsidRPr="00463E32">
        <w:rPr>
          <w:rStyle w:val="FootnoteReference"/>
        </w:rPr>
        <w:footnoteRef/>
      </w:r>
      <w:r w:rsidRPr="00463E32">
        <w:t xml:space="preserve"> </w:t>
      </w:r>
      <w:r w:rsidRPr="00463E32">
        <w:tab/>
      </w:r>
      <w:r w:rsidRPr="00463E32">
        <w:rPr>
          <w:i/>
        </w:rPr>
        <w:t>Guidelines on the Implementation of the Standard Classification Scheme for Administrative Records</w:t>
      </w:r>
      <w:r w:rsidRPr="00463E32">
        <w:t xml:space="preserve"> (</w:t>
      </w:r>
      <w:r>
        <w:t>"</w:t>
      </w:r>
      <w:r w:rsidRPr="00463E32">
        <w:rPr>
          <w:b/>
        </w:rPr>
        <w:t>GISCSAR</w:t>
      </w:r>
      <w:r>
        <w:t>"</w:t>
      </w:r>
      <w:r w:rsidRPr="00463E32">
        <w:t xml:space="preserve">) provides guidelines on the implementation of the standard classification scheme for administrative records in B/Ds, including a seven-stage action plan.  </w:t>
      </w:r>
    </w:p>
  </w:footnote>
  <w:footnote w:id="62">
    <w:p w:rsidR="009A4F49" w:rsidRPr="00463E32" w:rsidRDefault="009A4F49" w:rsidP="00C51DE0">
      <w:pPr>
        <w:pStyle w:val="FootnoteText"/>
      </w:pPr>
      <w:r w:rsidRPr="00463E32">
        <w:rPr>
          <w:rStyle w:val="FootnoteReference"/>
        </w:rPr>
        <w:footnoteRef/>
      </w:r>
      <w:r w:rsidRPr="00463E32">
        <w:t xml:space="preserve"> </w:t>
      </w:r>
      <w:r w:rsidRPr="00463E32">
        <w:tab/>
        <w:t>Paras 3.2.2, 3.5.1, 3.5.2 and 3.6.1 of RMP1.</w:t>
      </w:r>
    </w:p>
  </w:footnote>
  <w:footnote w:id="63">
    <w:p w:rsidR="009A4F49" w:rsidRPr="00463E32" w:rsidRDefault="009A4F49" w:rsidP="009715FF">
      <w:pPr>
        <w:pStyle w:val="FootnoteText"/>
        <w:spacing w:after="60"/>
      </w:pPr>
      <w:r w:rsidRPr="00463E32">
        <w:rPr>
          <w:rStyle w:val="FootnoteReference"/>
        </w:rPr>
        <w:footnoteRef/>
      </w:r>
      <w:r w:rsidRPr="00463E32">
        <w:t xml:space="preserve"> </w:t>
      </w:r>
      <w:r w:rsidRPr="00463E32">
        <w:tab/>
        <w:t>Para</w:t>
      </w:r>
      <w:r w:rsidRPr="00463E32">
        <w:rPr>
          <w:lang w:eastAsia="zh-HK"/>
        </w:rPr>
        <w:t xml:space="preserve"> 3.4.8 of RMP1</w:t>
      </w:r>
      <w:r>
        <w:t>.</w:t>
      </w:r>
    </w:p>
  </w:footnote>
  <w:footnote w:id="64">
    <w:p w:rsidR="009A4F49" w:rsidRPr="00463E32" w:rsidRDefault="009A4F49" w:rsidP="009715FF">
      <w:pPr>
        <w:pStyle w:val="FootnoteText"/>
        <w:spacing w:after="60"/>
      </w:pPr>
      <w:r w:rsidRPr="00463E32">
        <w:rPr>
          <w:rStyle w:val="FootnoteReference"/>
        </w:rPr>
        <w:footnoteRef/>
      </w:r>
      <w:r w:rsidRPr="00463E32">
        <w:t xml:space="preserve"> </w:t>
      </w:r>
      <w:r w:rsidRPr="00463E32">
        <w:tab/>
        <w:t xml:space="preserve">Paras </w:t>
      </w:r>
      <w:r w:rsidRPr="00463E32">
        <w:rPr>
          <w:lang w:eastAsia="zh-HK"/>
        </w:rPr>
        <w:t>3.4.4 to 3.4.7</w:t>
      </w:r>
      <w:r w:rsidRPr="00463E32">
        <w:t xml:space="preserve"> of </w:t>
      </w:r>
      <w:r w:rsidRPr="00463E32">
        <w:rPr>
          <w:lang w:eastAsia="zh-HK"/>
        </w:rPr>
        <w:t>RMP1</w:t>
      </w:r>
      <w:r w:rsidRPr="00463E32">
        <w:t>.</w:t>
      </w:r>
    </w:p>
  </w:footnote>
  <w:footnote w:id="65">
    <w:p w:rsidR="009A4F49" w:rsidRPr="00463E32" w:rsidRDefault="009A4F49" w:rsidP="00C51DE0">
      <w:pPr>
        <w:pStyle w:val="FootnoteText"/>
      </w:pPr>
      <w:r w:rsidRPr="00463E32">
        <w:rPr>
          <w:rStyle w:val="FootnoteReference"/>
        </w:rPr>
        <w:footnoteRef/>
      </w:r>
      <w:r w:rsidRPr="00463E32">
        <w:t xml:space="preserve"> </w:t>
      </w:r>
      <w:r w:rsidRPr="00463E32">
        <w:tab/>
        <w:t xml:space="preserve">See generally paras 600 to </w:t>
      </w:r>
      <w:r w:rsidRPr="00463E32">
        <w:rPr>
          <w:lang w:eastAsia="zh-HK"/>
        </w:rPr>
        <w:t>632 of the RMM</w:t>
      </w:r>
      <w:r w:rsidRPr="00463E32">
        <w:t>, and paras 13 and 14 of GC09.</w:t>
      </w:r>
    </w:p>
  </w:footnote>
  <w:footnote w:id="66">
    <w:p w:rsidR="009A4F49" w:rsidRPr="00463E32" w:rsidRDefault="009A4F49" w:rsidP="00C51DE0">
      <w:pPr>
        <w:pStyle w:val="FootnoteText"/>
        <w:rPr>
          <w:lang w:val="es-ES"/>
        </w:rPr>
      </w:pPr>
      <w:r w:rsidRPr="00463E32">
        <w:rPr>
          <w:rStyle w:val="FootnoteReference"/>
        </w:rPr>
        <w:footnoteRef/>
      </w:r>
      <w:r w:rsidRPr="00463E32">
        <w:rPr>
          <w:lang w:val="es-ES"/>
        </w:rPr>
        <w:tab/>
        <w:t>Para</w:t>
      </w:r>
      <w:r w:rsidRPr="00463E32">
        <w:rPr>
          <w:lang w:val="es-ES" w:eastAsia="zh-HK"/>
        </w:rPr>
        <w:t xml:space="preserve"> 6.</w:t>
      </w:r>
      <w:r w:rsidRPr="00463E32">
        <w:rPr>
          <w:lang w:val="es-ES"/>
        </w:rPr>
        <w:t>3.</w:t>
      </w:r>
      <w:r w:rsidRPr="00463E32">
        <w:rPr>
          <w:lang w:val="es-ES" w:eastAsia="zh-HK"/>
        </w:rPr>
        <w:t>1 of RMP1</w:t>
      </w:r>
      <w:r w:rsidRPr="00463E32">
        <w:rPr>
          <w:lang w:val="es-ES"/>
        </w:rPr>
        <w:t>.</w:t>
      </w:r>
    </w:p>
  </w:footnote>
  <w:footnote w:id="67">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Para 625 of the RMM and para 2.3.2 of RMP1.</w:t>
      </w:r>
    </w:p>
  </w:footnote>
  <w:footnote w:id="68">
    <w:p w:rsidR="009A4F49" w:rsidRPr="00463E32" w:rsidRDefault="009A4F49" w:rsidP="00C51DE0">
      <w:pPr>
        <w:pStyle w:val="FootnoteText"/>
      </w:pPr>
      <w:r w:rsidRPr="00463E32">
        <w:rPr>
          <w:rStyle w:val="FootnoteReference"/>
        </w:rPr>
        <w:footnoteRef/>
      </w:r>
      <w:r w:rsidRPr="00463E32">
        <w:t xml:space="preserve"> </w:t>
      </w:r>
      <w:r w:rsidRPr="00463E32">
        <w:tab/>
        <w:t>Para 602 of the RMM.</w:t>
      </w:r>
    </w:p>
  </w:footnote>
  <w:footnote w:id="69">
    <w:p w:rsidR="009A4F49" w:rsidRPr="00463E32" w:rsidRDefault="009A4F49" w:rsidP="00C51DE0">
      <w:pPr>
        <w:pStyle w:val="FootnoteText"/>
      </w:pPr>
      <w:r w:rsidRPr="00463E32">
        <w:rPr>
          <w:rStyle w:val="FootnoteReference"/>
        </w:rPr>
        <w:footnoteRef/>
      </w:r>
      <w:r w:rsidRPr="00463E32">
        <w:t xml:space="preserve"> </w:t>
      </w:r>
      <w:r w:rsidRPr="00463E32">
        <w:tab/>
        <w:t xml:space="preserve">Para 1.3.1(h) of RMP1. </w:t>
      </w:r>
    </w:p>
  </w:footnote>
  <w:footnote w:id="70">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Para 17 of GC09, paras 2.3.4</w:t>
      </w:r>
      <w:r w:rsidRPr="00463E32">
        <w:rPr>
          <w:lang w:val="es-ES" w:eastAsia="zh-HK"/>
        </w:rPr>
        <w:t xml:space="preserve"> and </w:t>
      </w:r>
      <w:r w:rsidRPr="00463E32">
        <w:rPr>
          <w:lang w:val="es-ES"/>
        </w:rPr>
        <w:t>6.3.1 of RMP1.</w:t>
      </w:r>
    </w:p>
  </w:footnote>
  <w:footnote w:id="71">
    <w:p w:rsidR="009A4F49" w:rsidRPr="00463E32" w:rsidRDefault="009A4F49" w:rsidP="00C51DE0">
      <w:pPr>
        <w:pStyle w:val="FootnoteText"/>
      </w:pPr>
      <w:r w:rsidRPr="00463E32">
        <w:rPr>
          <w:rStyle w:val="FootnoteReference"/>
        </w:rPr>
        <w:footnoteRef/>
      </w:r>
      <w:r w:rsidRPr="00463E32">
        <w:t xml:space="preserve"> </w:t>
      </w:r>
      <w:r w:rsidRPr="00463E32">
        <w:tab/>
        <w:t>Para 2.3.4 of RMP1.</w:t>
      </w:r>
    </w:p>
  </w:footnote>
  <w:footnote w:id="72">
    <w:p w:rsidR="009A4F49" w:rsidRPr="00463E32" w:rsidRDefault="009A4F49" w:rsidP="00C51DE0">
      <w:pPr>
        <w:pStyle w:val="FootnoteText"/>
      </w:pPr>
      <w:r w:rsidRPr="00463E32">
        <w:rPr>
          <w:rStyle w:val="FootnoteReference"/>
        </w:rPr>
        <w:footnoteRef/>
      </w:r>
      <w:r w:rsidRPr="00463E32">
        <w:t xml:space="preserve"> </w:t>
      </w:r>
      <w:r w:rsidRPr="00463E32">
        <w:tab/>
        <w:t xml:space="preserve">Part II of RMP4.  </w:t>
      </w:r>
    </w:p>
  </w:footnote>
  <w:footnote w:id="73">
    <w:p w:rsidR="009A4F49" w:rsidRPr="00463E32" w:rsidRDefault="009A4F49" w:rsidP="00C51DE0">
      <w:pPr>
        <w:pStyle w:val="FootnoteText"/>
      </w:pPr>
      <w:r w:rsidRPr="00463E32">
        <w:rPr>
          <w:rStyle w:val="FootnoteReference"/>
        </w:rPr>
        <w:footnoteRef/>
      </w:r>
      <w:r w:rsidRPr="00463E32">
        <w:t xml:space="preserve"> </w:t>
      </w:r>
      <w:r w:rsidRPr="00463E32">
        <w:tab/>
        <w:t>Para 613 of the RMM.  It is noteworthy that para 4.2.32 of RMP1 provides that it is not advisable to keep inactive programme records for more than seven years.</w:t>
      </w:r>
    </w:p>
  </w:footnote>
  <w:footnote w:id="74">
    <w:p w:rsidR="009A4F49" w:rsidRPr="00463E32" w:rsidRDefault="009A4F49" w:rsidP="00C51DE0">
      <w:pPr>
        <w:pStyle w:val="FootnoteText"/>
      </w:pPr>
      <w:r w:rsidRPr="00463E32">
        <w:rPr>
          <w:rStyle w:val="FootnoteReference"/>
        </w:rPr>
        <w:footnoteRef/>
      </w:r>
      <w:r w:rsidRPr="00463E32">
        <w:t xml:space="preserve"> </w:t>
      </w:r>
      <w:r w:rsidRPr="00463E32">
        <w:tab/>
        <w:t xml:space="preserve">Paras 4.1.1 to 4.2.2 of RMP1.  </w:t>
      </w:r>
    </w:p>
  </w:footnote>
  <w:footnote w:id="75">
    <w:p w:rsidR="009A4F49" w:rsidRPr="00463E32" w:rsidRDefault="009A4F49" w:rsidP="00C51DE0">
      <w:pPr>
        <w:pStyle w:val="FootnoteText"/>
      </w:pPr>
      <w:r w:rsidRPr="00463E32">
        <w:rPr>
          <w:rStyle w:val="FootnoteReference"/>
        </w:rPr>
        <w:footnoteRef/>
      </w:r>
      <w:r w:rsidRPr="00463E32">
        <w:t xml:space="preserve"> </w:t>
      </w:r>
      <w:r w:rsidRPr="00463E32">
        <w:tab/>
        <w:t xml:space="preserve">Paras 615 and </w:t>
      </w:r>
      <w:r w:rsidRPr="00463E32">
        <w:rPr>
          <w:lang w:eastAsia="zh-HK"/>
        </w:rPr>
        <w:t>616 of the RMM</w:t>
      </w:r>
      <w:r w:rsidRPr="00463E32">
        <w:t>, paras 14</w:t>
      </w:r>
      <w:r w:rsidRPr="00463E32">
        <w:rPr>
          <w:lang w:eastAsia="zh-HK"/>
        </w:rPr>
        <w:t xml:space="preserve"> and</w:t>
      </w:r>
      <w:r w:rsidRPr="00463E32">
        <w:t xml:space="preserve"> 15 of GC09, and para 2.5.4 of RMP1.</w:t>
      </w:r>
    </w:p>
  </w:footnote>
  <w:footnote w:id="76">
    <w:p w:rsidR="009A4F49" w:rsidRPr="00463E32" w:rsidRDefault="009A4F49" w:rsidP="00C51DE0">
      <w:pPr>
        <w:pStyle w:val="FootnoteText"/>
      </w:pPr>
      <w:r w:rsidRPr="00463E32">
        <w:rPr>
          <w:rStyle w:val="FootnoteReference"/>
        </w:rPr>
        <w:footnoteRef/>
      </w:r>
      <w:r w:rsidRPr="00463E32">
        <w:t xml:space="preserve"> </w:t>
      </w:r>
      <w:r w:rsidRPr="00463E32">
        <w:tab/>
        <w:t xml:space="preserve">Para 605 of the RMM, para 3(d) of </w:t>
      </w:r>
      <w:r w:rsidRPr="00463E32">
        <w:rPr>
          <w:i/>
        </w:rPr>
        <w:t xml:space="preserve">General Circular No 5/2006: </w:t>
      </w:r>
      <w:r>
        <w:rPr>
          <w:i/>
        </w:rPr>
        <w:t>"</w:t>
      </w:r>
      <w:r w:rsidRPr="00463E32">
        <w:rPr>
          <w:i/>
        </w:rPr>
        <w:t>Management of Government Records</w:t>
      </w:r>
      <w:r>
        <w:rPr>
          <w:i/>
        </w:rPr>
        <w:t>"</w:t>
      </w:r>
      <w:r w:rsidRPr="00463E32">
        <w:t xml:space="preserve"> (</w:t>
      </w:r>
      <w:r>
        <w:t>"</w:t>
      </w:r>
      <w:r w:rsidRPr="00463E32">
        <w:rPr>
          <w:b/>
        </w:rPr>
        <w:t>GC06</w:t>
      </w:r>
      <w:r>
        <w:t>"</w:t>
      </w:r>
      <w:r w:rsidRPr="00463E32">
        <w:t xml:space="preserve">), para 18 of GC09 and paras 1.1.1 and 2.3.3 of RMP1. </w:t>
      </w:r>
    </w:p>
  </w:footnote>
  <w:footnote w:id="77">
    <w:p w:rsidR="009A4F49" w:rsidRPr="00463E32" w:rsidRDefault="009A4F49" w:rsidP="00C51DE0">
      <w:pPr>
        <w:pStyle w:val="FootnoteText"/>
      </w:pPr>
      <w:r w:rsidRPr="00463E32">
        <w:rPr>
          <w:rStyle w:val="FootnoteReference"/>
        </w:rPr>
        <w:footnoteRef/>
      </w:r>
      <w:r w:rsidRPr="00463E32">
        <w:t xml:space="preserve"> </w:t>
      </w:r>
      <w:r w:rsidRPr="00463E32">
        <w:tab/>
        <w:t>Appendix IV of GC09.</w:t>
      </w:r>
      <w:r w:rsidRPr="00463E32">
        <w:rPr>
          <w:lang w:eastAsia="zh-HK"/>
        </w:rPr>
        <w:t xml:space="preserve"> </w:t>
      </w:r>
    </w:p>
  </w:footnote>
  <w:footnote w:id="78">
    <w:p w:rsidR="009A4F49" w:rsidRPr="00463E32" w:rsidRDefault="009A4F49" w:rsidP="00C51DE0">
      <w:pPr>
        <w:pStyle w:val="FootnoteText"/>
      </w:pPr>
      <w:r w:rsidRPr="00463E32">
        <w:rPr>
          <w:rStyle w:val="FootnoteReference"/>
        </w:rPr>
        <w:footnoteRef/>
      </w:r>
      <w:r w:rsidRPr="00463E32">
        <w:t xml:space="preserve"> </w:t>
      </w:r>
      <w:r w:rsidRPr="00463E32">
        <w:tab/>
        <w:t xml:space="preserve">Para 617 of the RMM and para 4.6.1 of RMP1. </w:t>
      </w:r>
    </w:p>
  </w:footnote>
  <w:footnote w:id="79">
    <w:p w:rsidR="009A4F49" w:rsidRPr="00463E32" w:rsidRDefault="009A4F49" w:rsidP="00C51DE0">
      <w:pPr>
        <w:pStyle w:val="FootnoteText"/>
      </w:pPr>
      <w:r w:rsidRPr="00463E32">
        <w:rPr>
          <w:rStyle w:val="FootnoteReference"/>
        </w:rPr>
        <w:footnoteRef/>
      </w:r>
      <w:r w:rsidRPr="00463E32">
        <w:t xml:space="preserve"> </w:t>
      </w:r>
      <w:r w:rsidRPr="00463E32">
        <w:tab/>
        <w:t>Para 21 of GC09.</w:t>
      </w:r>
    </w:p>
  </w:footnote>
  <w:footnote w:id="80">
    <w:p w:rsidR="009A4F49" w:rsidRPr="00463E32" w:rsidRDefault="009A4F49" w:rsidP="00C51DE0">
      <w:pPr>
        <w:pStyle w:val="FootnoteText"/>
      </w:pPr>
      <w:r w:rsidRPr="00463E32">
        <w:rPr>
          <w:rStyle w:val="FootnoteReference"/>
        </w:rPr>
        <w:footnoteRef/>
      </w:r>
      <w:r w:rsidRPr="00463E32">
        <w:t xml:space="preserve"> </w:t>
      </w:r>
      <w:r w:rsidRPr="00463E32">
        <w:tab/>
        <w:t xml:space="preserve">Para </w:t>
      </w:r>
      <w:r w:rsidRPr="00463E32">
        <w:rPr>
          <w:lang w:eastAsia="zh-HK"/>
        </w:rPr>
        <w:t>502 of the RMM</w:t>
      </w:r>
      <w:r w:rsidRPr="00463E32">
        <w:t>, para 3.8.1 of RMP1 and para 20 of GC09 provide that B/Ds have to seek the GRS</w:t>
      </w:r>
      <w:r>
        <w:t>'</w:t>
      </w:r>
      <w:r w:rsidRPr="00463E32">
        <w:t xml:space="preserve"> prior agreement before transferring records to non-government bodies due to such reasons as corporatisation, privatisation or outsourcing, and no government records should be transferred outside the Government unless with the prior agreement of the GRS Director.</w:t>
      </w:r>
    </w:p>
  </w:footnote>
  <w:footnote w:id="81">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Paras 510 to 523 of the RMM, para 23 of GC09.</w:t>
      </w:r>
    </w:p>
  </w:footnote>
  <w:footnote w:id="82">
    <w:p w:rsidR="009A4F49" w:rsidRPr="00463E32" w:rsidRDefault="009A4F49" w:rsidP="00C51DE0">
      <w:pPr>
        <w:pStyle w:val="FootnoteText"/>
      </w:pPr>
      <w:r w:rsidRPr="00463E32">
        <w:rPr>
          <w:rStyle w:val="FootnoteReference"/>
        </w:rPr>
        <w:footnoteRef/>
      </w:r>
      <w:r w:rsidRPr="00463E32">
        <w:t xml:space="preserve"> </w:t>
      </w:r>
      <w:r w:rsidRPr="00463E32">
        <w:tab/>
        <w:t xml:space="preserve">Paras 430 to 433 and 443 of the RMM.  </w:t>
      </w:r>
    </w:p>
  </w:footnote>
  <w:footnote w:id="83">
    <w:p w:rsidR="009A4F49" w:rsidRPr="00463E32" w:rsidRDefault="009A4F49" w:rsidP="00C51DE0">
      <w:pPr>
        <w:pStyle w:val="FootnoteText"/>
      </w:pPr>
      <w:r w:rsidRPr="00463E32">
        <w:rPr>
          <w:rStyle w:val="FootnoteReference"/>
        </w:rPr>
        <w:footnoteRef/>
      </w:r>
      <w:r w:rsidRPr="00463E32">
        <w:t xml:space="preserve"> </w:t>
      </w:r>
      <w:r w:rsidRPr="00463E32">
        <w:tab/>
        <w:t>Para 606 of the RMM</w:t>
      </w:r>
      <w:r w:rsidRPr="00463E32">
        <w:rPr>
          <w:lang w:eastAsia="zh-HK"/>
        </w:rPr>
        <w:t>, para 22 of GC09</w:t>
      </w:r>
      <w:r w:rsidRPr="00463E32">
        <w:t>.</w:t>
      </w:r>
    </w:p>
  </w:footnote>
  <w:footnote w:id="84">
    <w:p w:rsidR="009A4F49" w:rsidRPr="00463E32" w:rsidRDefault="009A4F49" w:rsidP="00C51DE0">
      <w:pPr>
        <w:pStyle w:val="FootnoteText"/>
      </w:pPr>
      <w:r w:rsidRPr="00463E32">
        <w:rPr>
          <w:rStyle w:val="FootnoteReference"/>
        </w:rPr>
        <w:footnoteRef/>
      </w:r>
      <w:r w:rsidRPr="00463E32">
        <w:t xml:space="preserve"> </w:t>
      </w:r>
      <w:r w:rsidRPr="00463E32">
        <w:tab/>
        <w:t>Para 22 of GC09.</w:t>
      </w:r>
    </w:p>
  </w:footnote>
  <w:footnote w:id="85">
    <w:p w:rsidR="009A4F49" w:rsidRPr="00463E32" w:rsidRDefault="009A4F49" w:rsidP="00C51DE0">
      <w:pPr>
        <w:pStyle w:val="FootnoteText"/>
      </w:pPr>
      <w:r w:rsidRPr="00463E32">
        <w:rPr>
          <w:rStyle w:val="FootnoteReference"/>
        </w:rPr>
        <w:footnoteRef/>
      </w:r>
      <w:r w:rsidRPr="00463E32">
        <w:t xml:space="preserve"> </w:t>
      </w:r>
      <w:r w:rsidRPr="00463E32">
        <w:tab/>
        <w:t xml:space="preserve">Para 700 of the RMM and definition of </w:t>
      </w:r>
      <w:r>
        <w:t>"</w:t>
      </w:r>
      <w:r w:rsidRPr="00463E32">
        <w:t>vital records</w:t>
      </w:r>
      <w:r>
        <w:t>"</w:t>
      </w:r>
      <w:r w:rsidRPr="00463E32">
        <w:t xml:space="preserve"> in Appendix B of the RMM.</w:t>
      </w:r>
    </w:p>
  </w:footnote>
  <w:footnote w:id="86">
    <w:p w:rsidR="009A4F49" w:rsidRPr="00463E32" w:rsidRDefault="009A4F49" w:rsidP="00C51DE0">
      <w:pPr>
        <w:pStyle w:val="FootnoteText"/>
      </w:pPr>
      <w:r w:rsidRPr="00463E32">
        <w:rPr>
          <w:rStyle w:val="FootnoteReference"/>
        </w:rPr>
        <w:footnoteRef/>
      </w:r>
      <w:r w:rsidRPr="00463E32">
        <w:t xml:space="preserve"> </w:t>
      </w:r>
      <w:r w:rsidRPr="00463E32">
        <w:tab/>
        <w:t>Para 24 of GC09.</w:t>
      </w:r>
    </w:p>
  </w:footnote>
  <w:footnote w:id="87">
    <w:p w:rsidR="009A4F49" w:rsidRPr="00463E32" w:rsidRDefault="009A4F49" w:rsidP="00C51DE0">
      <w:pPr>
        <w:pStyle w:val="FootnoteText"/>
      </w:pPr>
      <w:r w:rsidRPr="00463E32">
        <w:rPr>
          <w:rStyle w:val="FootnoteReference"/>
        </w:rPr>
        <w:footnoteRef/>
      </w:r>
      <w:r w:rsidRPr="00463E32">
        <w:t xml:space="preserve"> </w:t>
      </w:r>
      <w:r w:rsidRPr="00463E32">
        <w:tab/>
        <w:t xml:space="preserve">Paras 701 and 702 of the RMM and para 24 of GC09.  Detailed guidelines for establishing a vital records protection programme </w:t>
      </w:r>
      <w:r>
        <w:t>are</w:t>
      </w:r>
      <w:r w:rsidRPr="00463E32">
        <w:t xml:space="preserve"> given in RMP6.   </w:t>
      </w:r>
    </w:p>
  </w:footnote>
  <w:footnote w:id="88">
    <w:p w:rsidR="009A4F49" w:rsidRPr="00463E32" w:rsidRDefault="009A4F49" w:rsidP="00C51DE0">
      <w:pPr>
        <w:pStyle w:val="FootnoteText"/>
      </w:pPr>
      <w:r w:rsidRPr="00463E32">
        <w:rPr>
          <w:rStyle w:val="FootnoteReference"/>
        </w:rPr>
        <w:footnoteRef/>
      </w:r>
      <w:r w:rsidRPr="00463E32">
        <w:t xml:space="preserve"> </w:t>
      </w:r>
      <w:r w:rsidRPr="00463E32">
        <w:tab/>
        <w:t>Para 727 of the RMM.</w:t>
      </w:r>
    </w:p>
  </w:footnote>
  <w:footnote w:id="89">
    <w:p w:rsidR="009A4F49" w:rsidRPr="00463E32" w:rsidRDefault="009A4F49" w:rsidP="00C51DE0">
      <w:pPr>
        <w:pStyle w:val="FootnoteText"/>
      </w:pPr>
      <w:r w:rsidRPr="00463E32">
        <w:rPr>
          <w:rStyle w:val="FootnoteReference"/>
        </w:rPr>
        <w:footnoteRef/>
      </w:r>
      <w:r w:rsidRPr="00463E32">
        <w:t xml:space="preserve"> </w:t>
      </w:r>
      <w:r w:rsidRPr="00463E32">
        <w:tab/>
        <w:t xml:space="preserve">Para 4.2.10 of RMP1.  </w:t>
      </w:r>
    </w:p>
  </w:footnote>
  <w:footnote w:id="90">
    <w:p w:rsidR="009A4F49" w:rsidRPr="00463E32" w:rsidRDefault="009A4F49" w:rsidP="00C51DE0">
      <w:pPr>
        <w:pStyle w:val="FootnoteText"/>
      </w:pPr>
      <w:r w:rsidRPr="00463E32">
        <w:rPr>
          <w:rStyle w:val="FootnoteReference"/>
        </w:rPr>
        <w:footnoteRef/>
      </w:r>
      <w:r w:rsidRPr="00463E32">
        <w:t xml:space="preserve"> </w:t>
      </w:r>
      <w:r w:rsidRPr="00463E32">
        <w:tab/>
        <w:t xml:space="preserve">Part II of GARDS, Guidelines for transferring records to the Public Records Office for physical appraisal are provided in the </w:t>
      </w:r>
      <w:r w:rsidRPr="00463E32">
        <w:rPr>
          <w:i/>
          <w:lang w:val="en-US"/>
        </w:rPr>
        <w:t>Guidelines for Transferring Records to Public Records Office of GRS for Appraisal</w:t>
      </w:r>
      <w:r w:rsidRPr="00463E32">
        <w:t xml:space="preserve"> (</w:t>
      </w:r>
      <w:r>
        <w:t>"</w:t>
      </w:r>
      <w:r w:rsidRPr="00463E32">
        <w:rPr>
          <w:b/>
        </w:rPr>
        <w:t>GTRPA</w:t>
      </w:r>
      <w:r>
        <w:t>"</w:t>
      </w:r>
      <w:r w:rsidRPr="00463E32">
        <w:t xml:space="preserve">), and RMP4, Part I para 20. </w:t>
      </w:r>
    </w:p>
  </w:footnote>
  <w:footnote w:id="91">
    <w:p w:rsidR="009A4F49" w:rsidRPr="00463E32" w:rsidRDefault="009A4F49" w:rsidP="00C51DE0">
      <w:pPr>
        <w:pStyle w:val="FootnoteText"/>
      </w:pPr>
      <w:r w:rsidRPr="00463E32">
        <w:rPr>
          <w:rStyle w:val="FootnoteReference"/>
        </w:rPr>
        <w:footnoteRef/>
      </w:r>
      <w:r w:rsidRPr="00463E32">
        <w:t xml:space="preserve"> </w:t>
      </w:r>
      <w:r w:rsidRPr="00463E32">
        <w:tab/>
        <w:t>Para 637 of the RMM.</w:t>
      </w:r>
    </w:p>
  </w:footnote>
  <w:footnote w:id="92">
    <w:p w:rsidR="009A4F49" w:rsidRPr="00463E32" w:rsidRDefault="009A4F49" w:rsidP="00C51DE0">
      <w:pPr>
        <w:pStyle w:val="FootnoteText"/>
      </w:pPr>
      <w:r w:rsidRPr="00463E32">
        <w:rPr>
          <w:rStyle w:val="FootnoteReference"/>
        </w:rPr>
        <w:footnoteRef/>
      </w:r>
      <w:r w:rsidRPr="00463E32">
        <w:t xml:space="preserve"> </w:t>
      </w:r>
      <w:r w:rsidRPr="00463E32">
        <w:tab/>
        <w:t xml:space="preserve">See para 6 of the PAC Information Note. </w:t>
      </w:r>
    </w:p>
  </w:footnote>
  <w:footnote w:id="93">
    <w:p w:rsidR="009A4F49" w:rsidRPr="00463E32" w:rsidRDefault="009A4F49" w:rsidP="00C51DE0">
      <w:pPr>
        <w:pStyle w:val="FootnoteText"/>
      </w:pPr>
      <w:r w:rsidRPr="00463E32">
        <w:rPr>
          <w:rStyle w:val="FootnoteReference"/>
        </w:rPr>
        <w:footnoteRef/>
      </w:r>
      <w:r w:rsidRPr="00463E32">
        <w:t xml:space="preserve"> </w:t>
      </w:r>
      <w:r w:rsidRPr="00463E32">
        <w:tab/>
        <w:t>Paras 3.7.2, 4.4.1 and Appendix D(ii) of RMP1.  See also para 16 of GC09.</w:t>
      </w:r>
    </w:p>
  </w:footnote>
  <w:footnote w:id="94">
    <w:p w:rsidR="009A4F49" w:rsidRPr="00463E32" w:rsidRDefault="009A4F49" w:rsidP="009715FF">
      <w:pPr>
        <w:pStyle w:val="FootnoteText"/>
        <w:spacing w:after="0"/>
        <w:rPr>
          <w:lang w:eastAsia="zh-HK"/>
        </w:rPr>
      </w:pPr>
      <w:r w:rsidRPr="00463E32">
        <w:rPr>
          <w:rStyle w:val="FootnoteReference"/>
        </w:rPr>
        <w:footnoteRef/>
      </w:r>
      <w:r w:rsidRPr="00463E32">
        <w:tab/>
        <w:t>See p 19</w:t>
      </w:r>
      <w:r w:rsidRPr="00463E32">
        <w:rPr>
          <w:lang w:eastAsia="zh-HK"/>
        </w:rPr>
        <w:t>6</w:t>
      </w:r>
      <w:r w:rsidRPr="00463E32">
        <w:t xml:space="preserve"> of the PAC Information Note.</w:t>
      </w:r>
    </w:p>
  </w:footnote>
  <w:footnote w:id="95">
    <w:p w:rsidR="009A4F49" w:rsidRPr="00463E32" w:rsidRDefault="009A4F49" w:rsidP="00C51DE0">
      <w:pPr>
        <w:pStyle w:val="FootnoteText"/>
        <w:rPr>
          <w:lang w:val="es-ES" w:eastAsia="zh-HK"/>
        </w:rPr>
      </w:pPr>
      <w:r w:rsidRPr="00463E32">
        <w:rPr>
          <w:rStyle w:val="FootnoteReference"/>
        </w:rPr>
        <w:footnoteRef/>
      </w:r>
      <w:r w:rsidRPr="00463E32">
        <w:rPr>
          <w:lang w:val="es-ES"/>
        </w:rPr>
        <w:t xml:space="preserve"> </w:t>
      </w:r>
      <w:r w:rsidRPr="00463E32">
        <w:rPr>
          <w:lang w:val="es-ES"/>
        </w:rPr>
        <w:tab/>
        <w:t xml:space="preserve">Para 2.3.5 of RMP1, and para 17 of GC09. </w:t>
      </w:r>
    </w:p>
  </w:footnote>
  <w:footnote w:id="96">
    <w:p w:rsidR="009A4F49" w:rsidRPr="00463E32" w:rsidRDefault="009A4F49" w:rsidP="00C51DE0">
      <w:pPr>
        <w:pStyle w:val="FootnoteText"/>
      </w:pPr>
      <w:r w:rsidRPr="00463E32">
        <w:rPr>
          <w:rStyle w:val="FootnoteReference"/>
        </w:rPr>
        <w:footnoteRef/>
      </w:r>
      <w:r w:rsidRPr="00463E32">
        <w:t xml:space="preserve"> </w:t>
      </w:r>
      <w:r w:rsidRPr="00463E32">
        <w:tab/>
        <w:t xml:space="preserve">Para (d) of the Letter of Director of Administration to B/Ds dated </w:t>
      </w:r>
      <w:r w:rsidRPr="00463E32">
        <w:rPr>
          <w:lang w:eastAsia="zh-HK"/>
        </w:rPr>
        <w:t>21</w:t>
      </w:r>
      <w:r w:rsidRPr="00463E32">
        <w:t xml:space="preserve"> March 2014. </w:t>
      </w:r>
    </w:p>
  </w:footnote>
  <w:footnote w:id="97">
    <w:p w:rsidR="009A4F49" w:rsidRPr="00463E32" w:rsidRDefault="009A4F49" w:rsidP="00C51DE0">
      <w:pPr>
        <w:pStyle w:val="FootnoteText"/>
      </w:pPr>
      <w:r w:rsidRPr="00463E32">
        <w:rPr>
          <w:rStyle w:val="FootnoteReference"/>
        </w:rPr>
        <w:footnoteRef/>
      </w:r>
      <w:r w:rsidRPr="00463E32">
        <w:t xml:space="preserve"> </w:t>
      </w:r>
      <w:r w:rsidRPr="00463E32">
        <w:tab/>
        <w:t xml:space="preserve">See p 195 of the PAC Information Note. </w:t>
      </w:r>
    </w:p>
  </w:footnote>
  <w:footnote w:id="98">
    <w:p w:rsidR="009A4F49" w:rsidRPr="00463E32" w:rsidRDefault="009A4F49" w:rsidP="00C51DE0">
      <w:pPr>
        <w:pStyle w:val="FootnoteText"/>
        <w:rPr>
          <w:i/>
          <w:color w:val="FF0000"/>
          <w:lang w:eastAsia="zh-HK"/>
        </w:rPr>
      </w:pPr>
      <w:r w:rsidRPr="00463E32">
        <w:rPr>
          <w:rStyle w:val="FootnoteReference"/>
        </w:rPr>
        <w:footnoteRef/>
      </w:r>
      <w:r w:rsidRPr="00463E32">
        <w:t xml:space="preserve"> </w:t>
      </w:r>
      <w:r w:rsidRPr="00463E32">
        <w:tab/>
        <w:t>Para 626 of the RMM.</w:t>
      </w:r>
      <w:r w:rsidRPr="00463E32">
        <w:rPr>
          <w:lang w:eastAsia="zh-HK"/>
        </w:rPr>
        <w:t xml:space="preserve">  </w:t>
      </w:r>
    </w:p>
  </w:footnote>
  <w:footnote w:id="99">
    <w:p w:rsidR="009A4F49" w:rsidRPr="00463E32" w:rsidRDefault="009A4F49" w:rsidP="00C51DE0">
      <w:pPr>
        <w:pStyle w:val="FootnoteText"/>
      </w:pPr>
      <w:r w:rsidRPr="00463E32">
        <w:rPr>
          <w:rStyle w:val="FootnoteReference"/>
        </w:rPr>
        <w:footnoteRef/>
      </w:r>
      <w:r w:rsidRPr="00463E32">
        <w:t xml:space="preserve"> </w:t>
      </w:r>
      <w:r w:rsidRPr="00463E32">
        <w:tab/>
        <w:t xml:space="preserve">RMM </w:t>
      </w:r>
      <w:r w:rsidRPr="00463E32">
        <w:rPr>
          <w:lang w:eastAsia="zh-HK"/>
        </w:rPr>
        <w:t>Appendix</w:t>
      </w:r>
      <w:r w:rsidRPr="00463E32">
        <w:t xml:space="preserve"> B, definition of </w:t>
      </w:r>
      <w:r>
        <w:t>"</w:t>
      </w:r>
      <w:r w:rsidRPr="00463E32">
        <w:t>Preservation</w:t>
      </w:r>
      <w:r>
        <w:t>"</w:t>
      </w:r>
      <w:r w:rsidRPr="00463E32">
        <w:t>.</w:t>
      </w:r>
    </w:p>
  </w:footnote>
  <w:footnote w:id="100">
    <w:p w:rsidR="009A4F49" w:rsidRPr="00463E32" w:rsidRDefault="009A4F49" w:rsidP="004752E6">
      <w:pPr>
        <w:pStyle w:val="FootnoteText"/>
        <w:spacing w:after="0"/>
      </w:pPr>
      <w:r w:rsidRPr="00463E32">
        <w:rPr>
          <w:rStyle w:val="FootnoteReference"/>
        </w:rPr>
        <w:footnoteRef/>
      </w:r>
      <w:r w:rsidRPr="00463E32">
        <w:t xml:space="preserve"> </w:t>
      </w:r>
      <w:r w:rsidRPr="00463E32">
        <w:tab/>
      </w:r>
      <w:r w:rsidRPr="00463E32">
        <w:rPr>
          <w:i/>
        </w:rPr>
        <w:t>GRS Annual Report 2014</w:t>
      </w:r>
      <w:r w:rsidRPr="00463E32">
        <w:t>, at p2, available at:</w:t>
      </w:r>
    </w:p>
    <w:p w:rsidR="009A4F49" w:rsidRPr="00463E32" w:rsidRDefault="009A4F49" w:rsidP="004752E6">
      <w:pPr>
        <w:pStyle w:val="FootnoteText"/>
        <w:spacing w:after="0"/>
        <w:rPr>
          <w:lang w:eastAsia="zh-HK"/>
        </w:rPr>
      </w:pPr>
      <w:r w:rsidRPr="00463E32">
        <w:tab/>
      </w:r>
      <w:r w:rsidRPr="00E52793">
        <w:t>&lt;</w:t>
      </w:r>
      <w:r w:rsidRPr="00E52793">
        <w:rPr>
          <w:lang w:eastAsia="zh-HK"/>
        </w:rPr>
        <w:t>http://www.grs.gov.hk/pdf/GRS_Annual_Report_2014_(Eng).pdf&gt;</w:t>
      </w:r>
      <w:r w:rsidRPr="00F17FA0">
        <w:rPr>
          <w:rFonts w:hint="eastAsia"/>
          <w:i/>
          <w:lang w:eastAsia="zh-HK"/>
        </w:rPr>
        <w:t>.</w:t>
      </w:r>
    </w:p>
  </w:footnote>
  <w:footnote w:id="101">
    <w:p w:rsidR="009A4F49" w:rsidRPr="00463E32" w:rsidRDefault="009A4F49" w:rsidP="00C51DE0">
      <w:pPr>
        <w:pStyle w:val="FootnoteText"/>
      </w:pPr>
      <w:r w:rsidRPr="00463E32">
        <w:rPr>
          <w:rStyle w:val="FootnoteReference"/>
        </w:rPr>
        <w:footnoteRef/>
      </w:r>
      <w:r w:rsidRPr="00463E32">
        <w:t xml:space="preserve"> </w:t>
      </w:r>
      <w:r w:rsidRPr="00463E32">
        <w:tab/>
        <w:t xml:space="preserve">See discussions in </w:t>
      </w:r>
      <w:r w:rsidRPr="00F2505D">
        <w:t xml:space="preserve">chapter 7 under the heading </w:t>
      </w:r>
      <w:r>
        <w:t>"</w:t>
      </w:r>
      <w:r w:rsidRPr="00F2505D">
        <w:t xml:space="preserve">The </w:t>
      </w:r>
      <w:r>
        <w:rPr>
          <w:rFonts w:hint="eastAsia"/>
        </w:rPr>
        <w:t>'</w:t>
      </w:r>
      <w:r w:rsidRPr="00F2505D">
        <w:t>30-year Rule</w:t>
      </w:r>
      <w:r>
        <w:t>'</w:t>
      </w:r>
      <w:r w:rsidRPr="00F2505D">
        <w:t xml:space="preserve"> on Access</w:t>
      </w:r>
      <w:r>
        <w:t>"</w:t>
      </w:r>
      <w:r w:rsidRPr="00F2505D">
        <w:t xml:space="preserve"> and in Annex II under the heading </w:t>
      </w:r>
      <w:r>
        <w:t>"</w:t>
      </w:r>
      <w:r w:rsidRPr="00F2505D">
        <w:t>Access to archival records kept by GRS</w:t>
      </w:r>
      <w:r>
        <w:t>"</w:t>
      </w:r>
      <w:r w:rsidRPr="00F2505D">
        <w:t>.</w:t>
      </w:r>
    </w:p>
  </w:footnote>
  <w:footnote w:id="102">
    <w:p w:rsidR="009A4F49" w:rsidRPr="00463E32" w:rsidRDefault="009A4F49" w:rsidP="004752E6">
      <w:pPr>
        <w:pStyle w:val="FootnoteText"/>
        <w:spacing w:after="0"/>
      </w:pPr>
      <w:r w:rsidRPr="00463E32">
        <w:rPr>
          <w:rStyle w:val="FootnoteReference"/>
        </w:rPr>
        <w:footnoteRef/>
      </w:r>
      <w:r w:rsidRPr="00463E32">
        <w:t xml:space="preserve"> </w:t>
      </w:r>
      <w:r w:rsidRPr="00463E32">
        <w:tab/>
        <w:t>LC Paper No CB(2)151</w:t>
      </w:r>
      <w:r>
        <w:t>7/09-10(04)</w:t>
      </w:r>
      <w:r w:rsidRPr="00463E32">
        <w:t xml:space="preserve">, at para </w:t>
      </w:r>
      <w:r w:rsidRPr="00463E32">
        <w:rPr>
          <w:lang w:eastAsia="zh-HK"/>
        </w:rPr>
        <w:t>4</w:t>
      </w:r>
      <w:r w:rsidRPr="00463E32">
        <w:t xml:space="preserve">, available at: </w:t>
      </w:r>
    </w:p>
    <w:p w:rsidR="009A4F49" w:rsidRPr="00463E32" w:rsidRDefault="009A4F49" w:rsidP="004752E6">
      <w:pPr>
        <w:pStyle w:val="FootnoteText"/>
        <w:spacing w:after="0"/>
      </w:pPr>
      <w:r w:rsidRPr="00463E32">
        <w:tab/>
      </w:r>
      <w:r>
        <w:t>&lt;</w:t>
      </w:r>
      <w:r w:rsidRPr="00F17FA0">
        <w:t>http://www.legco.gov.hk/yr09-10/english/panels/ca/papers/ca0517cb2-1517-4-e.</w:t>
      </w:r>
      <w:r w:rsidRPr="00F17FA0">
        <w:rPr>
          <w:spacing w:val="-20"/>
        </w:rPr>
        <w:t>pdf&gt;</w:t>
      </w:r>
      <w:r>
        <w:rPr>
          <w:spacing w:val="-20"/>
        </w:rPr>
        <w:t>.</w:t>
      </w:r>
    </w:p>
  </w:footnote>
  <w:footnote w:id="103">
    <w:p w:rsidR="009A4F49" w:rsidRDefault="009A4F49" w:rsidP="004752E6">
      <w:pPr>
        <w:pStyle w:val="FootnoteText"/>
        <w:spacing w:after="0"/>
      </w:pPr>
      <w:r w:rsidRPr="00463E32">
        <w:rPr>
          <w:rStyle w:val="FootnoteReference"/>
        </w:rPr>
        <w:footnoteRef/>
      </w:r>
      <w:r w:rsidRPr="00463E32">
        <w:t xml:space="preserve"> </w:t>
      </w:r>
      <w:r w:rsidRPr="00463E32">
        <w:tab/>
        <w:t>Audit Commission</w:t>
      </w:r>
      <w:r>
        <w:t>'</w:t>
      </w:r>
      <w:r w:rsidRPr="00463E32">
        <w:t xml:space="preserve">s Report, at paras 5.6-5.7 available at: </w:t>
      </w:r>
    </w:p>
    <w:p w:rsidR="009A4F49" w:rsidRPr="00463E32" w:rsidRDefault="009A4F49" w:rsidP="00C51DE0">
      <w:pPr>
        <w:pStyle w:val="FootnoteText"/>
      </w:pPr>
      <w:r>
        <w:tab/>
        <w:t>&lt;</w:t>
      </w:r>
      <w:r w:rsidRPr="00F17FA0">
        <w:t>http://www.aud.gov.hk/pdf_e/e57ch10.pdf</w:t>
      </w:r>
      <w:r>
        <w:t>&gt;</w:t>
      </w:r>
      <w:r w:rsidRPr="00463E32">
        <w:t>.</w:t>
      </w:r>
    </w:p>
  </w:footnote>
  <w:footnote w:id="104">
    <w:p w:rsidR="009A4F49" w:rsidRPr="00463E32" w:rsidRDefault="009A4F49" w:rsidP="00C51DE0">
      <w:pPr>
        <w:pStyle w:val="FootnoteText"/>
      </w:pPr>
      <w:r w:rsidRPr="00463E32">
        <w:rPr>
          <w:rStyle w:val="FootnoteReference"/>
        </w:rPr>
        <w:footnoteRef/>
      </w:r>
      <w:r w:rsidRPr="00463E32">
        <w:t xml:space="preserve"> </w:t>
      </w:r>
      <w:r w:rsidRPr="00463E32">
        <w:tab/>
        <w:t>Para 5 of EIMSF.</w:t>
      </w:r>
    </w:p>
  </w:footnote>
  <w:footnote w:id="105">
    <w:p w:rsidR="009A4F49" w:rsidRPr="00463E32" w:rsidRDefault="009A4F49" w:rsidP="00C51DE0">
      <w:pPr>
        <w:pStyle w:val="FootnoteText"/>
      </w:pPr>
      <w:r w:rsidRPr="00463E32">
        <w:rPr>
          <w:rStyle w:val="FootnoteReference"/>
        </w:rPr>
        <w:footnoteRef/>
      </w:r>
      <w:r w:rsidRPr="00463E32">
        <w:t xml:space="preserve"> </w:t>
      </w:r>
      <w:r w:rsidRPr="00463E32">
        <w:tab/>
        <w:t xml:space="preserve">Para 9 of EIMSF.  See also para 1.6 of FRERKS, which provides that B/Ds are required to adopt in full mandatory functional requirements of an ERKS and comply with other electronic records management and ERKS standards, including the </w:t>
      </w:r>
      <w:r w:rsidRPr="00463E32">
        <w:rPr>
          <w:i/>
        </w:rPr>
        <w:t>Recordkeeping Metadata Standard for the Government of the Hong Kong Special Administrative Region</w:t>
      </w:r>
      <w:r w:rsidRPr="00463E32">
        <w:t xml:space="preserve"> (</w:t>
      </w:r>
      <w:r>
        <w:t>"</w:t>
      </w:r>
      <w:r w:rsidRPr="00463E32">
        <w:rPr>
          <w:b/>
        </w:rPr>
        <w:t>RKMS</w:t>
      </w:r>
      <w:r>
        <w:t>"</w:t>
      </w:r>
      <w:r w:rsidRPr="00463E32">
        <w:t>), to ensure that an ERKS possesses the essential records management functionality to properly manage and store records throughout the life cycle of records.</w:t>
      </w:r>
    </w:p>
  </w:footnote>
  <w:footnote w:id="106">
    <w:p w:rsidR="009A4F49" w:rsidRDefault="009A4F49" w:rsidP="004752E6">
      <w:pPr>
        <w:pStyle w:val="FootnoteText"/>
        <w:spacing w:after="0"/>
      </w:pPr>
      <w:r w:rsidRPr="00463E32">
        <w:rPr>
          <w:rStyle w:val="FootnoteReference"/>
        </w:rPr>
        <w:footnoteRef/>
      </w:r>
      <w:r w:rsidRPr="00463E32">
        <w:t xml:space="preserve"> </w:t>
      </w:r>
      <w:r w:rsidRPr="00463E32">
        <w:tab/>
        <w:t xml:space="preserve">These include, for example, (1) </w:t>
      </w:r>
      <w:r w:rsidRPr="00463E32">
        <w:rPr>
          <w:i/>
        </w:rPr>
        <w:t>Recordkeeping Metadata Standard for the Government of the Hong Kong Special Administrative Region: Implementation Guidelines</w:t>
      </w:r>
      <w:r w:rsidRPr="00463E32">
        <w:t xml:space="preserve"> issued in July 2012 and last updated in September 2016, (2) </w:t>
      </w:r>
      <w:hyperlink r:id="rId4" w:tgtFrame="_blank" w:history="1">
        <w:r w:rsidRPr="00463E32">
          <w:rPr>
            <w:i/>
          </w:rPr>
          <w:t>Guidelines on Mapping out Implementation of an Electronic Recordkeeping System in the Context of Developing Organisational Electronic Information Management Strategies</w:t>
        </w:r>
      </w:hyperlink>
      <w:r w:rsidRPr="00463E32">
        <w:t xml:space="preserve"> issued on 31 December 2013 and last updated in April 2017, (3) </w:t>
      </w:r>
      <w:r w:rsidRPr="00463E32">
        <w:rPr>
          <w:i/>
        </w:rPr>
        <w:t>Guidelines on Implementation of an Electronic Recordkeeping System: Key Considerations and Preparation Work Required</w:t>
      </w:r>
      <w:r w:rsidRPr="00463E32">
        <w:t xml:space="preserve"> issued in January 2015 and last updated in April 2017.  These are now accessible at the GRS</w:t>
      </w:r>
      <w:r>
        <w:t xml:space="preserve">' website: </w:t>
      </w:r>
    </w:p>
    <w:p w:rsidR="009A4F49" w:rsidRPr="00463E32" w:rsidRDefault="009A4F49" w:rsidP="00C51DE0">
      <w:pPr>
        <w:pStyle w:val="FootnoteText"/>
      </w:pPr>
      <w:r>
        <w:tab/>
        <w:t>&lt;</w:t>
      </w:r>
      <w:r w:rsidRPr="00F17FA0">
        <w:t>http://www.grs.gov.hk/en/hksar_government_administrative_guidelines_on_recor</w:t>
      </w:r>
      <w:r w:rsidRPr="00F17FA0">
        <w:rPr>
          <w:rFonts w:hint="eastAsia"/>
        </w:rPr>
        <w:t>d</w:t>
      </w:r>
      <w:r w:rsidRPr="00F17FA0">
        <w:t>_</w:t>
      </w:r>
      <w:r>
        <w:t>‌</w:t>
      </w:r>
      <w:r w:rsidRPr="00F17FA0">
        <w:t>management.html</w:t>
      </w:r>
      <w:r>
        <w:t>&gt;</w:t>
      </w:r>
      <w:r w:rsidRPr="00463E32">
        <w:t xml:space="preserve">. </w:t>
      </w:r>
    </w:p>
  </w:footnote>
  <w:footnote w:id="107">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Para 1.1 of HPER.</w:t>
      </w:r>
    </w:p>
  </w:footnote>
  <w:footnote w:id="108">
    <w:p w:rsidR="009A4F49" w:rsidRPr="00463E32" w:rsidRDefault="009A4F49" w:rsidP="00C51DE0">
      <w:pPr>
        <w:pStyle w:val="FootnoteText"/>
      </w:pPr>
      <w:r w:rsidRPr="00463E32">
        <w:rPr>
          <w:rStyle w:val="FootnoteReference"/>
        </w:rPr>
        <w:footnoteRef/>
      </w:r>
      <w:r w:rsidRPr="00463E32">
        <w:t xml:space="preserve"> </w:t>
      </w:r>
      <w:r w:rsidRPr="00463E32">
        <w:tab/>
        <w:t>HPER at p 15.</w:t>
      </w:r>
    </w:p>
  </w:footnote>
  <w:footnote w:id="109">
    <w:p w:rsidR="009A4F49" w:rsidRPr="00463E32" w:rsidRDefault="009A4F49" w:rsidP="00C51DE0">
      <w:pPr>
        <w:pStyle w:val="FootnoteText"/>
      </w:pPr>
      <w:r w:rsidRPr="00463E32">
        <w:rPr>
          <w:rStyle w:val="FootnoteReference"/>
        </w:rPr>
        <w:footnoteRef/>
      </w:r>
      <w:r w:rsidRPr="00463E32">
        <w:t xml:space="preserve"> </w:t>
      </w:r>
      <w:r w:rsidRPr="00463E32">
        <w:tab/>
        <w:t xml:space="preserve">Para 3.1 and </w:t>
      </w:r>
      <w:r>
        <w:t>c</w:t>
      </w:r>
      <w:r w:rsidRPr="00463E32">
        <w:t xml:space="preserve">hapter 3 generally of HPER. </w:t>
      </w:r>
    </w:p>
  </w:footnote>
  <w:footnote w:id="110">
    <w:p w:rsidR="009A4F49" w:rsidRPr="00463E32" w:rsidRDefault="009A4F49" w:rsidP="00C51DE0">
      <w:pPr>
        <w:pStyle w:val="FootnoteText"/>
      </w:pPr>
      <w:r w:rsidRPr="00463E32">
        <w:rPr>
          <w:rStyle w:val="FootnoteReference"/>
        </w:rPr>
        <w:footnoteRef/>
      </w:r>
      <w:r w:rsidRPr="00463E32">
        <w:t xml:space="preserve"> </w:t>
      </w:r>
      <w:r w:rsidRPr="00463E32">
        <w:tab/>
        <w:t xml:space="preserve">Para 4.4 and </w:t>
      </w:r>
      <w:r>
        <w:t>c</w:t>
      </w:r>
      <w:r w:rsidRPr="00463E32">
        <w:t>hapter 4 generally of HPER.</w:t>
      </w:r>
    </w:p>
  </w:footnote>
  <w:footnote w:id="111">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5.11 of HPER.  </w:t>
      </w:r>
    </w:p>
  </w:footnote>
  <w:footnote w:id="112">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7 of GC09.  </w:t>
      </w:r>
    </w:p>
  </w:footnote>
  <w:footnote w:id="113">
    <w:p w:rsidR="009A4F49" w:rsidRPr="00463E32" w:rsidRDefault="009A4F49" w:rsidP="00C51DE0">
      <w:pPr>
        <w:pStyle w:val="FootnoteText"/>
        <w:rPr>
          <w:lang w:val="en-US"/>
        </w:rPr>
      </w:pPr>
      <w:r w:rsidRPr="00463E32">
        <w:rPr>
          <w:rStyle w:val="FootnoteReference"/>
        </w:rPr>
        <w:footnoteRef/>
      </w:r>
      <w:r w:rsidRPr="00463E32">
        <w:t xml:space="preserve"> </w:t>
      </w:r>
      <w:r w:rsidRPr="00463E32">
        <w:rPr>
          <w:lang w:val="en-US"/>
        </w:rPr>
        <w:tab/>
      </w:r>
      <w:r w:rsidRPr="00463E32">
        <w:rPr>
          <w:lang w:eastAsia="zh-HK"/>
        </w:rPr>
        <w:t>For example, short message service (SMS), WhatsApp, WeChat, Facebook, etc.</w:t>
      </w:r>
    </w:p>
  </w:footnote>
  <w:footnote w:id="114">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103 of the RMM.  </w:t>
      </w:r>
    </w:p>
  </w:footnote>
  <w:footnote w:id="115">
    <w:p w:rsidR="009A4F49" w:rsidRPr="00463E32" w:rsidRDefault="009A4F49" w:rsidP="00C51DE0">
      <w:pPr>
        <w:pStyle w:val="FootnoteText"/>
      </w:pPr>
      <w:r w:rsidRPr="00463E32">
        <w:rPr>
          <w:rStyle w:val="FootnoteReference"/>
        </w:rPr>
        <w:footnoteRef/>
      </w:r>
      <w:r w:rsidRPr="00463E32">
        <w:t xml:space="preserve"> </w:t>
      </w:r>
      <w:r w:rsidRPr="00463E32">
        <w:tab/>
        <w:t xml:space="preserve">Paras 220, 906 and 907 of the RMM.  </w:t>
      </w:r>
    </w:p>
  </w:footnote>
  <w:footnote w:id="116">
    <w:p w:rsidR="009A4F49" w:rsidRPr="00463E32" w:rsidRDefault="009A4F49" w:rsidP="00C51DE0">
      <w:pPr>
        <w:pStyle w:val="FootnoteText"/>
      </w:pPr>
      <w:r w:rsidRPr="00463E32">
        <w:rPr>
          <w:rStyle w:val="FootnoteReference"/>
        </w:rPr>
        <w:footnoteRef/>
      </w:r>
      <w:r w:rsidRPr="00463E32">
        <w:t xml:space="preserve"> </w:t>
      </w:r>
      <w:r w:rsidRPr="00463E32">
        <w:tab/>
        <w:t>Para 900 of the RMM and para 25 of GC09.  See also para 915 of the RMM, which recommends that the DRM in each B/D should, as far as possible, conduct an evaluation of the records management function every five years or more often.</w:t>
      </w:r>
    </w:p>
  </w:footnote>
  <w:footnote w:id="117">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901 of the RMM.  </w:t>
      </w:r>
    </w:p>
  </w:footnote>
  <w:footnote w:id="118">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902 of the RMM.  </w:t>
      </w:r>
    </w:p>
  </w:footnote>
  <w:footnote w:id="119">
    <w:p w:rsidR="009A4F49" w:rsidRPr="00463E32" w:rsidRDefault="009A4F49" w:rsidP="00C51DE0">
      <w:pPr>
        <w:pStyle w:val="FootnoteText"/>
      </w:pPr>
      <w:r w:rsidRPr="00463E32">
        <w:rPr>
          <w:rStyle w:val="FootnoteReference"/>
        </w:rPr>
        <w:footnoteRef/>
      </w:r>
      <w:r w:rsidRPr="00463E32">
        <w:t xml:space="preserve"> </w:t>
      </w:r>
      <w:r w:rsidRPr="00463E32">
        <w:tab/>
        <w:t>Paras 4 to 11 of</w:t>
      </w:r>
      <w:r w:rsidRPr="00463E32">
        <w:rPr>
          <w:i/>
        </w:rPr>
        <w:t xml:space="preserve"> General Circular No 5/2012: Records Management Reviews</w:t>
      </w:r>
      <w:r w:rsidRPr="00463E32">
        <w:t xml:space="preserve"> (</w:t>
      </w:r>
      <w:r>
        <w:t>"</w:t>
      </w:r>
      <w:r w:rsidRPr="00463E32">
        <w:rPr>
          <w:b/>
        </w:rPr>
        <w:t>GC12</w:t>
      </w:r>
      <w:r>
        <w:t>"</w:t>
      </w:r>
      <w:r w:rsidRPr="00463E32">
        <w:t>).</w:t>
      </w:r>
      <w:r>
        <w:rPr>
          <w:lang w:val="en-US"/>
        </w:rPr>
        <w:t>  </w:t>
      </w:r>
      <w:r w:rsidRPr="00463E32">
        <w:t>See also paras 906 to 908 of the RMM, which provide that the GRS Director may also conduct records management studies and surveys, and B/Ds should implement the recommendations from such reviews, studies and surveys.</w:t>
      </w:r>
    </w:p>
  </w:footnote>
  <w:footnote w:id="120">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10 of GC12.  </w:t>
      </w:r>
    </w:p>
  </w:footnote>
  <w:footnote w:id="121">
    <w:p w:rsidR="009A4F49" w:rsidRPr="00463E32" w:rsidRDefault="009A4F49" w:rsidP="00C51DE0">
      <w:pPr>
        <w:pStyle w:val="FootnoteText"/>
        <w:rPr>
          <w:lang w:val="es-ES"/>
        </w:rPr>
      </w:pPr>
      <w:r w:rsidRPr="00463E32">
        <w:rPr>
          <w:rStyle w:val="FootnoteReference"/>
        </w:rPr>
        <w:footnoteRef/>
      </w:r>
      <w:r w:rsidRPr="00463E32">
        <w:rPr>
          <w:lang w:val="es-ES"/>
        </w:rPr>
        <w:t xml:space="preserve"> </w:t>
      </w:r>
      <w:r w:rsidRPr="00463E32">
        <w:rPr>
          <w:lang w:val="es-ES"/>
        </w:rPr>
        <w:tab/>
        <w:t xml:space="preserve">Para 11 of </w:t>
      </w:r>
      <w:r w:rsidRPr="00463E32">
        <w:t xml:space="preserve">General Regulations of The Government of The Hong Kong </w:t>
      </w:r>
      <w:r w:rsidRPr="00463E32">
        <w:rPr>
          <w:lang w:val="en-US"/>
        </w:rPr>
        <w:t>Special</w:t>
      </w:r>
      <w:r w:rsidRPr="00463E32">
        <w:t xml:space="preserve"> Administrative Region (Regulations of The Government of The Hong Kong Special Administrative Region, Volume 1) </w:t>
      </w:r>
      <w:r w:rsidRPr="00463E32">
        <w:rPr>
          <w:lang w:val="es-ES"/>
        </w:rPr>
        <w:t>(</w:t>
      </w:r>
      <w:r>
        <w:rPr>
          <w:lang w:val="es-ES"/>
        </w:rPr>
        <w:t>"</w:t>
      </w:r>
      <w:r w:rsidRPr="00463E32">
        <w:rPr>
          <w:b/>
          <w:lang w:val="es-ES"/>
        </w:rPr>
        <w:t>GR</w:t>
      </w:r>
      <w:r>
        <w:rPr>
          <w:lang w:val="es-ES"/>
        </w:rPr>
        <w:t>"</w:t>
      </w:r>
      <w:r w:rsidRPr="00463E32">
        <w:rPr>
          <w:lang w:val="es-ES"/>
        </w:rPr>
        <w:t>).</w:t>
      </w:r>
    </w:p>
  </w:footnote>
  <w:footnote w:id="122">
    <w:p w:rsidR="009A4F49" w:rsidRPr="00463E32" w:rsidRDefault="009A4F49" w:rsidP="00C51DE0">
      <w:pPr>
        <w:pStyle w:val="FootnoteText"/>
        <w:rPr>
          <w:lang w:val="es-ES" w:eastAsia="zh-HK"/>
        </w:rPr>
      </w:pPr>
      <w:r w:rsidRPr="00463E32">
        <w:rPr>
          <w:rStyle w:val="FootnoteReference"/>
        </w:rPr>
        <w:footnoteRef/>
      </w:r>
      <w:r w:rsidRPr="00463E32">
        <w:rPr>
          <w:lang w:val="es-ES"/>
        </w:rPr>
        <w:t xml:space="preserve"> </w:t>
      </w:r>
      <w:r w:rsidRPr="00463E32">
        <w:rPr>
          <w:lang w:val="es-ES"/>
        </w:rPr>
        <w:tab/>
      </w:r>
      <w:r w:rsidRPr="00463E32">
        <w:rPr>
          <w:lang w:val="es-ES" w:eastAsia="zh-HK"/>
        </w:rPr>
        <w:t xml:space="preserve">Para 22 and </w:t>
      </w:r>
      <w:r w:rsidRPr="00463E32">
        <w:rPr>
          <w:lang w:val="es-ES"/>
        </w:rPr>
        <w:t>Appendix I para (l)</w:t>
      </w:r>
      <w:r w:rsidRPr="00463E32">
        <w:rPr>
          <w:lang w:val="es-ES" w:eastAsia="zh-HK"/>
        </w:rPr>
        <w:t xml:space="preserve"> of GC09</w:t>
      </w:r>
      <w:r w:rsidRPr="00463E32">
        <w:rPr>
          <w:lang w:val="es-ES"/>
        </w:rPr>
        <w:t>.</w:t>
      </w:r>
    </w:p>
  </w:footnote>
  <w:footnote w:id="123">
    <w:p w:rsidR="009A4F49" w:rsidRPr="00463E32" w:rsidRDefault="009A4F49" w:rsidP="00C51DE0">
      <w:pPr>
        <w:pStyle w:val="FootnoteText"/>
      </w:pPr>
      <w:r w:rsidRPr="00463E32">
        <w:rPr>
          <w:rStyle w:val="FootnoteReference"/>
        </w:rPr>
        <w:footnoteRef/>
      </w:r>
      <w:r w:rsidRPr="00463E32">
        <w:t xml:space="preserve"> </w:t>
      </w:r>
      <w:r w:rsidRPr="00463E32">
        <w:tab/>
        <w:t xml:space="preserve">Para 5 of the PAC Information Note. </w:t>
      </w:r>
    </w:p>
  </w:footnote>
  <w:footnote w:id="124">
    <w:p w:rsidR="009A4F49" w:rsidRPr="00463E32" w:rsidRDefault="009A4F49" w:rsidP="00C51DE0">
      <w:pPr>
        <w:pStyle w:val="FootnoteText"/>
        <w:rPr>
          <w:lang w:eastAsia="zh-HK"/>
        </w:rPr>
      </w:pPr>
      <w:r w:rsidRPr="00463E32">
        <w:rPr>
          <w:rStyle w:val="FootnoteReference"/>
        </w:rPr>
        <w:footnoteRef/>
      </w:r>
      <w:r w:rsidRPr="00463E32">
        <w:t xml:space="preserve"> </w:t>
      </w:r>
      <w:r w:rsidRPr="00463E32">
        <w:tab/>
        <w:t xml:space="preserve">Para 220(c) of the RMM. </w:t>
      </w:r>
    </w:p>
  </w:footnote>
  <w:footnote w:id="125">
    <w:p w:rsidR="009A4F49" w:rsidRPr="00463E32" w:rsidRDefault="009A4F49" w:rsidP="00C51DE0">
      <w:pPr>
        <w:pStyle w:val="FootnoteText"/>
      </w:pPr>
      <w:r w:rsidRPr="00463E32">
        <w:rPr>
          <w:rStyle w:val="FootnoteReference"/>
        </w:rPr>
        <w:footnoteRef/>
      </w:r>
      <w:r w:rsidRPr="00463E32">
        <w:rPr>
          <w:lang w:eastAsia="zh-HK"/>
        </w:rPr>
        <w:t xml:space="preserve"> </w:t>
      </w:r>
      <w:r w:rsidRPr="00463E32">
        <w:rPr>
          <w:lang w:eastAsia="zh-HK"/>
        </w:rPr>
        <w:tab/>
      </w:r>
      <w:r w:rsidRPr="00463E32">
        <w:t>RMM, Appendix C and GC09, Appendix I.</w:t>
      </w:r>
    </w:p>
  </w:footnote>
  <w:footnote w:id="126">
    <w:p w:rsidR="009A4F49" w:rsidRPr="00373135" w:rsidRDefault="009A4F49" w:rsidP="00C51DE0">
      <w:pPr>
        <w:pStyle w:val="FootnoteText"/>
      </w:pPr>
      <w:r w:rsidRPr="00373135">
        <w:rPr>
          <w:rStyle w:val="FootnoteReference"/>
        </w:rPr>
        <w:footnoteRef/>
      </w:r>
      <w:r w:rsidRPr="00373135">
        <w:t xml:space="preserve"> </w:t>
      </w:r>
      <w:r w:rsidRPr="00373135">
        <w:tab/>
        <w:t xml:space="preserve">Eric Ketelaar, Archival and Records Management Legislation and Regulations: a RAMP Study with Guidelines (UNESCO, 1985) (the </w:t>
      </w:r>
      <w:r>
        <w:t>"</w:t>
      </w:r>
      <w:r w:rsidRPr="00373135">
        <w:rPr>
          <w:b/>
        </w:rPr>
        <w:t>RAMP Study</w:t>
      </w:r>
      <w:r>
        <w:t>"</w:t>
      </w:r>
      <w:r w:rsidRPr="00373135">
        <w:t>).</w:t>
      </w:r>
    </w:p>
  </w:footnote>
  <w:footnote w:id="127">
    <w:p w:rsidR="009A4F49" w:rsidRPr="00373135" w:rsidRDefault="009A4F49" w:rsidP="00C51DE0">
      <w:pPr>
        <w:pStyle w:val="FootnoteText"/>
      </w:pPr>
      <w:r w:rsidRPr="00373135">
        <w:rPr>
          <w:rStyle w:val="FootnoteReference"/>
        </w:rPr>
        <w:footnoteRef/>
      </w:r>
      <w:r w:rsidRPr="00373135">
        <w:t xml:space="preserve"> </w:t>
      </w:r>
      <w:r w:rsidRPr="00373135">
        <w:tab/>
        <w:t>The jurisdictions which have been more extensively reviewed are Australia, England, Ireland, New Zealand and Singapore.  Other jurisdictions, including Canada, Macau SAR, Mainland China and the USA, have also been referred to.</w:t>
      </w:r>
    </w:p>
  </w:footnote>
  <w:footnote w:id="128">
    <w:p w:rsidR="009A4F49" w:rsidRPr="00373135" w:rsidRDefault="009A4F49" w:rsidP="00C51DE0">
      <w:pPr>
        <w:pStyle w:val="FootnoteText"/>
      </w:pPr>
      <w:r w:rsidRPr="00373135">
        <w:rPr>
          <w:rStyle w:val="FootnoteReference"/>
        </w:rPr>
        <w:footnoteRef/>
      </w:r>
      <w:r w:rsidRPr="00373135">
        <w:t xml:space="preserve"> </w:t>
      </w:r>
      <w:r w:rsidRPr="00373135">
        <w:tab/>
        <w:t xml:space="preserve">Australian Law Reform Commission - </w:t>
      </w:r>
      <w:r w:rsidRPr="00373135">
        <w:rPr>
          <w:i/>
        </w:rPr>
        <w:t>Australia</w:t>
      </w:r>
      <w:r>
        <w:rPr>
          <w:i/>
        </w:rPr>
        <w:t>'</w:t>
      </w:r>
      <w:r w:rsidRPr="00373135">
        <w:rPr>
          <w:i/>
        </w:rPr>
        <w:t xml:space="preserve">s Federal Record: A Review of Archives Act 1983 </w:t>
      </w:r>
      <w:r w:rsidRPr="00373135">
        <w:t>(Report No 85, 1998), at paras 2.11 to 2.12.</w:t>
      </w:r>
    </w:p>
  </w:footnote>
  <w:footnote w:id="129">
    <w:p w:rsidR="009A4F49" w:rsidRPr="00373135" w:rsidRDefault="009A4F49" w:rsidP="00C51DE0">
      <w:pPr>
        <w:pStyle w:val="FootnoteText"/>
      </w:pPr>
      <w:r w:rsidRPr="00373135">
        <w:rPr>
          <w:rStyle w:val="FootnoteReference"/>
        </w:rPr>
        <w:footnoteRef/>
      </w:r>
      <w:r w:rsidRPr="00373135">
        <w:tab/>
        <w:t xml:space="preserve">See summary of </w:t>
      </w:r>
      <w:r>
        <w:t>"</w:t>
      </w:r>
      <w:r w:rsidRPr="00373135">
        <w:rPr>
          <w:i/>
        </w:rPr>
        <w:t>Our History</w:t>
      </w:r>
      <w:r>
        <w:t>"</w:t>
      </w:r>
      <w:r w:rsidRPr="00373135">
        <w:t xml:space="preserve"> in the website of the National Archives of Australia at:- </w:t>
      </w:r>
      <w:r>
        <w:t>&lt;</w:t>
      </w:r>
      <w:r w:rsidRPr="00F951A4">
        <w:t>http://www.naa.gov.au/about-us/organisation/history/index.aspx</w:t>
      </w:r>
      <w:r>
        <w:t>&gt;</w:t>
      </w:r>
      <w:r w:rsidRPr="00D51A34">
        <w:rPr>
          <w:rStyle w:val="Hyperlink"/>
          <w:rFonts w:hint="eastAsia"/>
        </w:rPr>
        <w:t>.</w:t>
      </w:r>
      <w:r w:rsidRPr="00373135">
        <w:t xml:space="preserve"> </w:t>
      </w:r>
    </w:p>
  </w:footnote>
  <w:footnote w:id="130">
    <w:p w:rsidR="009A4F49" w:rsidRPr="00373135" w:rsidRDefault="009A4F49" w:rsidP="00C51DE0">
      <w:pPr>
        <w:pStyle w:val="FootnoteText"/>
      </w:pPr>
      <w:r w:rsidRPr="00373135">
        <w:rPr>
          <w:rStyle w:val="FootnoteReference"/>
        </w:rPr>
        <w:footnoteRef/>
      </w:r>
      <w:r w:rsidRPr="00373135">
        <w:t xml:space="preserve"> </w:t>
      </w:r>
      <w:r w:rsidRPr="00373135">
        <w:tab/>
        <w:t xml:space="preserve">See summary of </w:t>
      </w:r>
      <w:r>
        <w:t>"</w:t>
      </w:r>
      <w:r w:rsidRPr="00373135">
        <w:rPr>
          <w:i/>
        </w:rPr>
        <w:t>Our History</w:t>
      </w:r>
      <w:r>
        <w:t>"</w:t>
      </w:r>
      <w:r w:rsidRPr="00373135">
        <w:t xml:space="preserve"> in the website of the National Archives of Australia at:- </w:t>
      </w:r>
      <w:r>
        <w:t>&lt;</w:t>
      </w:r>
      <w:r w:rsidRPr="00F951A4">
        <w:t>http://www.naa.gov.au/about-us/organisation/history/index.aspx</w:t>
      </w:r>
      <w:r>
        <w:t>&gt;</w:t>
      </w:r>
      <w:r w:rsidRPr="00D51A34">
        <w:rPr>
          <w:rStyle w:val="Hyperlink"/>
          <w:rFonts w:hint="eastAsia"/>
        </w:rPr>
        <w:t>.</w:t>
      </w:r>
    </w:p>
  </w:footnote>
  <w:footnote w:id="131">
    <w:p w:rsidR="009A4F49" w:rsidRPr="00373135" w:rsidRDefault="009A4F49" w:rsidP="00C51DE0">
      <w:pPr>
        <w:pStyle w:val="FootnoteText"/>
      </w:pPr>
      <w:r w:rsidRPr="00373135">
        <w:rPr>
          <w:rStyle w:val="FootnoteReference"/>
        </w:rPr>
        <w:footnoteRef/>
      </w:r>
      <w:r w:rsidRPr="00373135">
        <w:t xml:space="preserve"> </w:t>
      </w:r>
      <w:r w:rsidRPr="00373135">
        <w:tab/>
        <w:t xml:space="preserve">Australian Law Reform Commission - </w:t>
      </w:r>
      <w:r w:rsidRPr="00373135">
        <w:rPr>
          <w:i/>
        </w:rPr>
        <w:t>Australia</w:t>
      </w:r>
      <w:r>
        <w:rPr>
          <w:i/>
        </w:rPr>
        <w:t>'</w:t>
      </w:r>
      <w:r w:rsidRPr="00373135">
        <w:rPr>
          <w:i/>
        </w:rPr>
        <w:t xml:space="preserve">s Federal Record: A Review of Archives Act 1983 </w:t>
      </w:r>
      <w:r w:rsidRPr="00373135">
        <w:t>(Report No 85, 1998), at para 2.16.</w:t>
      </w:r>
    </w:p>
  </w:footnote>
  <w:footnote w:id="132">
    <w:p w:rsidR="009A4F49" w:rsidRPr="00373135" w:rsidRDefault="009A4F49" w:rsidP="00C51DE0">
      <w:pPr>
        <w:pStyle w:val="FootnoteText"/>
      </w:pPr>
      <w:r w:rsidRPr="00373135">
        <w:rPr>
          <w:rStyle w:val="FootnoteReference"/>
        </w:rPr>
        <w:footnoteRef/>
      </w:r>
      <w:r w:rsidRPr="00373135">
        <w:t xml:space="preserve"> </w:t>
      </w:r>
      <w:r w:rsidRPr="00373135">
        <w:tab/>
        <w:t>S 2A of the 1983 Act.</w:t>
      </w:r>
    </w:p>
  </w:footnote>
  <w:footnote w:id="133">
    <w:p w:rsidR="009A4F49" w:rsidRPr="00373135" w:rsidRDefault="009A4F49" w:rsidP="00C51DE0">
      <w:pPr>
        <w:pStyle w:val="FootnoteText"/>
      </w:pPr>
      <w:r w:rsidRPr="00373135">
        <w:rPr>
          <w:rStyle w:val="FootnoteReference"/>
        </w:rPr>
        <w:footnoteRef/>
      </w:r>
      <w:r w:rsidRPr="00373135">
        <w:t xml:space="preserve"> </w:t>
      </w:r>
      <w:r w:rsidRPr="00373135">
        <w:tab/>
        <w:t xml:space="preserve">S10 of the 1983 Act. </w:t>
      </w:r>
    </w:p>
  </w:footnote>
  <w:footnote w:id="134">
    <w:p w:rsidR="009A4F49" w:rsidRPr="00373135" w:rsidRDefault="009A4F49" w:rsidP="00C51DE0">
      <w:pPr>
        <w:pStyle w:val="FootnoteText"/>
        <w:rPr>
          <w:i/>
        </w:rPr>
      </w:pPr>
      <w:r w:rsidRPr="00373135">
        <w:rPr>
          <w:rStyle w:val="FootnoteReference"/>
        </w:rPr>
        <w:footnoteRef/>
      </w:r>
      <w:r w:rsidRPr="00373135">
        <w:t xml:space="preserve"> </w:t>
      </w:r>
      <w:r w:rsidRPr="00373135">
        <w:tab/>
        <w:t>S 3 of the 1983 Act</w:t>
      </w:r>
      <w:r w:rsidRPr="00373135">
        <w:rPr>
          <w:i/>
        </w:rPr>
        <w:t>.</w:t>
      </w:r>
    </w:p>
  </w:footnote>
  <w:footnote w:id="135">
    <w:p w:rsidR="009A4F49" w:rsidRPr="00373135" w:rsidRDefault="009A4F49" w:rsidP="00C51DE0">
      <w:pPr>
        <w:pStyle w:val="FootnoteText"/>
      </w:pPr>
      <w:r w:rsidRPr="00373135">
        <w:rPr>
          <w:rStyle w:val="FootnoteReference"/>
        </w:rPr>
        <w:footnoteRef/>
      </w:r>
      <w:r w:rsidRPr="00373135">
        <w:t xml:space="preserve"> </w:t>
      </w:r>
      <w:r w:rsidRPr="00373135">
        <w:tab/>
        <w:t>S 3C of the 1983 Act.</w:t>
      </w:r>
    </w:p>
  </w:footnote>
  <w:footnote w:id="136">
    <w:p w:rsidR="009A4F49" w:rsidRPr="00373135" w:rsidRDefault="009A4F49" w:rsidP="00C51DE0">
      <w:pPr>
        <w:pStyle w:val="FootnoteText"/>
      </w:pPr>
      <w:r w:rsidRPr="00373135">
        <w:rPr>
          <w:rStyle w:val="FootnoteReference"/>
        </w:rPr>
        <w:footnoteRef/>
      </w:r>
      <w:r w:rsidRPr="00373135">
        <w:t xml:space="preserve"> </w:t>
      </w:r>
      <w:r w:rsidRPr="00373135">
        <w:rPr>
          <w:lang w:val="en-US"/>
        </w:rPr>
        <w:tab/>
      </w:r>
      <w:r w:rsidRPr="00373135">
        <w:t>S 27 of the 1983 Act.  This 15-year timeframe was reduced from a timeframe of 25</w:t>
      </w:r>
      <w:r>
        <w:rPr>
          <w:lang w:val="en-US"/>
        </w:rPr>
        <w:t> </w:t>
      </w:r>
      <w:r w:rsidRPr="00373135">
        <w:t xml:space="preserve">years by an amendment in 2010 made to section 27(3)(b) of the 1983 Act. </w:t>
      </w:r>
      <w:r>
        <w:rPr>
          <w:rFonts w:hint="eastAsia"/>
        </w:rPr>
        <w:t xml:space="preserve"> </w:t>
      </w:r>
      <w:r w:rsidRPr="00373135">
        <w:t>This reduction of timeframe was not phased.</w:t>
      </w:r>
    </w:p>
  </w:footnote>
  <w:footnote w:id="137">
    <w:p w:rsidR="009A4F49" w:rsidRPr="00373135" w:rsidRDefault="009A4F49" w:rsidP="00C51DE0">
      <w:pPr>
        <w:pStyle w:val="FootnoteText"/>
      </w:pPr>
      <w:r w:rsidRPr="00373135">
        <w:rPr>
          <w:rStyle w:val="FootnoteReference"/>
        </w:rPr>
        <w:footnoteRef/>
      </w:r>
      <w:r w:rsidRPr="00373135">
        <w:t xml:space="preserve"> </w:t>
      </w:r>
      <w:r w:rsidRPr="00373135">
        <w:tab/>
        <w:t>S 24 of the 1983 Act.</w:t>
      </w:r>
    </w:p>
  </w:footnote>
  <w:footnote w:id="138">
    <w:p w:rsidR="009A4F49" w:rsidRPr="00373135" w:rsidRDefault="009A4F49" w:rsidP="00C51DE0">
      <w:pPr>
        <w:pStyle w:val="FootnoteText"/>
      </w:pPr>
      <w:r w:rsidRPr="00373135">
        <w:rPr>
          <w:rStyle w:val="FootnoteReference"/>
        </w:rPr>
        <w:footnoteRef/>
      </w:r>
      <w:r w:rsidRPr="00373135">
        <w:t xml:space="preserve"> </w:t>
      </w:r>
      <w:r w:rsidRPr="00373135">
        <w:tab/>
        <w:t>S 63 of the 1983 Act.</w:t>
      </w:r>
    </w:p>
  </w:footnote>
  <w:footnote w:id="139">
    <w:p w:rsidR="009A4F49" w:rsidRPr="00373135" w:rsidRDefault="009A4F49" w:rsidP="00C51DE0">
      <w:pPr>
        <w:pStyle w:val="FootnoteText"/>
      </w:pPr>
      <w:r w:rsidRPr="00373135">
        <w:rPr>
          <w:rStyle w:val="FootnoteReference"/>
        </w:rPr>
        <w:footnoteRef/>
      </w:r>
      <w:r w:rsidRPr="00373135">
        <w:t xml:space="preserve"> </w:t>
      </w:r>
      <w:r w:rsidRPr="00373135">
        <w:tab/>
        <w:t>S 64 of the 1983 Act.</w:t>
      </w:r>
    </w:p>
  </w:footnote>
  <w:footnote w:id="140">
    <w:p w:rsidR="009A4F49" w:rsidRPr="00373135" w:rsidRDefault="009A4F49" w:rsidP="00C51DE0">
      <w:pPr>
        <w:pStyle w:val="FootnoteText"/>
      </w:pPr>
      <w:r w:rsidRPr="00373135">
        <w:rPr>
          <w:rStyle w:val="FootnoteReference"/>
        </w:rPr>
        <w:footnoteRef/>
      </w:r>
      <w:r w:rsidRPr="00373135">
        <w:t xml:space="preserve"> </w:t>
      </w:r>
      <w:r w:rsidRPr="00373135">
        <w:tab/>
        <w:t xml:space="preserve">For the meaning of </w:t>
      </w:r>
      <w:r>
        <w:t>"</w:t>
      </w:r>
      <w:r w:rsidRPr="00373135">
        <w:t>open access period</w:t>
      </w:r>
      <w:r>
        <w:t>"</w:t>
      </w:r>
      <w:r w:rsidRPr="00373135">
        <w:t xml:space="preserve">, see the relevant discussion in </w:t>
      </w:r>
      <w:r w:rsidRPr="003F1A25">
        <w:t>chapter 7.</w:t>
      </w:r>
    </w:p>
  </w:footnote>
  <w:footnote w:id="141">
    <w:p w:rsidR="009A4F49" w:rsidRPr="00373135" w:rsidRDefault="009A4F49" w:rsidP="00C51DE0">
      <w:pPr>
        <w:pStyle w:val="FootnoteText"/>
      </w:pPr>
      <w:r w:rsidRPr="00373135">
        <w:rPr>
          <w:rStyle w:val="FootnoteReference"/>
        </w:rPr>
        <w:footnoteRef/>
      </w:r>
      <w:r w:rsidRPr="00373135">
        <w:t xml:space="preserve"> </w:t>
      </w:r>
      <w:r w:rsidRPr="00373135">
        <w:tab/>
        <w:t>Ss 31 to 35 of the 1983 Act.</w:t>
      </w:r>
    </w:p>
  </w:footnote>
  <w:footnote w:id="142">
    <w:p w:rsidR="009A4F49" w:rsidRPr="00373135" w:rsidRDefault="009A4F49" w:rsidP="00C51DE0">
      <w:pPr>
        <w:pStyle w:val="FootnoteText"/>
      </w:pPr>
      <w:r w:rsidRPr="00373135">
        <w:rPr>
          <w:rStyle w:val="FootnoteReference"/>
        </w:rPr>
        <w:footnoteRef/>
      </w:r>
      <w:r w:rsidRPr="00373135">
        <w:t xml:space="preserve"> </w:t>
      </w:r>
      <w:r w:rsidRPr="00373135">
        <w:tab/>
        <w:t xml:space="preserve">S 56 of the 1983 Act. </w:t>
      </w:r>
    </w:p>
  </w:footnote>
  <w:footnote w:id="143">
    <w:p w:rsidR="009A4F49" w:rsidRPr="00373135" w:rsidRDefault="009A4F49" w:rsidP="00C51DE0">
      <w:pPr>
        <w:pStyle w:val="FootnoteText"/>
      </w:pPr>
      <w:r w:rsidRPr="00373135">
        <w:rPr>
          <w:rStyle w:val="FootnoteReference"/>
        </w:rPr>
        <w:footnoteRef/>
      </w:r>
      <w:r w:rsidRPr="00373135">
        <w:t xml:space="preserve"> </w:t>
      </w:r>
      <w:r w:rsidRPr="00373135">
        <w:tab/>
        <w:t>Ss 42 to 55A of the 1983 Act.</w:t>
      </w:r>
    </w:p>
  </w:footnote>
  <w:footnote w:id="144">
    <w:p w:rsidR="009A4F49" w:rsidRPr="00373135" w:rsidRDefault="009A4F49" w:rsidP="00C51DE0">
      <w:pPr>
        <w:pStyle w:val="FootnoteText"/>
      </w:pPr>
      <w:r w:rsidRPr="00373135">
        <w:rPr>
          <w:rStyle w:val="FootnoteReference"/>
        </w:rPr>
        <w:footnoteRef/>
      </w:r>
      <w:r w:rsidRPr="00373135">
        <w:t xml:space="preserve"> </w:t>
      </w:r>
      <w:r w:rsidRPr="00373135">
        <w:tab/>
        <w:t xml:space="preserve">S 57 of the 1983 Act. </w:t>
      </w:r>
    </w:p>
  </w:footnote>
  <w:footnote w:id="145">
    <w:p w:rsidR="009A4F49" w:rsidRPr="00373135" w:rsidRDefault="009A4F49" w:rsidP="004752E6">
      <w:pPr>
        <w:pStyle w:val="FootnoteText"/>
        <w:spacing w:after="0"/>
      </w:pPr>
      <w:r w:rsidRPr="00373135">
        <w:rPr>
          <w:rStyle w:val="FootnoteReference"/>
        </w:rPr>
        <w:footnoteRef/>
      </w:r>
      <w:r w:rsidRPr="00373135">
        <w:tab/>
        <w:t xml:space="preserve">See </w:t>
      </w:r>
      <w:r>
        <w:t>"</w:t>
      </w:r>
      <w:r w:rsidRPr="00373135">
        <w:rPr>
          <w:i/>
        </w:rPr>
        <w:t>History of the Public Records Acts</w:t>
      </w:r>
      <w:r>
        <w:t>"</w:t>
      </w:r>
      <w:r w:rsidRPr="00373135">
        <w:t>, available on the official website of TNA at:</w:t>
      </w:r>
    </w:p>
    <w:p w:rsidR="009A4F49" w:rsidRPr="00373135" w:rsidRDefault="009A4F49" w:rsidP="00C51DE0">
      <w:pPr>
        <w:pStyle w:val="FootnoteText"/>
      </w:pPr>
      <w:r w:rsidRPr="00373135">
        <w:tab/>
      </w:r>
      <w:r>
        <w:t>&lt;</w:t>
      </w:r>
      <w:r w:rsidRPr="00F951A4">
        <w:t>http://www.nationalarchives.gov.uk/information-management/legislation/public-</w:t>
      </w:r>
      <w:r>
        <w:t>‌</w:t>
      </w:r>
      <w:r w:rsidRPr="00F951A4">
        <w:t>records-act/history-of-pra/</w:t>
      </w:r>
      <w:r>
        <w:t>&gt;</w:t>
      </w:r>
      <w:r w:rsidRPr="00C772E0">
        <w:rPr>
          <w:rStyle w:val="Hyperlink"/>
          <w:color w:val="auto"/>
          <w:u w:val="none"/>
        </w:rPr>
        <w:t>.</w:t>
      </w:r>
      <w:r w:rsidRPr="00373135">
        <w:t xml:space="preserve"> </w:t>
      </w:r>
    </w:p>
  </w:footnote>
  <w:footnote w:id="146">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S 3(1) of the 1958 Act. </w:t>
      </w:r>
    </w:p>
  </w:footnote>
  <w:footnote w:id="147">
    <w:p w:rsidR="009A4F49" w:rsidRPr="00373135" w:rsidRDefault="009A4F49" w:rsidP="004752E6">
      <w:pPr>
        <w:pStyle w:val="FootnoteText"/>
        <w:spacing w:after="60"/>
      </w:pPr>
      <w:r w:rsidRPr="00373135">
        <w:rPr>
          <w:rStyle w:val="FootnoteReference"/>
        </w:rPr>
        <w:footnoteRef/>
      </w:r>
      <w:r w:rsidRPr="00373135">
        <w:t xml:space="preserve"> </w:t>
      </w:r>
      <w:r w:rsidRPr="00373135">
        <w:tab/>
        <w:t>S 3(4) of the 1958 Act (as enacted).</w:t>
      </w:r>
    </w:p>
  </w:footnote>
  <w:footnote w:id="148">
    <w:p w:rsidR="009A4F49" w:rsidRPr="00373135" w:rsidRDefault="009A4F49" w:rsidP="004752E6">
      <w:pPr>
        <w:pStyle w:val="FootnoteText"/>
        <w:spacing w:after="60"/>
        <w:rPr>
          <w:lang w:val="en-US"/>
        </w:rPr>
      </w:pPr>
      <w:r w:rsidRPr="00373135">
        <w:rPr>
          <w:rStyle w:val="FootnoteReference"/>
        </w:rPr>
        <w:footnoteRef/>
      </w:r>
      <w:r w:rsidRPr="00373135">
        <w:t xml:space="preserve"> </w:t>
      </w:r>
      <w:r w:rsidRPr="00373135">
        <w:rPr>
          <w:lang w:val="en-US"/>
        </w:rPr>
        <w:tab/>
        <w:t>S 3(4) of the 1958 Act (as amended by the Constitutional Reform and Governance Act 2010).</w:t>
      </w:r>
    </w:p>
  </w:footnote>
  <w:footnote w:id="149">
    <w:p w:rsidR="009A4F49" w:rsidRPr="00373135" w:rsidRDefault="009A4F49" w:rsidP="004752E6">
      <w:pPr>
        <w:pStyle w:val="FootnoteText"/>
        <w:spacing w:after="60"/>
        <w:rPr>
          <w:lang w:val="en-US"/>
        </w:rPr>
      </w:pPr>
      <w:r w:rsidRPr="00373135">
        <w:rPr>
          <w:rStyle w:val="FootnoteReference"/>
        </w:rPr>
        <w:footnoteRef/>
      </w:r>
      <w:r w:rsidRPr="00373135">
        <w:t xml:space="preserve"> </w:t>
      </w:r>
      <w:r w:rsidRPr="00373135">
        <w:rPr>
          <w:lang w:val="en-US"/>
        </w:rPr>
        <w:tab/>
      </w:r>
      <w:r w:rsidRPr="00AA783E">
        <w:rPr>
          <w:lang w:val="en-US"/>
        </w:rPr>
        <w:t>Under the 1958 Act as enacted, public records preserved were, in general, made publicly accessible when they had been in existence for 50 years.  This was shortened to 30 years by the Public Records Act 1967, and was commonly referred to as the "30 year rule".</w:t>
      </w:r>
    </w:p>
  </w:footnote>
  <w:footnote w:id="150">
    <w:p w:rsidR="009A4F49" w:rsidRPr="00373135" w:rsidRDefault="009A4F49" w:rsidP="004752E6">
      <w:pPr>
        <w:pStyle w:val="FootnoteText"/>
        <w:spacing w:after="60"/>
        <w:jc w:val="left"/>
      </w:pPr>
      <w:r w:rsidRPr="00373135">
        <w:rPr>
          <w:rStyle w:val="FootnoteReference"/>
        </w:rPr>
        <w:footnoteRef/>
      </w:r>
      <w:r w:rsidRPr="00373135">
        <w:tab/>
        <w:t xml:space="preserve">See generally: </w:t>
      </w:r>
      <w:r>
        <w:t>&lt;</w:t>
      </w:r>
      <w:r w:rsidRPr="00F951A4">
        <w:t xml:space="preserve">http://www.nationalarchives.gov.uk/information-management/ </w:t>
      </w:r>
      <w:r>
        <w:t>‌</w:t>
      </w:r>
      <w:r w:rsidRPr="00F951A4">
        <w:t>legislation/public-records-act/public-records-system/</w:t>
      </w:r>
      <w:r>
        <w:t>&gt;</w:t>
      </w:r>
      <w:r w:rsidRPr="000C755C">
        <w:rPr>
          <w:rStyle w:val="Hyperlink"/>
          <w:u w:val="none"/>
        </w:rPr>
        <w:t>.</w:t>
      </w:r>
    </w:p>
  </w:footnote>
  <w:footnote w:id="151">
    <w:p w:rsidR="009A4F49" w:rsidRPr="00373135" w:rsidRDefault="009A4F49" w:rsidP="004752E6">
      <w:pPr>
        <w:pStyle w:val="FootnoteText"/>
        <w:spacing w:after="60"/>
      </w:pPr>
      <w:r w:rsidRPr="00373135">
        <w:rPr>
          <w:rStyle w:val="FootnoteReference"/>
        </w:rPr>
        <w:footnoteRef/>
      </w:r>
      <w:r w:rsidRPr="00373135">
        <w:t xml:space="preserve"> </w:t>
      </w:r>
      <w:r w:rsidRPr="00373135">
        <w:tab/>
      </w:r>
      <w:r>
        <w:t>&lt;</w:t>
      </w:r>
      <w:r w:rsidRPr="00F951A4">
        <w:t>http://www.nationalarchives.gov.uk/about/our-role/what-we-do/our-history/</w:t>
      </w:r>
      <w:r>
        <w:t>&gt;</w:t>
      </w:r>
      <w:r w:rsidRPr="00C8324B">
        <w:rPr>
          <w:rStyle w:val="Hyperlink"/>
          <w:u w:val="none"/>
        </w:rPr>
        <w:t>.</w:t>
      </w:r>
      <w:r w:rsidRPr="00373135">
        <w:t xml:space="preserve"> </w:t>
      </w:r>
    </w:p>
  </w:footnote>
  <w:footnote w:id="152">
    <w:p w:rsidR="009A4F49" w:rsidRPr="00373135" w:rsidRDefault="009A4F49" w:rsidP="00C51DE0">
      <w:pPr>
        <w:pStyle w:val="FootnoteText"/>
        <w:rPr>
          <w:lang w:val="en-US"/>
        </w:rPr>
      </w:pPr>
      <w:r w:rsidRPr="00373135">
        <w:rPr>
          <w:rStyle w:val="FootnoteReference"/>
        </w:rPr>
        <w:footnoteRef/>
      </w:r>
      <w:r w:rsidRPr="00373135">
        <w:t xml:space="preserve"> </w:t>
      </w:r>
      <w:r w:rsidRPr="00373135">
        <w:rPr>
          <w:lang w:val="en-US"/>
        </w:rPr>
        <w:tab/>
        <w:t>Its roles and functions are discussed later in this Paper.  See also ss 1(2), (2A), (3) of the 1958 Act.</w:t>
      </w:r>
    </w:p>
  </w:footnote>
  <w:footnote w:id="153">
    <w:p w:rsidR="009A4F49" w:rsidRPr="00373135" w:rsidRDefault="009A4F49" w:rsidP="00C51DE0">
      <w:pPr>
        <w:pStyle w:val="FootnoteText"/>
      </w:pPr>
      <w:r w:rsidRPr="00373135">
        <w:rPr>
          <w:rStyle w:val="FootnoteReference"/>
        </w:rPr>
        <w:footnoteRef/>
      </w:r>
      <w:r w:rsidRPr="00373135">
        <w:t xml:space="preserve"> </w:t>
      </w:r>
      <w:r w:rsidRPr="00373135">
        <w:tab/>
        <w:t xml:space="preserve">The meaning of </w:t>
      </w:r>
      <w:r>
        <w:t>"</w:t>
      </w:r>
      <w:r w:rsidRPr="00373135">
        <w:rPr>
          <w:i/>
        </w:rPr>
        <w:t>public records</w:t>
      </w:r>
      <w:r>
        <w:t>"</w:t>
      </w:r>
      <w:r w:rsidRPr="00373135">
        <w:t xml:space="preserve"> in the 1958 Act will be discussed in more details later in this Paper.</w:t>
      </w:r>
    </w:p>
  </w:footnote>
  <w:footnote w:id="154">
    <w:p w:rsidR="009A4F49" w:rsidRPr="00373135" w:rsidRDefault="009A4F49" w:rsidP="00C51DE0">
      <w:pPr>
        <w:pStyle w:val="FootnoteText"/>
      </w:pPr>
      <w:r w:rsidRPr="00373135">
        <w:rPr>
          <w:rStyle w:val="FootnoteReference"/>
        </w:rPr>
        <w:footnoteRef/>
      </w:r>
      <w:r w:rsidRPr="00373135">
        <w:t xml:space="preserve"> </w:t>
      </w:r>
      <w:r w:rsidRPr="00373135">
        <w:tab/>
        <w:t>S 10(1) of the 1958 Act.</w:t>
      </w:r>
    </w:p>
  </w:footnote>
  <w:footnote w:id="155">
    <w:p w:rsidR="009A4F49" w:rsidRPr="00373135" w:rsidRDefault="009A4F49" w:rsidP="00C51DE0">
      <w:pPr>
        <w:pStyle w:val="FootnoteText"/>
      </w:pPr>
      <w:r w:rsidRPr="00373135">
        <w:rPr>
          <w:rStyle w:val="FootnoteReference"/>
        </w:rPr>
        <w:footnoteRef/>
      </w:r>
      <w:r w:rsidRPr="00373135">
        <w:t xml:space="preserve"> </w:t>
      </w:r>
      <w:r w:rsidRPr="00373135">
        <w:tab/>
        <w:t>S 10(2) of the 1958 Act.</w:t>
      </w:r>
    </w:p>
  </w:footnote>
  <w:footnote w:id="156">
    <w:p w:rsidR="009A4F49" w:rsidRPr="00373135" w:rsidRDefault="009A4F49" w:rsidP="00C51DE0">
      <w:pPr>
        <w:pStyle w:val="FootnoteText"/>
      </w:pPr>
      <w:r w:rsidRPr="00373135">
        <w:rPr>
          <w:rStyle w:val="FootnoteReference"/>
        </w:rPr>
        <w:footnoteRef/>
      </w:r>
      <w:r w:rsidRPr="00373135">
        <w:t xml:space="preserve"> </w:t>
      </w:r>
      <w:r w:rsidRPr="00373135">
        <w:tab/>
        <w:t>Ss 3(1), (2) and (4) of the 1958 Act.  The selection and transfer of records will be discussed in more details later in this Paper.</w:t>
      </w:r>
    </w:p>
  </w:footnote>
  <w:footnote w:id="157">
    <w:p w:rsidR="009A4F49" w:rsidRPr="00373135" w:rsidRDefault="009A4F49" w:rsidP="00C51DE0">
      <w:pPr>
        <w:pStyle w:val="FootnoteText"/>
      </w:pPr>
      <w:r w:rsidRPr="00373135">
        <w:rPr>
          <w:rStyle w:val="FootnoteReference"/>
        </w:rPr>
        <w:footnoteRef/>
      </w:r>
      <w:r w:rsidRPr="00373135">
        <w:t xml:space="preserve"> </w:t>
      </w:r>
      <w:r w:rsidRPr="00373135">
        <w:tab/>
        <w:t>S 3(6) of the 1958 Act.</w:t>
      </w:r>
    </w:p>
  </w:footnote>
  <w:footnote w:id="158">
    <w:p w:rsidR="009A4F49" w:rsidRPr="00373135" w:rsidRDefault="009A4F49" w:rsidP="00C51DE0">
      <w:pPr>
        <w:pStyle w:val="FootnoteText"/>
      </w:pPr>
      <w:r w:rsidRPr="00373135">
        <w:rPr>
          <w:rStyle w:val="FootnoteReference"/>
        </w:rPr>
        <w:footnoteRef/>
      </w:r>
      <w:r w:rsidRPr="00373135">
        <w:t xml:space="preserve"> </w:t>
      </w:r>
      <w:r w:rsidRPr="00373135">
        <w:tab/>
        <w:t>S 5(3) of the 1958 Act.</w:t>
      </w:r>
    </w:p>
  </w:footnote>
  <w:footnote w:id="159">
    <w:p w:rsidR="009A4F49" w:rsidRPr="00373135" w:rsidRDefault="009A4F49" w:rsidP="00C51DE0">
      <w:pPr>
        <w:pStyle w:val="FootnoteText"/>
      </w:pPr>
      <w:r w:rsidRPr="00373135">
        <w:rPr>
          <w:rStyle w:val="FootnoteReference"/>
        </w:rPr>
        <w:footnoteRef/>
      </w:r>
      <w:r w:rsidRPr="00373135">
        <w:t xml:space="preserve"> </w:t>
      </w:r>
      <w:r w:rsidRPr="00373135">
        <w:tab/>
        <w:t>S 5(5) of the 1958 Act.</w:t>
      </w:r>
    </w:p>
  </w:footnote>
  <w:footnote w:id="160">
    <w:p w:rsidR="009A4F49" w:rsidRPr="00373135" w:rsidRDefault="009A4F49" w:rsidP="00C51DE0">
      <w:pPr>
        <w:pStyle w:val="FootnoteText"/>
      </w:pPr>
      <w:r w:rsidRPr="00373135">
        <w:rPr>
          <w:rStyle w:val="FootnoteReference"/>
        </w:rPr>
        <w:footnoteRef/>
      </w:r>
      <w:r w:rsidRPr="00373135">
        <w:t xml:space="preserve"> </w:t>
      </w:r>
      <w:r w:rsidRPr="00373135">
        <w:tab/>
        <w:t>S 9(1) of the 1958 Act.</w:t>
      </w:r>
    </w:p>
  </w:footnote>
  <w:footnote w:id="161">
    <w:p w:rsidR="009A4F49" w:rsidRPr="00373135" w:rsidRDefault="009A4F49" w:rsidP="00C51DE0">
      <w:pPr>
        <w:pStyle w:val="FootnoteText"/>
      </w:pPr>
      <w:r w:rsidRPr="00373135">
        <w:rPr>
          <w:rStyle w:val="FootnoteReference"/>
        </w:rPr>
        <w:footnoteRef/>
      </w:r>
      <w:r w:rsidRPr="00373135">
        <w:t xml:space="preserve"> </w:t>
      </w:r>
      <w:r w:rsidRPr="00373135">
        <w:tab/>
        <w:t>S 9(2) of the 1958 Act.</w:t>
      </w:r>
    </w:p>
  </w:footnote>
  <w:footnote w:id="162">
    <w:p w:rsidR="009A4F49" w:rsidRPr="00373135" w:rsidRDefault="009A4F49" w:rsidP="00C51DE0">
      <w:pPr>
        <w:pStyle w:val="FootnoteText"/>
      </w:pPr>
      <w:r w:rsidRPr="00373135">
        <w:rPr>
          <w:rStyle w:val="FootnoteReference"/>
        </w:rPr>
        <w:footnoteRef/>
      </w:r>
      <w:r w:rsidRPr="00373135">
        <w:t xml:space="preserve"> </w:t>
      </w:r>
      <w:r w:rsidRPr="00373135">
        <w:tab/>
        <w:t xml:space="preserve">See official website of the National Archives of Ireland </w:t>
      </w:r>
      <w:r w:rsidRPr="00373135">
        <w:rPr>
          <w:lang w:eastAsia="zh-HK"/>
        </w:rPr>
        <w:t>(</w:t>
      </w:r>
      <w:r>
        <w:rPr>
          <w:lang w:eastAsia="zh-HK"/>
        </w:rPr>
        <w:t>"</w:t>
      </w:r>
      <w:r w:rsidRPr="00373135">
        <w:t>NAI</w:t>
      </w:r>
      <w:r>
        <w:rPr>
          <w:lang w:eastAsia="zh-HK"/>
        </w:rPr>
        <w:t>"</w:t>
      </w:r>
      <w:r w:rsidRPr="00373135">
        <w:rPr>
          <w:lang w:eastAsia="zh-HK"/>
        </w:rPr>
        <w:t>)</w:t>
      </w:r>
      <w:r w:rsidRPr="00373135">
        <w:t xml:space="preserve"> in Ireland at</w:t>
      </w:r>
      <w:r>
        <w:t>:</w:t>
      </w:r>
      <w:r w:rsidRPr="00373135">
        <w:t xml:space="preserve"> </w:t>
      </w:r>
      <w:r>
        <w:t>&lt;</w:t>
      </w:r>
      <w:r w:rsidRPr="00F951A4">
        <w:t>http://www.nationalarchives.ie/about-us/history/</w:t>
      </w:r>
      <w:r>
        <w:t>&gt;</w:t>
      </w:r>
      <w:r w:rsidRPr="005B0541">
        <w:rPr>
          <w:rStyle w:val="Hyperlink"/>
        </w:rPr>
        <w:t>.</w:t>
      </w:r>
      <w:r w:rsidRPr="00373135">
        <w:t xml:space="preserve"> </w:t>
      </w:r>
    </w:p>
  </w:footnote>
  <w:footnote w:id="163">
    <w:p w:rsidR="009A4F49" w:rsidRPr="00373135" w:rsidRDefault="009A4F49" w:rsidP="00C51DE0">
      <w:pPr>
        <w:pStyle w:val="FootnoteText"/>
      </w:pPr>
      <w:r w:rsidRPr="00373135">
        <w:rPr>
          <w:rStyle w:val="FootnoteReference"/>
        </w:rPr>
        <w:footnoteRef/>
      </w:r>
      <w:r w:rsidRPr="00373135">
        <w:t xml:space="preserve"> </w:t>
      </w:r>
      <w:r w:rsidRPr="00373135">
        <w:tab/>
        <w:t xml:space="preserve">S 3 of the 1986 Act. </w:t>
      </w:r>
    </w:p>
  </w:footnote>
  <w:footnote w:id="164">
    <w:p w:rsidR="009A4F49" w:rsidRPr="00373135" w:rsidRDefault="009A4F49" w:rsidP="00C51DE0">
      <w:pPr>
        <w:pStyle w:val="FootnoteText"/>
      </w:pPr>
      <w:r w:rsidRPr="00373135">
        <w:rPr>
          <w:rStyle w:val="FootnoteReference"/>
        </w:rPr>
        <w:footnoteRef/>
      </w:r>
      <w:r w:rsidRPr="00373135">
        <w:t xml:space="preserve"> </w:t>
      </w:r>
      <w:r w:rsidRPr="00373135">
        <w:tab/>
        <w:t>S 5 of the 1986 Act.</w:t>
      </w:r>
    </w:p>
  </w:footnote>
  <w:footnote w:id="165">
    <w:p w:rsidR="009A4F49" w:rsidRPr="00373135" w:rsidRDefault="009A4F49" w:rsidP="00C51DE0">
      <w:pPr>
        <w:pStyle w:val="FootnoteText"/>
      </w:pPr>
      <w:r w:rsidRPr="00373135">
        <w:rPr>
          <w:rStyle w:val="FootnoteReference"/>
        </w:rPr>
        <w:footnoteRef/>
      </w:r>
      <w:r w:rsidRPr="00373135">
        <w:t xml:space="preserve"> </w:t>
      </w:r>
      <w:r w:rsidRPr="00373135">
        <w:tab/>
        <w:t>S 4 of the 1986 Act.</w:t>
      </w:r>
    </w:p>
  </w:footnote>
  <w:footnote w:id="166">
    <w:p w:rsidR="009A4F49" w:rsidRDefault="009A4F49" w:rsidP="004752E6">
      <w:pPr>
        <w:pStyle w:val="FootnoteText"/>
        <w:spacing w:after="0"/>
      </w:pPr>
      <w:r w:rsidRPr="00373135">
        <w:rPr>
          <w:rStyle w:val="FootnoteReference"/>
        </w:rPr>
        <w:footnoteRef/>
      </w:r>
      <w:r w:rsidRPr="00373135">
        <w:tab/>
        <w:t xml:space="preserve">S 4 of the 1986 Act. See also the official website of the NAI at: </w:t>
      </w:r>
    </w:p>
    <w:p w:rsidR="009A4F49" w:rsidRPr="00373135" w:rsidRDefault="009A4F49" w:rsidP="00C51DE0">
      <w:pPr>
        <w:pStyle w:val="FootnoteText"/>
      </w:pPr>
      <w:r>
        <w:tab/>
        <w:t>&lt;</w:t>
      </w:r>
      <w:r w:rsidRPr="00F951A4">
        <w:t>http://www.nationalarchives.ie/about-us/functions/introduction-2/</w:t>
      </w:r>
      <w:r>
        <w:t>&gt;</w:t>
      </w:r>
      <w:r w:rsidRPr="00373135">
        <w:t>.</w:t>
      </w:r>
    </w:p>
  </w:footnote>
  <w:footnote w:id="167">
    <w:p w:rsidR="009A4F49" w:rsidRPr="00373135" w:rsidRDefault="009A4F49" w:rsidP="00C51DE0">
      <w:pPr>
        <w:pStyle w:val="FootnoteText"/>
        <w:rPr>
          <w:lang w:val="en-US"/>
        </w:rPr>
      </w:pPr>
      <w:r w:rsidRPr="00373135">
        <w:rPr>
          <w:rStyle w:val="FootnoteReference"/>
        </w:rPr>
        <w:footnoteRef/>
      </w:r>
      <w:r w:rsidRPr="00373135">
        <w:t xml:space="preserve"> </w:t>
      </w:r>
      <w:r w:rsidRPr="00373135">
        <w:rPr>
          <w:lang w:val="en-US"/>
        </w:rPr>
        <w:tab/>
        <w:t>S 20 of the 1986 Act.  The functions of the Advisory Council (Ire) will be discussed in more details later in this Paper.</w:t>
      </w:r>
    </w:p>
  </w:footnote>
  <w:footnote w:id="168">
    <w:p w:rsidR="009A4F49" w:rsidRPr="00373135" w:rsidRDefault="009A4F49" w:rsidP="00C51DE0">
      <w:pPr>
        <w:pStyle w:val="FootnoteText"/>
      </w:pPr>
      <w:r w:rsidRPr="00373135">
        <w:rPr>
          <w:rStyle w:val="FootnoteReference"/>
        </w:rPr>
        <w:footnoteRef/>
      </w:r>
      <w:r w:rsidRPr="00373135">
        <w:t xml:space="preserve"> </w:t>
      </w:r>
      <w:r w:rsidRPr="00373135">
        <w:tab/>
        <w:t xml:space="preserve">S 13 of the 1986 Act. </w:t>
      </w:r>
    </w:p>
  </w:footnote>
  <w:footnote w:id="169">
    <w:p w:rsidR="009A4F49" w:rsidRPr="00373135" w:rsidRDefault="009A4F49" w:rsidP="00C51DE0">
      <w:pPr>
        <w:pStyle w:val="FootnoteText"/>
      </w:pPr>
      <w:r w:rsidRPr="00373135">
        <w:rPr>
          <w:rStyle w:val="FootnoteReference"/>
        </w:rPr>
        <w:footnoteRef/>
      </w:r>
      <w:r w:rsidRPr="00373135">
        <w:t xml:space="preserve"> </w:t>
      </w:r>
      <w:r w:rsidRPr="00373135">
        <w:tab/>
        <w:t xml:space="preserve">S 19 of the 1986 Act. </w:t>
      </w:r>
    </w:p>
  </w:footnote>
  <w:footnote w:id="170">
    <w:p w:rsidR="009A4F49" w:rsidRPr="00373135" w:rsidRDefault="009A4F49" w:rsidP="00C51DE0">
      <w:pPr>
        <w:pStyle w:val="FootnoteText"/>
      </w:pPr>
      <w:r w:rsidRPr="00373135">
        <w:rPr>
          <w:rStyle w:val="FootnoteReference"/>
        </w:rPr>
        <w:footnoteRef/>
      </w:r>
      <w:r w:rsidRPr="00373135">
        <w:t xml:space="preserve"> </w:t>
      </w:r>
      <w:r w:rsidRPr="00373135">
        <w:tab/>
        <w:t>Ss 2(1)(a) and (b) of the 1986 Act.</w:t>
      </w:r>
    </w:p>
  </w:footnote>
  <w:footnote w:id="171">
    <w:p w:rsidR="009A4F49" w:rsidRPr="00373135" w:rsidRDefault="009A4F49" w:rsidP="00C51DE0">
      <w:pPr>
        <w:pStyle w:val="FootnoteText"/>
      </w:pPr>
      <w:r w:rsidRPr="00373135">
        <w:rPr>
          <w:rStyle w:val="FootnoteReference"/>
        </w:rPr>
        <w:footnoteRef/>
      </w:r>
      <w:r w:rsidRPr="00373135">
        <w:t xml:space="preserve"> </w:t>
      </w:r>
      <w:r w:rsidRPr="00373135">
        <w:tab/>
        <w:t>S 8 of the 1986 Act.</w:t>
      </w:r>
    </w:p>
  </w:footnote>
  <w:footnote w:id="172">
    <w:p w:rsidR="009A4F49" w:rsidRPr="00373135" w:rsidRDefault="009A4F49" w:rsidP="00C51DE0">
      <w:pPr>
        <w:pStyle w:val="FootnoteText"/>
      </w:pPr>
      <w:r w:rsidRPr="00373135">
        <w:rPr>
          <w:rStyle w:val="FootnoteReference"/>
        </w:rPr>
        <w:footnoteRef/>
      </w:r>
      <w:r w:rsidRPr="00373135">
        <w:t xml:space="preserve"> </w:t>
      </w:r>
      <w:r w:rsidRPr="00373135">
        <w:tab/>
        <w:t>S 7 of the 1986 Act.</w:t>
      </w:r>
    </w:p>
  </w:footnote>
  <w:footnote w:id="173">
    <w:p w:rsidR="009A4F49" w:rsidRPr="00373135" w:rsidRDefault="009A4F49" w:rsidP="00C51DE0">
      <w:pPr>
        <w:pStyle w:val="FootnoteText"/>
      </w:pPr>
      <w:r w:rsidRPr="00373135">
        <w:rPr>
          <w:rStyle w:val="FootnoteReference"/>
        </w:rPr>
        <w:footnoteRef/>
      </w:r>
      <w:r w:rsidRPr="00373135">
        <w:t xml:space="preserve"> </w:t>
      </w:r>
      <w:r w:rsidRPr="00373135">
        <w:tab/>
        <w:t>S 9 of the 1986 Act.</w:t>
      </w:r>
    </w:p>
  </w:footnote>
  <w:footnote w:id="174">
    <w:p w:rsidR="009A4F49" w:rsidRPr="00373135" w:rsidRDefault="009A4F49" w:rsidP="00C51DE0">
      <w:pPr>
        <w:pStyle w:val="FootnoteText"/>
      </w:pPr>
      <w:r w:rsidRPr="00373135">
        <w:rPr>
          <w:rStyle w:val="FootnoteReference"/>
        </w:rPr>
        <w:footnoteRef/>
      </w:r>
      <w:r w:rsidRPr="00373135">
        <w:t xml:space="preserve"> </w:t>
      </w:r>
      <w:r w:rsidRPr="00373135">
        <w:tab/>
        <w:t xml:space="preserve">S 10 of the 1986 Act; see also s 8(1). </w:t>
      </w:r>
    </w:p>
  </w:footnote>
  <w:footnote w:id="175">
    <w:p w:rsidR="009A4F49" w:rsidRPr="00373135" w:rsidRDefault="009A4F49" w:rsidP="004752E6">
      <w:pPr>
        <w:pStyle w:val="FootnoteText"/>
        <w:spacing w:after="60"/>
      </w:pPr>
      <w:r w:rsidRPr="00373135">
        <w:rPr>
          <w:rStyle w:val="FootnoteReference"/>
        </w:rPr>
        <w:footnoteRef/>
      </w:r>
      <w:r w:rsidRPr="00373135">
        <w:t xml:space="preserve"> </w:t>
      </w:r>
      <w:r w:rsidRPr="00373135">
        <w:tab/>
        <w:t>S 17 of the 1986 Act.</w:t>
      </w:r>
    </w:p>
  </w:footnote>
  <w:footnote w:id="176">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S 18 of the 1986 Act. </w:t>
      </w:r>
    </w:p>
  </w:footnote>
  <w:footnote w:id="177">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Now repealed. </w:t>
      </w:r>
    </w:p>
  </w:footnote>
  <w:footnote w:id="178">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S 6 of the Archives Act 1957 (repealed). </w:t>
      </w:r>
    </w:p>
  </w:footnote>
  <w:footnote w:id="179">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S 8 of the Archives Act 1957 (repealed). </w:t>
      </w:r>
    </w:p>
  </w:footnote>
  <w:footnote w:id="180">
    <w:p w:rsidR="009A4F49" w:rsidRPr="00373135" w:rsidRDefault="009A4F49" w:rsidP="004752E6">
      <w:pPr>
        <w:pStyle w:val="FootnoteText"/>
        <w:spacing w:after="60"/>
      </w:pPr>
      <w:r w:rsidRPr="00373135">
        <w:rPr>
          <w:rStyle w:val="FootnoteReference"/>
        </w:rPr>
        <w:footnoteRef/>
      </w:r>
      <w:r w:rsidRPr="00373135">
        <w:t xml:space="preserve"> </w:t>
      </w:r>
      <w:r w:rsidRPr="00373135">
        <w:tab/>
        <w:t>S 20 of the Archives Act 1957 (repealed).</w:t>
      </w:r>
    </w:p>
  </w:footnote>
  <w:footnote w:id="181">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A timeline of the development of the ANZ is available on the website of the ANZ at: </w:t>
      </w:r>
      <w:r>
        <w:t>&lt;</w:t>
      </w:r>
      <w:r w:rsidRPr="00F951A4">
        <w:t>http://archives.govt.nz/about/timeline</w:t>
      </w:r>
      <w:r>
        <w:t>&gt;</w:t>
      </w:r>
      <w:r w:rsidRPr="00373135">
        <w:t>.</w:t>
      </w:r>
    </w:p>
  </w:footnote>
  <w:footnote w:id="182">
    <w:p w:rsidR="009A4F49" w:rsidRPr="00373135" w:rsidRDefault="009A4F49" w:rsidP="004752E6">
      <w:pPr>
        <w:pStyle w:val="FootnoteText"/>
        <w:spacing w:after="60"/>
      </w:pPr>
      <w:r w:rsidRPr="00373135">
        <w:rPr>
          <w:rStyle w:val="FootnoteReference"/>
        </w:rPr>
        <w:footnoteRef/>
      </w:r>
      <w:r w:rsidRPr="00373135">
        <w:t xml:space="preserve"> </w:t>
      </w:r>
      <w:r w:rsidRPr="00373135">
        <w:tab/>
        <w:t xml:space="preserve">Media release issued by the Minister for Archives New Zealand on 1 September 2004 referred to in the Bill Digest of the Public Records Bill 2004.  See: </w:t>
      </w:r>
      <w:r>
        <w:t>&lt;</w:t>
      </w:r>
      <w:r w:rsidRPr="00F951A4">
        <w:t>https://www.parliament.nz/resource/en-NZ/47PLLawBD11481/6184d4bda946495659207df2288fab1f6a1be36a</w:t>
      </w:r>
      <w:r>
        <w:t>&gt;</w:t>
      </w:r>
      <w:r w:rsidRPr="00894E09">
        <w:rPr>
          <w:rStyle w:val="Hyperlink"/>
          <w:u w:val="none"/>
        </w:rPr>
        <w:t>.</w:t>
      </w:r>
      <w:r w:rsidRPr="00373135">
        <w:t xml:space="preserve"> </w:t>
      </w:r>
    </w:p>
  </w:footnote>
  <w:footnote w:id="183">
    <w:p w:rsidR="009A4F49" w:rsidRPr="00373135" w:rsidRDefault="009A4F49" w:rsidP="004752E6">
      <w:pPr>
        <w:pStyle w:val="FootnoteText"/>
        <w:spacing w:after="0"/>
      </w:pPr>
      <w:r w:rsidRPr="00373135">
        <w:rPr>
          <w:rStyle w:val="FootnoteReference"/>
        </w:rPr>
        <w:footnoteRef/>
      </w:r>
      <w:r w:rsidRPr="00373135">
        <w:t xml:space="preserve"> </w:t>
      </w:r>
      <w:r w:rsidRPr="00373135">
        <w:tab/>
        <w:t>S 66 of the 2005 Act.</w:t>
      </w:r>
    </w:p>
  </w:footnote>
  <w:footnote w:id="184">
    <w:p w:rsidR="009A4F49" w:rsidRPr="00373135" w:rsidRDefault="009A4F49" w:rsidP="00C51DE0">
      <w:pPr>
        <w:pStyle w:val="FootnoteText"/>
      </w:pPr>
      <w:r w:rsidRPr="00373135">
        <w:rPr>
          <w:rStyle w:val="FootnoteReference"/>
        </w:rPr>
        <w:footnoteRef/>
      </w:r>
      <w:r w:rsidRPr="00373135">
        <w:t xml:space="preserve"> </w:t>
      </w:r>
      <w:r w:rsidRPr="00373135">
        <w:tab/>
        <w:t>S 3 of the 2005 Act.</w:t>
      </w:r>
    </w:p>
  </w:footnote>
  <w:footnote w:id="185">
    <w:p w:rsidR="009A4F49" w:rsidRPr="00373135" w:rsidRDefault="009A4F49" w:rsidP="00C51DE0">
      <w:pPr>
        <w:pStyle w:val="FootnoteText"/>
      </w:pPr>
      <w:r w:rsidRPr="00373135">
        <w:rPr>
          <w:rStyle w:val="FootnoteReference"/>
        </w:rPr>
        <w:footnoteRef/>
      </w:r>
      <w:r w:rsidRPr="00373135">
        <w:t xml:space="preserve"> </w:t>
      </w:r>
      <w:r w:rsidRPr="00373135">
        <w:tab/>
        <w:t xml:space="preserve">S 9 of the 2005 Act. </w:t>
      </w:r>
    </w:p>
  </w:footnote>
  <w:footnote w:id="186">
    <w:p w:rsidR="009A4F49" w:rsidRPr="00373135" w:rsidRDefault="009A4F49" w:rsidP="00C51DE0">
      <w:pPr>
        <w:pStyle w:val="FootnoteText"/>
      </w:pPr>
      <w:r w:rsidRPr="00373135">
        <w:rPr>
          <w:rStyle w:val="FootnoteReference"/>
        </w:rPr>
        <w:footnoteRef/>
      </w:r>
      <w:r w:rsidRPr="00373135">
        <w:t xml:space="preserve"> </w:t>
      </w:r>
      <w:r w:rsidRPr="00373135">
        <w:tab/>
        <w:t>S 11 of the 2005 Act.</w:t>
      </w:r>
    </w:p>
  </w:footnote>
  <w:footnote w:id="187">
    <w:p w:rsidR="009A4F49" w:rsidRPr="00373135" w:rsidRDefault="009A4F49" w:rsidP="00C51DE0">
      <w:pPr>
        <w:pStyle w:val="FootnoteText"/>
        <w:rPr>
          <w:lang w:val="en-US"/>
        </w:rPr>
      </w:pPr>
      <w:r w:rsidRPr="00373135">
        <w:rPr>
          <w:rStyle w:val="FootnoteReference"/>
        </w:rPr>
        <w:footnoteRef/>
      </w:r>
      <w:r w:rsidRPr="00373135">
        <w:t xml:space="preserve"> </w:t>
      </w:r>
      <w:r w:rsidRPr="00373135">
        <w:rPr>
          <w:lang w:val="en-US"/>
        </w:rPr>
        <w:tab/>
        <w:t>S 14 of the 2005 Act.  The role and responsibilities of the Archives Council (NZ) will be discussed in more details later in this Paper.</w:t>
      </w:r>
    </w:p>
  </w:footnote>
  <w:footnote w:id="188">
    <w:p w:rsidR="009A4F49" w:rsidRPr="00373135" w:rsidRDefault="009A4F49" w:rsidP="00C51DE0">
      <w:pPr>
        <w:pStyle w:val="FootnoteText"/>
      </w:pPr>
      <w:r w:rsidRPr="00373135">
        <w:rPr>
          <w:rStyle w:val="FootnoteReference"/>
        </w:rPr>
        <w:footnoteRef/>
      </w:r>
      <w:r w:rsidRPr="00373135">
        <w:t xml:space="preserve"> </w:t>
      </w:r>
      <w:r w:rsidRPr="00373135">
        <w:tab/>
        <w:t xml:space="preserve">The meaning of </w:t>
      </w:r>
      <w:r>
        <w:t>"</w:t>
      </w:r>
      <w:r w:rsidRPr="00373135">
        <w:rPr>
          <w:i/>
        </w:rPr>
        <w:t>public office</w:t>
      </w:r>
      <w:r>
        <w:t>"</w:t>
      </w:r>
      <w:r w:rsidRPr="00373135">
        <w:t xml:space="preserve"> will be discussed in more details later in this Paper.  </w:t>
      </w:r>
    </w:p>
  </w:footnote>
  <w:footnote w:id="189">
    <w:p w:rsidR="009A4F49" w:rsidRPr="00373135" w:rsidRDefault="009A4F49" w:rsidP="00C51DE0">
      <w:pPr>
        <w:pStyle w:val="FootnoteText"/>
      </w:pPr>
      <w:r w:rsidRPr="00373135">
        <w:rPr>
          <w:rStyle w:val="FootnoteReference"/>
        </w:rPr>
        <w:footnoteRef/>
      </w:r>
      <w:r w:rsidRPr="00373135">
        <w:t xml:space="preserve"> </w:t>
      </w:r>
      <w:r w:rsidRPr="00373135">
        <w:tab/>
        <w:t>S 4 of the 2005 Act.</w:t>
      </w:r>
    </w:p>
  </w:footnote>
  <w:footnote w:id="190">
    <w:p w:rsidR="009A4F49" w:rsidRPr="00373135" w:rsidRDefault="009A4F49" w:rsidP="00C51DE0">
      <w:pPr>
        <w:pStyle w:val="FootnoteText"/>
      </w:pPr>
      <w:r w:rsidRPr="00373135">
        <w:rPr>
          <w:rStyle w:val="FootnoteReference"/>
        </w:rPr>
        <w:footnoteRef/>
      </w:r>
      <w:r w:rsidRPr="00373135">
        <w:t xml:space="preserve"> </w:t>
      </w:r>
      <w:r w:rsidRPr="00373135">
        <w:tab/>
        <w:t xml:space="preserve">S 21 of the 2005 Act. </w:t>
      </w:r>
    </w:p>
  </w:footnote>
  <w:footnote w:id="191">
    <w:p w:rsidR="009A4F49" w:rsidRPr="00373135" w:rsidRDefault="009A4F49" w:rsidP="00C51DE0">
      <w:pPr>
        <w:pStyle w:val="FootnoteText"/>
      </w:pPr>
      <w:r w:rsidRPr="00373135">
        <w:rPr>
          <w:rStyle w:val="FootnoteReference"/>
        </w:rPr>
        <w:footnoteRef/>
      </w:r>
      <w:r w:rsidRPr="00373135">
        <w:t xml:space="preserve"> </w:t>
      </w:r>
      <w:r w:rsidRPr="00373135">
        <w:tab/>
        <w:t>S 21(1) of the 2005 Act.</w:t>
      </w:r>
    </w:p>
  </w:footnote>
  <w:footnote w:id="192">
    <w:p w:rsidR="009A4F49" w:rsidRPr="00373135" w:rsidRDefault="009A4F49" w:rsidP="00C51DE0">
      <w:pPr>
        <w:pStyle w:val="FootnoteText"/>
      </w:pPr>
      <w:r w:rsidRPr="00373135">
        <w:rPr>
          <w:rStyle w:val="FootnoteReference"/>
        </w:rPr>
        <w:footnoteRef/>
      </w:r>
      <w:r w:rsidRPr="00373135">
        <w:t xml:space="preserve"> </w:t>
      </w:r>
      <w:r w:rsidRPr="00373135">
        <w:tab/>
        <w:t xml:space="preserve">S 26 of the 2005 Act. </w:t>
      </w:r>
    </w:p>
  </w:footnote>
  <w:footnote w:id="193">
    <w:p w:rsidR="009A4F49" w:rsidRPr="00373135" w:rsidRDefault="009A4F49" w:rsidP="00C51DE0">
      <w:pPr>
        <w:pStyle w:val="FootnoteText"/>
      </w:pPr>
      <w:r w:rsidRPr="00373135">
        <w:rPr>
          <w:rStyle w:val="FootnoteReference"/>
        </w:rPr>
        <w:footnoteRef/>
      </w:r>
      <w:r w:rsidRPr="00373135">
        <w:t xml:space="preserve"> </w:t>
      </w:r>
      <w:r w:rsidRPr="00373135">
        <w:tab/>
        <w:t xml:space="preserve">S 43 of the 2005 Act. </w:t>
      </w:r>
    </w:p>
  </w:footnote>
  <w:footnote w:id="194">
    <w:p w:rsidR="009A4F49" w:rsidRPr="00373135" w:rsidRDefault="009A4F49" w:rsidP="00C51DE0">
      <w:pPr>
        <w:pStyle w:val="FootnoteText"/>
      </w:pPr>
      <w:r w:rsidRPr="00373135">
        <w:rPr>
          <w:rStyle w:val="FootnoteReference"/>
        </w:rPr>
        <w:footnoteRef/>
      </w:r>
      <w:r w:rsidRPr="00373135">
        <w:t xml:space="preserve"> </w:t>
      </w:r>
      <w:r w:rsidRPr="00373135">
        <w:tab/>
        <w:t xml:space="preserve">S 47 of the 2005 Act.  </w:t>
      </w:r>
    </w:p>
  </w:footnote>
  <w:footnote w:id="195">
    <w:p w:rsidR="009A4F49" w:rsidRPr="00373135" w:rsidRDefault="009A4F49" w:rsidP="00C51DE0">
      <w:pPr>
        <w:pStyle w:val="FootnoteText"/>
      </w:pPr>
      <w:r w:rsidRPr="00373135">
        <w:rPr>
          <w:rStyle w:val="FootnoteReference"/>
        </w:rPr>
        <w:footnoteRef/>
      </w:r>
      <w:r w:rsidRPr="00373135">
        <w:t xml:space="preserve"> </w:t>
      </w:r>
      <w:r w:rsidRPr="00373135">
        <w:tab/>
        <w:t>S 49 of the 2005 Act.</w:t>
      </w:r>
    </w:p>
  </w:footnote>
  <w:footnote w:id="196">
    <w:p w:rsidR="009A4F49" w:rsidRPr="00373135" w:rsidRDefault="009A4F49" w:rsidP="00C51DE0">
      <w:pPr>
        <w:pStyle w:val="FootnoteText"/>
      </w:pPr>
      <w:r w:rsidRPr="00373135">
        <w:rPr>
          <w:rStyle w:val="FootnoteReference"/>
        </w:rPr>
        <w:footnoteRef/>
      </w:r>
      <w:r w:rsidRPr="00373135">
        <w:t xml:space="preserve"> </w:t>
      </w:r>
      <w:r w:rsidRPr="00373135">
        <w:tab/>
        <w:t>Ss 51-56 of the 2005 Act.</w:t>
      </w:r>
    </w:p>
  </w:footnote>
  <w:footnote w:id="197">
    <w:p w:rsidR="009A4F49" w:rsidRPr="00373135" w:rsidRDefault="009A4F49" w:rsidP="00C51DE0">
      <w:pPr>
        <w:pStyle w:val="FootnoteText"/>
      </w:pPr>
      <w:r w:rsidRPr="00373135">
        <w:rPr>
          <w:rStyle w:val="FootnoteReference"/>
        </w:rPr>
        <w:footnoteRef/>
      </w:r>
      <w:r w:rsidRPr="00373135">
        <w:t xml:space="preserve"> </w:t>
      </w:r>
      <w:r w:rsidRPr="00373135">
        <w:tab/>
        <w:t>Ss 61-62 of the 2005 Act.</w:t>
      </w:r>
    </w:p>
  </w:footnote>
  <w:footnote w:id="198">
    <w:p w:rsidR="009A4F49" w:rsidRPr="00373135" w:rsidRDefault="009A4F49" w:rsidP="00C51DE0">
      <w:pPr>
        <w:pStyle w:val="FootnoteText"/>
      </w:pPr>
      <w:r w:rsidRPr="00373135">
        <w:rPr>
          <w:rStyle w:val="FootnoteReference"/>
        </w:rPr>
        <w:footnoteRef/>
      </w:r>
      <w:r w:rsidRPr="00373135">
        <w:t xml:space="preserve"> </w:t>
      </w:r>
      <w:r w:rsidRPr="00373135">
        <w:tab/>
        <w:t xml:space="preserve">See the history of the NAS described in the official website of the NAS at </w:t>
      </w:r>
      <w:r>
        <w:t>: &lt;</w:t>
      </w:r>
      <w:r w:rsidRPr="00F951A4">
        <w:t>http://www.nas.gov.sg/nas/AboutUs/History.aspx</w:t>
      </w:r>
      <w:r>
        <w:t>&gt;</w:t>
      </w:r>
      <w:r w:rsidRPr="00373135">
        <w:t>.</w:t>
      </w:r>
    </w:p>
  </w:footnote>
  <w:footnote w:id="199">
    <w:p w:rsidR="009A4F49" w:rsidRDefault="009A4F49" w:rsidP="004752E6">
      <w:pPr>
        <w:pStyle w:val="FootnoteText"/>
        <w:spacing w:after="0"/>
      </w:pPr>
      <w:r w:rsidRPr="00373135">
        <w:rPr>
          <w:rStyle w:val="FootnoteReference"/>
        </w:rPr>
        <w:footnoteRef/>
      </w:r>
      <w:r w:rsidRPr="00373135">
        <w:t xml:space="preserve"> </w:t>
      </w:r>
      <w:r w:rsidRPr="00373135">
        <w:tab/>
        <w:t xml:space="preserve">See the website of the NLB at: </w:t>
      </w:r>
    </w:p>
    <w:p w:rsidR="009A4F49" w:rsidRPr="00373135" w:rsidRDefault="009A4F49" w:rsidP="00C51DE0">
      <w:pPr>
        <w:pStyle w:val="FootnoteText"/>
      </w:pPr>
      <w:r>
        <w:tab/>
        <w:t>&lt;</w:t>
      </w:r>
      <w:r w:rsidRPr="00F951A4">
        <w:t>http://www.nlb.gov.sg/About/HistoryofNationalLibrarySingapore.aspx</w:t>
      </w:r>
      <w:r>
        <w:t>&gt;</w:t>
      </w:r>
      <w:r w:rsidRPr="00373135">
        <w:t>.</w:t>
      </w:r>
    </w:p>
  </w:footnote>
  <w:footnote w:id="200">
    <w:p w:rsidR="009A4F49" w:rsidRPr="00373135" w:rsidRDefault="009A4F49" w:rsidP="00C51DE0">
      <w:pPr>
        <w:pStyle w:val="FootnoteText"/>
      </w:pPr>
      <w:r w:rsidRPr="00373135">
        <w:rPr>
          <w:rStyle w:val="FootnoteReference"/>
        </w:rPr>
        <w:footnoteRef/>
      </w:r>
      <w:r w:rsidRPr="00373135">
        <w:t xml:space="preserve"> </w:t>
      </w:r>
      <w:r w:rsidRPr="00373135">
        <w:tab/>
        <w:t xml:space="preserve">Ss 7, 9 and 10 of the National Archives and Records Centre Act 1967 (repealed). </w:t>
      </w:r>
    </w:p>
  </w:footnote>
  <w:footnote w:id="201">
    <w:p w:rsidR="009A4F49" w:rsidRPr="00373135" w:rsidRDefault="009A4F49" w:rsidP="00C51DE0">
      <w:pPr>
        <w:pStyle w:val="FootnoteText"/>
      </w:pPr>
      <w:r w:rsidRPr="00373135">
        <w:rPr>
          <w:rStyle w:val="FootnoteReference"/>
        </w:rPr>
        <w:footnoteRef/>
      </w:r>
      <w:r w:rsidRPr="00373135">
        <w:t xml:space="preserve"> </w:t>
      </w:r>
      <w:r w:rsidRPr="00373135">
        <w:tab/>
        <w:t xml:space="preserve">Above, official website of the NAS. </w:t>
      </w:r>
    </w:p>
  </w:footnote>
  <w:footnote w:id="202">
    <w:p w:rsidR="009A4F49" w:rsidRPr="00373135" w:rsidRDefault="009A4F49" w:rsidP="00C51DE0">
      <w:pPr>
        <w:pStyle w:val="FootnoteText"/>
      </w:pPr>
      <w:r w:rsidRPr="00373135">
        <w:rPr>
          <w:rStyle w:val="FootnoteReference"/>
        </w:rPr>
        <w:footnoteRef/>
      </w:r>
      <w:r w:rsidRPr="00373135">
        <w:t xml:space="preserve"> </w:t>
      </w:r>
      <w:r w:rsidRPr="00373135">
        <w:tab/>
        <w:t xml:space="preserve">For an overview about the NLB, see: </w:t>
      </w:r>
      <w:r>
        <w:t>&lt;</w:t>
      </w:r>
      <w:r w:rsidRPr="00F951A4">
        <w:t>http://www.nlb.gov.sg/About/AboutNLB.aspx</w:t>
      </w:r>
      <w:r>
        <w:t>&gt;</w:t>
      </w:r>
      <w:r w:rsidRPr="00C8324B">
        <w:rPr>
          <w:rStyle w:val="Hyperlink"/>
          <w:u w:val="none"/>
        </w:rPr>
        <w:t>.</w:t>
      </w:r>
    </w:p>
  </w:footnote>
  <w:footnote w:id="203">
    <w:p w:rsidR="009A4F49" w:rsidRPr="00373135" w:rsidRDefault="009A4F49" w:rsidP="00C51DE0">
      <w:pPr>
        <w:pStyle w:val="FootnoteText"/>
      </w:pPr>
      <w:r w:rsidRPr="00373135">
        <w:rPr>
          <w:rStyle w:val="FootnoteReference"/>
        </w:rPr>
        <w:footnoteRef/>
      </w:r>
      <w:r w:rsidRPr="00373135">
        <w:t xml:space="preserve"> </w:t>
      </w:r>
      <w:r w:rsidRPr="00373135">
        <w:tab/>
        <w:t>Ss 6 and 7 of the NLBA.</w:t>
      </w:r>
    </w:p>
  </w:footnote>
  <w:footnote w:id="204">
    <w:p w:rsidR="009A4F49" w:rsidRPr="00373135" w:rsidRDefault="009A4F49" w:rsidP="00C51DE0">
      <w:pPr>
        <w:pStyle w:val="FootnoteText"/>
      </w:pPr>
      <w:r w:rsidRPr="00373135">
        <w:rPr>
          <w:rStyle w:val="FootnoteReference"/>
        </w:rPr>
        <w:footnoteRef/>
      </w:r>
      <w:r w:rsidRPr="00373135">
        <w:t xml:space="preserve"> </w:t>
      </w:r>
      <w:r w:rsidRPr="00373135">
        <w:tab/>
        <w:t>S 14A(2) of the NLBA.</w:t>
      </w:r>
    </w:p>
  </w:footnote>
  <w:footnote w:id="205">
    <w:p w:rsidR="009A4F49" w:rsidRPr="00373135" w:rsidRDefault="009A4F49" w:rsidP="00C51DE0">
      <w:pPr>
        <w:pStyle w:val="FootnoteText"/>
      </w:pPr>
      <w:r w:rsidRPr="00373135">
        <w:rPr>
          <w:rStyle w:val="FootnoteReference"/>
        </w:rPr>
        <w:footnoteRef/>
      </w:r>
      <w:r w:rsidRPr="00373135">
        <w:t xml:space="preserve"> </w:t>
      </w:r>
      <w:r w:rsidRPr="00373135">
        <w:tab/>
        <w:t xml:space="preserve">S 14B of the NLBA. </w:t>
      </w:r>
    </w:p>
  </w:footnote>
  <w:footnote w:id="206">
    <w:p w:rsidR="009A4F49" w:rsidRPr="00373135" w:rsidRDefault="009A4F49" w:rsidP="00C51DE0">
      <w:pPr>
        <w:pStyle w:val="FootnoteText"/>
      </w:pPr>
      <w:r w:rsidRPr="00373135">
        <w:rPr>
          <w:rStyle w:val="FootnoteReference"/>
        </w:rPr>
        <w:footnoteRef/>
      </w:r>
      <w:r w:rsidRPr="00373135">
        <w:t xml:space="preserve"> </w:t>
      </w:r>
      <w:r w:rsidRPr="00373135">
        <w:tab/>
        <w:t xml:space="preserve">The meaning of the terms </w:t>
      </w:r>
      <w:r>
        <w:t>"</w:t>
      </w:r>
      <w:r w:rsidRPr="00373135">
        <w:rPr>
          <w:i/>
        </w:rPr>
        <w:t>public records</w:t>
      </w:r>
      <w:r>
        <w:t>"</w:t>
      </w:r>
      <w:r w:rsidRPr="00373135">
        <w:t xml:space="preserve"> and </w:t>
      </w:r>
      <w:r>
        <w:t>"</w:t>
      </w:r>
      <w:r w:rsidRPr="00373135">
        <w:rPr>
          <w:i/>
        </w:rPr>
        <w:t>public office</w:t>
      </w:r>
      <w:r>
        <w:t>"</w:t>
      </w:r>
      <w:r w:rsidRPr="00373135">
        <w:t xml:space="preserve"> will be discussed in more details later in this Paper. </w:t>
      </w:r>
    </w:p>
  </w:footnote>
  <w:footnote w:id="207">
    <w:p w:rsidR="009A4F49" w:rsidRPr="00373135" w:rsidRDefault="009A4F49" w:rsidP="00C51DE0">
      <w:pPr>
        <w:pStyle w:val="FootnoteText"/>
      </w:pPr>
      <w:r w:rsidRPr="00373135">
        <w:rPr>
          <w:rStyle w:val="FootnoteReference"/>
        </w:rPr>
        <w:footnoteRef/>
      </w:r>
      <w:r w:rsidRPr="00373135">
        <w:t xml:space="preserve"> </w:t>
      </w:r>
      <w:r w:rsidRPr="00373135">
        <w:tab/>
        <w:t>S 14D of the NLBA.</w:t>
      </w:r>
    </w:p>
  </w:footnote>
  <w:footnote w:id="208">
    <w:p w:rsidR="009A4F49" w:rsidRPr="00373135" w:rsidRDefault="009A4F49" w:rsidP="00C51DE0">
      <w:pPr>
        <w:pStyle w:val="FootnoteText"/>
      </w:pPr>
      <w:r w:rsidRPr="00373135">
        <w:rPr>
          <w:rStyle w:val="FootnoteReference"/>
        </w:rPr>
        <w:footnoteRef/>
      </w:r>
      <w:r w:rsidRPr="00373135">
        <w:t xml:space="preserve"> </w:t>
      </w:r>
      <w:r w:rsidRPr="00373135">
        <w:tab/>
        <w:t>S 14C of the NLBA.</w:t>
      </w:r>
    </w:p>
  </w:footnote>
  <w:footnote w:id="209">
    <w:p w:rsidR="009A4F49" w:rsidRPr="00373135" w:rsidRDefault="009A4F49" w:rsidP="00C51DE0">
      <w:pPr>
        <w:pStyle w:val="FootnoteText"/>
      </w:pPr>
      <w:r w:rsidRPr="00373135">
        <w:rPr>
          <w:rStyle w:val="FootnoteReference"/>
        </w:rPr>
        <w:footnoteRef/>
      </w:r>
      <w:r w:rsidRPr="00373135">
        <w:tab/>
        <w:t>S 14E of the NLBA.</w:t>
      </w:r>
    </w:p>
  </w:footnote>
  <w:footnote w:id="210">
    <w:p w:rsidR="009A4F49" w:rsidRPr="00373135" w:rsidRDefault="009A4F49" w:rsidP="00C51DE0">
      <w:pPr>
        <w:pStyle w:val="FootnoteText"/>
      </w:pPr>
      <w:r w:rsidRPr="00373135">
        <w:rPr>
          <w:rStyle w:val="FootnoteReference"/>
        </w:rPr>
        <w:footnoteRef/>
      </w:r>
      <w:r w:rsidRPr="00373135">
        <w:t xml:space="preserve"> </w:t>
      </w:r>
      <w:r w:rsidRPr="00373135">
        <w:tab/>
        <w:t>S 14G of the NLBA.</w:t>
      </w:r>
    </w:p>
  </w:footnote>
  <w:footnote w:id="211">
    <w:p w:rsidR="009A4F49" w:rsidRPr="001775BD" w:rsidRDefault="009A4F49" w:rsidP="00C51DE0">
      <w:pPr>
        <w:pStyle w:val="FootnoteText"/>
      </w:pPr>
      <w:r w:rsidRPr="00373135">
        <w:rPr>
          <w:rStyle w:val="FootnoteReference"/>
        </w:rPr>
        <w:footnoteRef/>
      </w:r>
      <w:r w:rsidRPr="00373135">
        <w:t xml:space="preserve"> </w:t>
      </w:r>
      <w:r w:rsidRPr="00373135">
        <w:tab/>
        <w:t>S 14H of the NLBA.</w:t>
      </w:r>
    </w:p>
  </w:footnote>
  <w:footnote w:id="212">
    <w:p w:rsidR="009A4F49" w:rsidRPr="00105987" w:rsidRDefault="009A4F49" w:rsidP="00C51DE0">
      <w:pPr>
        <w:pStyle w:val="FootnoteText"/>
      </w:pPr>
      <w:r w:rsidRPr="00105987">
        <w:rPr>
          <w:rStyle w:val="FootnoteReference"/>
        </w:rPr>
        <w:footnoteRef/>
      </w:r>
      <w:r w:rsidRPr="00105987">
        <w:t xml:space="preserve"> </w:t>
      </w:r>
      <w:r w:rsidRPr="00105987">
        <w:rPr>
          <w:rFonts w:hint="eastAsia"/>
        </w:rPr>
        <w:tab/>
      </w:r>
      <w:r w:rsidRPr="00105987">
        <w:t>Para 3.1 of The Ombudsman</w:t>
      </w:r>
      <w:r>
        <w:t>'</w:t>
      </w:r>
      <w:r w:rsidRPr="00105987">
        <w:t>s Report.</w:t>
      </w:r>
    </w:p>
  </w:footnote>
  <w:footnote w:id="213">
    <w:p w:rsidR="009A4F49" w:rsidRPr="00105987" w:rsidRDefault="009A4F49" w:rsidP="00C51DE0">
      <w:pPr>
        <w:pStyle w:val="FootnoteText"/>
      </w:pPr>
      <w:r w:rsidRPr="00105987">
        <w:rPr>
          <w:rStyle w:val="FootnoteReference"/>
        </w:rPr>
        <w:footnoteRef/>
      </w:r>
      <w:r w:rsidRPr="00105987">
        <w:t xml:space="preserve"> </w:t>
      </w:r>
      <w:r w:rsidRPr="00105987">
        <w:rPr>
          <w:rFonts w:hint="eastAsia"/>
        </w:rPr>
        <w:tab/>
      </w:r>
      <w:r w:rsidRPr="00105987">
        <w:t xml:space="preserve">Paras 3.2 – 3.3 of </w:t>
      </w:r>
      <w:r w:rsidRPr="00105987">
        <w:rPr>
          <w:i/>
        </w:rPr>
        <w:t>The</w:t>
      </w:r>
      <w:r w:rsidRPr="00105987">
        <w:t xml:space="preserve"> </w:t>
      </w:r>
      <w:r w:rsidRPr="00105987">
        <w:rPr>
          <w:i/>
        </w:rPr>
        <w:t>Ombudsman</w:t>
      </w:r>
      <w:r>
        <w:rPr>
          <w:i/>
        </w:rPr>
        <w:t>'</w:t>
      </w:r>
      <w:r w:rsidRPr="00105987">
        <w:rPr>
          <w:i/>
        </w:rPr>
        <w:t>s Report</w:t>
      </w:r>
      <w:r w:rsidRPr="00105987">
        <w:t>.</w:t>
      </w:r>
    </w:p>
  </w:footnote>
  <w:footnote w:id="214">
    <w:p w:rsidR="009A4F49" w:rsidRPr="00105987" w:rsidRDefault="009A4F49" w:rsidP="00C51DE0">
      <w:pPr>
        <w:pStyle w:val="FootnoteText"/>
      </w:pPr>
      <w:r w:rsidRPr="00105987">
        <w:rPr>
          <w:rStyle w:val="FootnoteReference"/>
        </w:rPr>
        <w:footnoteRef/>
      </w:r>
      <w:r w:rsidRPr="00105987">
        <w:t xml:space="preserve"> </w:t>
      </w:r>
      <w:r w:rsidRPr="00105987">
        <w:rPr>
          <w:rFonts w:hint="eastAsia"/>
        </w:rPr>
        <w:tab/>
      </w:r>
      <w:r w:rsidRPr="00105987">
        <w:t>Para 3.4 of The Ombudsman</w:t>
      </w:r>
      <w:r>
        <w:t>'</w:t>
      </w:r>
      <w:r w:rsidRPr="00105987">
        <w:t>s Report.</w:t>
      </w:r>
    </w:p>
  </w:footnote>
  <w:footnote w:id="215">
    <w:p w:rsidR="009A4F49" w:rsidRPr="00105987" w:rsidRDefault="009A4F49" w:rsidP="00B527B9">
      <w:pPr>
        <w:spacing w:after="120"/>
        <w:ind w:left="720" w:hanging="720"/>
        <w:rPr>
          <w:rFonts w:cs="Arial"/>
          <w:sz w:val="20"/>
        </w:rPr>
      </w:pPr>
      <w:r w:rsidRPr="00105987">
        <w:rPr>
          <w:rStyle w:val="FootnoteReference"/>
          <w:rFonts w:cs="Arial"/>
          <w:sz w:val="20"/>
        </w:rPr>
        <w:footnoteRef/>
      </w:r>
      <w:r w:rsidRPr="00105987">
        <w:rPr>
          <w:rFonts w:cs="Arial"/>
          <w:sz w:val="20"/>
        </w:rPr>
        <w:t xml:space="preserve"> </w:t>
      </w:r>
      <w:r w:rsidRPr="00105987">
        <w:rPr>
          <w:rFonts w:cs="Arial"/>
          <w:sz w:val="20"/>
        </w:rPr>
        <w:tab/>
        <w:t xml:space="preserve">An </w:t>
      </w:r>
      <w:r>
        <w:rPr>
          <w:rFonts w:cs="Arial"/>
          <w:sz w:val="20"/>
        </w:rPr>
        <w:t>"</w:t>
      </w:r>
      <w:r w:rsidRPr="00105987">
        <w:rPr>
          <w:rFonts w:cs="Arial"/>
          <w:sz w:val="20"/>
        </w:rPr>
        <w:t>executive agency</w:t>
      </w:r>
      <w:r>
        <w:rPr>
          <w:rFonts w:cs="Arial"/>
          <w:sz w:val="20"/>
        </w:rPr>
        <w:t>"</w:t>
      </w:r>
      <w:r w:rsidRPr="00105987">
        <w:rPr>
          <w:rFonts w:cs="Arial"/>
          <w:sz w:val="20"/>
        </w:rPr>
        <w:t xml:space="preserve"> is a category of Australian public service agencies established by the Governor-General by order in Gazette under the Public Service Act 1999, Act No</w:t>
      </w:r>
      <w:r w:rsidRPr="00105987">
        <w:rPr>
          <w:rFonts w:cs="Arial" w:hint="eastAsia"/>
          <w:sz w:val="20"/>
        </w:rPr>
        <w:t> </w:t>
      </w:r>
      <w:r w:rsidRPr="00105987">
        <w:rPr>
          <w:rFonts w:cs="Arial"/>
          <w:sz w:val="20"/>
        </w:rPr>
        <w:t xml:space="preserve">147, 1999.  The Head of an executive agency is accountable to the government, the Parliament and the public in the same way as the Secretary of a Department.  </w:t>
      </w:r>
    </w:p>
  </w:footnote>
  <w:footnote w:id="216">
    <w:p w:rsidR="009A4F49" w:rsidRPr="00B527B9" w:rsidRDefault="009A4F49" w:rsidP="00C51DE0">
      <w:pPr>
        <w:pStyle w:val="FootnoteText"/>
      </w:pPr>
      <w:r w:rsidRPr="00B527B9">
        <w:rPr>
          <w:rStyle w:val="FootnoteReference"/>
          <w:color w:val="000000"/>
        </w:rPr>
        <w:footnoteRef/>
      </w:r>
      <w:r w:rsidRPr="00B527B9">
        <w:t xml:space="preserve"> </w:t>
      </w:r>
      <w:r w:rsidRPr="00B527B9">
        <w:tab/>
        <w:t>See the NAA's official website: &lt;</w:t>
      </w:r>
      <w:r w:rsidRPr="00E202C4">
        <w:t>http://www.naa.gov.au/about-us/organisation/</w:t>
      </w:r>
      <w:r>
        <w:t>&gt;</w:t>
      </w:r>
      <w:r w:rsidRPr="00105987">
        <w:t xml:space="preserve"> </w:t>
      </w:r>
      <w:r w:rsidRPr="00B527B9">
        <w:t xml:space="preserve">and s7 of the 1983 Act. </w:t>
      </w:r>
    </w:p>
  </w:footnote>
  <w:footnote w:id="217">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See ss10 to 12, 14 and 17 of the 1983 Act.  The NAAAC consists of (a) a Senator chosen by the Senate, (b) a member of the House of Representatives chosen by that House and (c) 11 other members appointed by the Minister.  All members hold office for up to three years.  These members can be re-appointed.  Members are remunerated, reimbursed their expenses or paid allowances pursuant to s14.  The Chairman and Deputy Chairman of the NAAAC are appointed by the Minister.  The NAAAC holds such meetings as are necessary for the performance of its functions.  Sections 15 and 16 of the 1983 Act also provide for the termination of office or resignation of a member of the NAAAC.  </w:t>
      </w:r>
    </w:p>
  </w:footnote>
  <w:footnote w:id="218">
    <w:p w:rsidR="009A4F49" w:rsidRPr="00B527B9" w:rsidRDefault="009A4F49" w:rsidP="00C51DE0">
      <w:pPr>
        <w:pStyle w:val="FootnoteText"/>
      </w:pPr>
      <w:r w:rsidRPr="00B527B9">
        <w:rPr>
          <w:rStyle w:val="FootnoteReference"/>
          <w:color w:val="000000"/>
        </w:rPr>
        <w:footnoteRef/>
      </w:r>
      <w:r w:rsidRPr="00B527B9">
        <w:t xml:space="preserve"> </w:t>
      </w:r>
      <w:r w:rsidRPr="00B527B9">
        <w:tab/>
        <w:t>S 68 of the 1983 Act.</w:t>
      </w:r>
    </w:p>
  </w:footnote>
  <w:footnote w:id="219">
    <w:p w:rsidR="009A4F49" w:rsidRDefault="009A4F49" w:rsidP="00254C58">
      <w:pPr>
        <w:pStyle w:val="FootnoteText"/>
        <w:spacing w:after="0"/>
        <w:rPr>
          <w:lang w:val="en-US"/>
        </w:rPr>
      </w:pPr>
      <w:r w:rsidRPr="00105987">
        <w:rPr>
          <w:rStyle w:val="FootnoteReference"/>
        </w:rPr>
        <w:footnoteRef/>
      </w:r>
      <w:r w:rsidRPr="00105987">
        <w:t xml:space="preserve"> </w:t>
      </w:r>
      <w:r w:rsidRPr="00105987">
        <w:rPr>
          <w:lang w:val="en-US"/>
        </w:rPr>
        <w:tab/>
        <w:t>Namely, the Royal Commission on Historical Manuscripts, Her Majesty</w:t>
      </w:r>
      <w:r>
        <w:rPr>
          <w:lang w:val="en-US"/>
        </w:rPr>
        <w:t>'</w:t>
      </w:r>
      <w:r w:rsidRPr="00105987">
        <w:rPr>
          <w:lang w:val="en-US"/>
        </w:rPr>
        <w:t xml:space="preserve">s Stationery Office, and the Office of Public Sector Information: </w:t>
      </w:r>
    </w:p>
    <w:p w:rsidR="009A4F49" w:rsidRPr="00105987" w:rsidRDefault="009A4F49" w:rsidP="00C51DE0">
      <w:pPr>
        <w:pStyle w:val="FootnoteText"/>
        <w:rPr>
          <w:lang w:val="en-US"/>
        </w:rPr>
      </w:pPr>
      <w:r>
        <w:rPr>
          <w:lang w:val="en-US"/>
        </w:rPr>
        <w:tab/>
        <w:t>&lt;</w:t>
      </w:r>
      <w:r w:rsidRPr="00E202C4">
        <w:rPr>
          <w:lang w:val="en-US"/>
        </w:rPr>
        <w:t>http://www.nationalarchives.gov.uk/about/our-role/what-we-do/our-history/</w:t>
      </w:r>
      <w:r>
        <w:rPr>
          <w:lang w:val="en-US"/>
        </w:rPr>
        <w:t>&gt;</w:t>
      </w:r>
      <w:r w:rsidRPr="005868D8">
        <w:rPr>
          <w:rStyle w:val="Hyperlink"/>
          <w:lang w:val="en-US"/>
        </w:rPr>
        <w:t>.</w:t>
      </w:r>
      <w:r w:rsidRPr="00105987">
        <w:rPr>
          <w:lang w:val="en-US"/>
        </w:rPr>
        <w:t xml:space="preserve"> </w:t>
      </w:r>
    </w:p>
  </w:footnote>
  <w:footnote w:id="220">
    <w:p w:rsidR="009A4F49" w:rsidRDefault="009A4F49" w:rsidP="00254C58">
      <w:pPr>
        <w:pStyle w:val="FootnoteText"/>
        <w:spacing w:after="0"/>
      </w:pPr>
      <w:r w:rsidRPr="00105987">
        <w:rPr>
          <w:rStyle w:val="FootnoteReference"/>
        </w:rPr>
        <w:footnoteRef/>
      </w:r>
      <w:r w:rsidRPr="00105987">
        <w:t xml:space="preserve"> </w:t>
      </w:r>
      <w:r w:rsidRPr="00105987">
        <w:tab/>
        <w:t xml:space="preserve">Non-ministerial departments in England do not have direct ministerial accountability.  There is a </w:t>
      </w:r>
      <w:r>
        <w:t>'</w:t>
      </w:r>
      <w:r w:rsidRPr="00105987">
        <w:t>sponsor minister</w:t>
      </w:r>
      <w:r>
        <w:t>'</w:t>
      </w:r>
      <w:r w:rsidRPr="00105987">
        <w:t xml:space="preserve"> who has residual policy responsibility for such a department, but the department operates independently of ministers, generally receiving funding directly from Parliament, and is accountable directly to the Parliament.  See the UK Parliament</w:t>
      </w:r>
      <w:r>
        <w:t>'</w:t>
      </w:r>
      <w:r w:rsidRPr="00105987">
        <w:t>s website at:</w:t>
      </w:r>
    </w:p>
    <w:p w:rsidR="009A4F49" w:rsidRDefault="009A4F49" w:rsidP="00254C58">
      <w:pPr>
        <w:pStyle w:val="FootnoteText"/>
        <w:spacing w:after="0"/>
      </w:pPr>
      <w:r>
        <w:tab/>
        <w:t>&lt;</w:t>
      </w:r>
      <w:r w:rsidRPr="00E202C4">
        <w:t>http://www.publications.parliament.uk/pa/cm201415/cmselect/cmpubadm/110/11013.</w:t>
      </w:r>
      <w:r>
        <w:t>‌</w:t>
      </w:r>
      <w:r w:rsidRPr="00E202C4">
        <w:t>htm</w:t>
      </w:r>
      <w:r>
        <w:t>&gt;</w:t>
      </w:r>
      <w:r w:rsidRPr="00E8019D">
        <w:t xml:space="preserve"> </w:t>
      </w:r>
      <w:r w:rsidRPr="00105987">
        <w:t>and the UK Government</w:t>
      </w:r>
      <w:r>
        <w:t>'</w:t>
      </w:r>
      <w:r w:rsidRPr="00105987">
        <w:t>s website at:</w:t>
      </w:r>
    </w:p>
    <w:p w:rsidR="009A4F49" w:rsidRPr="00105987" w:rsidRDefault="009A4F49" w:rsidP="00C51DE0">
      <w:pPr>
        <w:pStyle w:val="FootnoteText"/>
      </w:pPr>
      <w:r>
        <w:tab/>
        <w:t>&lt;</w:t>
      </w:r>
      <w:r w:rsidRPr="00E202C4">
        <w:t>https://www.gov.uk/government/organisations</w:t>
      </w:r>
      <w:r>
        <w:t>&gt;</w:t>
      </w:r>
      <w:r w:rsidRPr="005868D8">
        <w:rPr>
          <w:rStyle w:val="Hyperlink"/>
        </w:rPr>
        <w:t>.</w:t>
      </w:r>
      <w:r w:rsidRPr="00105987">
        <w:t xml:space="preserve"> </w:t>
      </w:r>
    </w:p>
  </w:footnote>
  <w:footnote w:id="221">
    <w:p w:rsidR="009A4F49" w:rsidRPr="00B527B9" w:rsidRDefault="009A4F49" w:rsidP="00254C58">
      <w:pPr>
        <w:pStyle w:val="FootnoteText"/>
        <w:spacing w:after="0"/>
      </w:pPr>
      <w:r w:rsidRPr="00B527B9">
        <w:rPr>
          <w:rStyle w:val="FootnoteReference"/>
          <w:color w:val="000000"/>
        </w:rPr>
        <w:footnoteRef/>
      </w:r>
      <w:r w:rsidRPr="00B527B9">
        <w:t xml:space="preserve"> </w:t>
      </w:r>
      <w:r w:rsidRPr="00B527B9">
        <w:tab/>
        <w:t>Main functions of the Lord Chancellor under the 1958 Act have been transferred to the Secretary of State for Culture, Media and Sport with effect from December 2015 by virtue of ss 6 and 7 of the Transfer of Functions (Information and Public Records) Order 2015/1897 (9 December 2015).  The Department for Culture, Media and Sport changed its name to the Department for Digital, Culture, Media and Sport with effect from 3 July 2017, see:</w:t>
      </w:r>
    </w:p>
    <w:p w:rsidR="009A4F49" w:rsidRPr="00B527B9" w:rsidRDefault="009A4F49" w:rsidP="00C51DE0">
      <w:pPr>
        <w:pStyle w:val="FootnoteText"/>
        <w:rPr>
          <w:color w:val="000000"/>
          <w:shd w:val="clear" w:color="auto" w:fill="FFFF99"/>
        </w:rPr>
      </w:pPr>
      <w:r>
        <w:rPr>
          <w:color w:val="000000"/>
        </w:rPr>
        <w:tab/>
      </w:r>
      <w:r w:rsidRPr="00B527B9">
        <w:rPr>
          <w:color w:val="000000"/>
        </w:rPr>
        <w:t>&lt;</w:t>
      </w:r>
      <w:r w:rsidRPr="00AF7679">
        <w:t>https://www.gov.uk/government/news/change-of-name-for-dcms</w:t>
      </w:r>
      <w:r>
        <w:t>&gt;</w:t>
      </w:r>
      <w:r w:rsidRPr="00B527B9">
        <w:rPr>
          <w:color w:val="000000"/>
        </w:rPr>
        <w:t>.</w:t>
      </w:r>
    </w:p>
  </w:footnote>
  <w:footnote w:id="222">
    <w:p w:rsidR="009A4F49" w:rsidRPr="00B527B9" w:rsidRDefault="009A4F49" w:rsidP="00C51DE0">
      <w:pPr>
        <w:pStyle w:val="FootnoteText"/>
      </w:pPr>
      <w:r w:rsidRPr="00B527B9">
        <w:rPr>
          <w:rStyle w:val="FootnoteReference"/>
          <w:color w:val="000000"/>
        </w:rPr>
        <w:footnoteRef/>
      </w:r>
      <w:r w:rsidRPr="00B527B9">
        <w:t xml:space="preserve"> </w:t>
      </w:r>
      <w:r w:rsidRPr="00B527B9">
        <w:tab/>
        <w:t>S 2 of the 1958 Act.</w:t>
      </w:r>
    </w:p>
  </w:footnote>
  <w:footnote w:id="223">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Ss 1(2) and (2A) of the 1958 Act.  The Chairman of the Advisory Council is the Master of the Rolls and the remaining members shall be appointed by the Secretary of State on such terms as he may specify (s1(2)).  </w:t>
      </w:r>
    </w:p>
  </w:footnote>
  <w:footnote w:id="224">
    <w:p w:rsidR="009A4F49" w:rsidRDefault="009A4F49" w:rsidP="00254C58">
      <w:pPr>
        <w:pStyle w:val="FootnoteText"/>
        <w:spacing w:after="0"/>
      </w:pPr>
      <w:r w:rsidRPr="00105987">
        <w:rPr>
          <w:rStyle w:val="FootnoteReference"/>
        </w:rPr>
        <w:footnoteRef/>
      </w:r>
      <w:r w:rsidRPr="00105987">
        <w:t xml:space="preserve"> </w:t>
      </w:r>
      <w:r w:rsidRPr="00105987">
        <w:tab/>
        <w:t xml:space="preserve">The Advisory Council on Historical Manuscripts was turned into a sub-committee, known as Forum on Historical Manuscripts and Academic Research, of the ACNRA in May 2010 to provide a means through which recommendations can be made to the ACNRA about activity relating to historical manuscripts (private archives), as well as a place for discussion about academic research issues: </w:t>
      </w:r>
    </w:p>
    <w:p w:rsidR="009A4F49" w:rsidRPr="00105987" w:rsidRDefault="009A4F49" w:rsidP="00C51DE0">
      <w:pPr>
        <w:pStyle w:val="FootnoteText"/>
      </w:pPr>
      <w:r>
        <w:tab/>
        <w:t>&lt;</w:t>
      </w:r>
      <w:r w:rsidRPr="00AF7679">
        <w:t>http://www.nationalarchives.gov.uk/about/our-role/advisory-council/terms-of-reference/</w:t>
      </w:r>
      <w:r>
        <w:t>&gt;</w:t>
      </w:r>
      <w:r w:rsidRPr="00E8019D">
        <w:t>.</w:t>
      </w:r>
    </w:p>
  </w:footnote>
  <w:footnote w:id="225">
    <w:p w:rsidR="009A4F49" w:rsidRPr="007045FB" w:rsidRDefault="009A4F49" w:rsidP="00C51DE0">
      <w:pPr>
        <w:pStyle w:val="FootnoteText"/>
      </w:pPr>
      <w:r w:rsidRPr="00B527B9">
        <w:rPr>
          <w:rStyle w:val="FootnoteReference"/>
          <w:color w:val="000000"/>
        </w:rPr>
        <w:footnoteRef/>
      </w:r>
      <w:r w:rsidRPr="00B527B9">
        <w:t xml:space="preserve"> </w:t>
      </w:r>
      <w:r w:rsidRPr="00B527B9">
        <w:tab/>
        <w:t>According to TNA's website, the ACNRA currently consists of 15 members, including historians, archivists, information management professionals, former civil servants and journalists: &lt;</w:t>
      </w:r>
      <w:r w:rsidRPr="00536F8C">
        <w:t>http://www.nationalarchives.gov.uk/about/our-role/advisory-council/</w:t>
      </w:r>
      <w:r>
        <w:t>&gt;</w:t>
      </w:r>
      <w:r w:rsidRPr="00B527B9">
        <w:rPr>
          <w:sz w:val="19"/>
          <w:szCs w:val="19"/>
        </w:rPr>
        <w:t xml:space="preserve"> </w:t>
      </w:r>
      <w:r w:rsidRPr="00B527B9">
        <w:t>and &lt;</w:t>
      </w:r>
      <w:r w:rsidRPr="00536F8C">
        <w:t>http://www.nationalarchives.gov.uk/about/our-role/advisory-council/</w:t>
      </w:r>
      <w:r w:rsidRPr="007045FB">
        <w:rPr>
          <w:rStyle w:val="Hyperlink"/>
          <w:color w:val="auto"/>
          <w:u w:val="none"/>
        </w:rPr>
        <w:t>terms-of- eference/&gt;</w:t>
      </w:r>
      <w:r w:rsidRPr="007045FB">
        <w:t>.</w:t>
      </w:r>
    </w:p>
  </w:footnote>
  <w:footnote w:id="226">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S 1(3) of the 1958 Act.  </w:t>
      </w:r>
    </w:p>
  </w:footnote>
  <w:footnote w:id="227">
    <w:p w:rsidR="009A4F49" w:rsidRPr="00B527B9" w:rsidRDefault="009A4F49" w:rsidP="00ED7045">
      <w:pPr>
        <w:pStyle w:val="FootnoteText"/>
        <w:spacing w:after="0"/>
      </w:pPr>
      <w:r w:rsidRPr="00B527B9">
        <w:rPr>
          <w:rStyle w:val="FootnoteReference"/>
          <w:color w:val="000000"/>
        </w:rPr>
        <w:footnoteRef/>
      </w:r>
      <w:r w:rsidRPr="00B527B9">
        <w:t xml:space="preserve"> </w:t>
      </w:r>
      <w:r w:rsidRPr="00B527B9">
        <w:tab/>
        <w:t xml:space="preserve">Consequently, most of the functions conferred on the Taoiseach are now performed by the Minister for Arts, Heritage and the Gaeltacht although Taoiseach continues to perform certain functions relating to the retention by Departments of Departmental records which are more than 30 years old and the withholding of such records from public inspection.  See the official website of the NAI: </w:t>
      </w:r>
    </w:p>
    <w:p w:rsidR="009A4F49" w:rsidRPr="00B527B9" w:rsidRDefault="009A4F49" w:rsidP="00C51DE0">
      <w:pPr>
        <w:pStyle w:val="FootnoteText"/>
        <w:rPr>
          <w:color w:val="000000"/>
        </w:rPr>
      </w:pPr>
      <w:r>
        <w:rPr>
          <w:color w:val="000000"/>
        </w:rPr>
        <w:tab/>
      </w:r>
      <w:r w:rsidRPr="00B527B9">
        <w:rPr>
          <w:color w:val="000000"/>
        </w:rPr>
        <w:t>&lt;</w:t>
      </w:r>
      <w:r w:rsidRPr="00536F8C">
        <w:t>http://www.nationalarchives.ie/about-us/ministerial-responsibility-for-archives/</w:t>
      </w:r>
      <w:r>
        <w:t>&gt;</w:t>
      </w:r>
      <w:r w:rsidRPr="00B527B9">
        <w:rPr>
          <w:color w:val="000000"/>
        </w:rPr>
        <w:t xml:space="preserve">. </w:t>
      </w:r>
    </w:p>
  </w:footnote>
  <w:footnote w:id="228">
    <w:p w:rsidR="009A4F49" w:rsidRPr="00B527B9" w:rsidRDefault="009A4F49" w:rsidP="00C51DE0">
      <w:pPr>
        <w:pStyle w:val="FootnoteText"/>
      </w:pPr>
      <w:r w:rsidRPr="00B527B9">
        <w:rPr>
          <w:rStyle w:val="FootnoteReference"/>
          <w:color w:val="000000"/>
        </w:rPr>
        <w:footnoteRef/>
      </w:r>
      <w:r w:rsidRPr="00B527B9">
        <w:t xml:space="preserve"> </w:t>
      </w:r>
      <w:r w:rsidRPr="00B527B9">
        <w:tab/>
        <w:t>S 5 of the 1986 Act.</w:t>
      </w:r>
    </w:p>
  </w:footnote>
  <w:footnote w:id="229">
    <w:p w:rsidR="009A4F49" w:rsidRDefault="009A4F49" w:rsidP="00ED7045">
      <w:pPr>
        <w:pStyle w:val="FootnoteText"/>
        <w:spacing w:after="0"/>
      </w:pPr>
      <w:r w:rsidRPr="00B527B9">
        <w:rPr>
          <w:rStyle w:val="FootnoteReference"/>
          <w:color w:val="000000"/>
        </w:rPr>
        <w:footnoteRef/>
      </w:r>
      <w:r w:rsidRPr="00B527B9">
        <w:t xml:space="preserve"> </w:t>
      </w:r>
      <w:r w:rsidRPr="00B527B9">
        <w:tab/>
        <w:t xml:space="preserve">According to s 20 of the 1986 Act, the Advisory Council (Ire) shall consist of a chairman and not more than 11 other members (not less than two members of the Irish Manuscripts Commission and not less than two archivists not employed by the National Archives), appointed by the Minister on such terms and conditions as shall be determined by him, after consultation with the Minister for Public Service.  The Minister may terminate the appointment of the chairman or any member at any time.  Information about the Advisory Council (Ire) is available in its website at:- </w:t>
      </w:r>
    </w:p>
    <w:p w:rsidR="009A4F49" w:rsidRPr="00B527B9" w:rsidRDefault="009A4F49" w:rsidP="00ED7045">
      <w:pPr>
        <w:pStyle w:val="FootnoteText"/>
        <w:spacing w:after="60"/>
      </w:pPr>
      <w:r>
        <w:tab/>
      </w:r>
      <w:r w:rsidRPr="007045FB">
        <w:rPr>
          <w:spacing w:val="-8"/>
        </w:rPr>
        <w:t>&lt;http://www</w:t>
      </w:r>
      <w:r w:rsidRPr="00536F8C">
        <w:t>.nationalarchives.ie/about-us/national-archives-advisory-council/introduction/</w:t>
      </w:r>
      <w:r>
        <w:t>&gt;.</w:t>
      </w:r>
      <w:r w:rsidRPr="00B527B9">
        <w:t xml:space="preserve">  According to the website, members of the Advisory Council (Ire) are currently appointed for a period of five years.</w:t>
      </w:r>
    </w:p>
  </w:footnote>
  <w:footnote w:id="230">
    <w:p w:rsidR="009A4F49" w:rsidRPr="00B527B9" w:rsidRDefault="009A4F49" w:rsidP="00ED7045">
      <w:pPr>
        <w:pStyle w:val="FootnoteText"/>
        <w:spacing w:after="60"/>
      </w:pPr>
      <w:r w:rsidRPr="00B527B9">
        <w:rPr>
          <w:rStyle w:val="FootnoteReference"/>
          <w:color w:val="000000"/>
        </w:rPr>
        <w:footnoteRef/>
      </w:r>
      <w:r w:rsidRPr="00B527B9">
        <w:t xml:space="preserve"> </w:t>
      </w:r>
      <w:r w:rsidRPr="00B527B9">
        <w:tab/>
        <w:t>S 21 of the 1986 Act.</w:t>
      </w:r>
    </w:p>
  </w:footnote>
  <w:footnote w:id="231">
    <w:p w:rsidR="009A4F49" w:rsidRPr="00105987" w:rsidRDefault="009A4F49" w:rsidP="00ED7045">
      <w:pPr>
        <w:pStyle w:val="FootnoteText"/>
        <w:spacing w:after="60"/>
        <w:rPr>
          <w:lang w:val="en-US"/>
        </w:rPr>
      </w:pPr>
      <w:r w:rsidRPr="00105987">
        <w:rPr>
          <w:rStyle w:val="FootnoteReference"/>
        </w:rPr>
        <w:footnoteRef/>
      </w:r>
      <w:r w:rsidRPr="00105987">
        <w:t xml:space="preserve"> </w:t>
      </w:r>
      <w:r w:rsidRPr="00105987">
        <w:rPr>
          <w:lang w:val="en-US"/>
        </w:rPr>
        <w:tab/>
        <w:t>S 11(1)(a) of the 2005 Act.</w:t>
      </w:r>
    </w:p>
  </w:footnote>
  <w:footnote w:id="232">
    <w:p w:rsidR="009A4F49" w:rsidRPr="00B527B9" w:rsidRDefault="009A4F49" w:rsidP="00ED7045">
      <w:pPr>
        <w:pStyle w:val="FootnoteText"/>
        <w:spacing w:after="0"/>
      </w:pPr>
      <w:r w:rsidRPr="00B527B9">
        <w:rPr>
          <w:rStyle w:val="FootnoteReference"/>
          <w:color w:val="000000"/>
        </w:rPr>
        <w:footnoteRef/>
      </w:r>
      <w:r w:rsidRPr="00B527B9">
        <w:t xml:space="preserve"> </w:t>
      </w:r>
      <w:r w:rsidRPr="00B527B9">
        <w:tab/>
        <w:t xml:space="preserve">S 12 of the 2005 Act. </w:t>
      </w:r>
    </w:p>
  </w:footnote>
  <w:footnote w:id="233">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Under ss14 and 16 of the 2005 Act, the Archives Council (NZ) must consist of not more than seven members appointed by the Minister.  Council members hold office for a term not exceeding three years, and may be reappointed.  They are entitled to be paid fees and allowances or expenses out of money appropriated by Parliament for such purpose. </w:t>
      </w:r>
    </w:p>
  </w:footnote>
  <w:footnote w:id="234">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Ss 14, 15(1) and 55 of the 2005 Act. </w:t>
      </w:r>
    </w:p>
  </w:footnote>
  <w:footnote w:id="235">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Ss 15(3) and (4), and 32 of the 2005 Act. </w:t>
      </w:r>
    </w:p>
  </w:footnote>
  <w:footnote w:id="236">
    <w:p w:rsidR="009A4F49" w:rsidRPr="00B527B9" w:rsidRDefault="009A4F49" w:rsidP="00C51DE0">
      <w:pPr>
        <w:pStyle w:val="FootnoteText"/>
        <w:rPr>
          <w:color w:val="000000"/>
        </w:rPr>
      </w:pPr>
      <w:r w:rsidRPr="00B527B9">
        <w:rPr>
          <w:rStyle w:val="FootnoteReference"/>
          <w:color w:val="000000"/>
        </w:rPr>
        <w:footnoteRef/>
      </w:r>
      <w:r w:rsidRPr="00B527B9">
        <w:rPr>
          <w:color w:val="000000"/>
        </w:rPr>
        <w:t xml:space="preserve"> </w:t>
      </w:r>
      <w:r w:rsidRPr="00B527B9">
        <w:rPr>
          <w:color w:val="000000"/>
        </w:rPr>
        <w:tab/>
        <w:t>See official website of the NLB: &lt;</w:t>
      </w:r>
      <w:r w:rsidRPr="00536F8C">
        <w:t>http://www.nlb.gov.sg/About/AboutNLB.aspx</w:t>
      </w:r>
      <w:r>
        <w:t>&gt;</w:t>
      </w:r>
      <w:r w:rsidRPr="00B527B9">
        <w:rPr>
          <w:color w:val="000000"/>
        </w:rPr>
        <w:t xml:space="preserve">.  </w:t>
      </w:r>
    </w:p>
  </w:footnote>
  <w:footnote w:id="237">
    <w:p w:rsidR="009A4F49" w:rsidRPr="00B527B9" w:rsidRDefault="009A4F49" w:rsidP="00C51DE0">
      <w:pPr>
        <w:pStyle w:val="FootnoteText"/>
      </w:pPr>
      <w:r>
        <w:rPr>
          <w:rStyle w:val="FootnoteReference"/>
        </w:rPr>
        <w:footnoteRef/>
      </w:r>
      <w:r>
        <w:t xml:space="preserve"> </w:t>
      </w:r>
      <w:r>
        <w:tab/>
      </w:r>
      <w:r w:rsidRPr="00B527B9">
        <w:t>S 14 of the NLBA and s5 of the Public Sector (Governance) Act 2018.</w:t>
      </w:r>
    </w:p>
  </w:footnote>
  <w:footnote w:id="238">
    <w:p w:rsidR="009A4F49" w:rsidRPr="00B527B9" w:rsidRDefault="009A4F49" w:rsidP="00C51DE0">
      <w:pPr>
        <w:pStyle w:val="FootnoteText"/>
      </w:pPr>
      <w:r w:rsidRPr="00B527B9">
        <w:rPr>
          <w:rStyle w:val="FootnoteReference"/>
          <w:color w:val="000000"/>
        </w:rPr>
        <w:footnoteRef/>
      </w:r>
      <w:r w:rsidRPr="00B527B9">
        <w:t xml:space="preserve"> </w:t>
      </w:r>
      <w:r w:rsidRPr="00B527B9">
        <w:tab/>
        <w:t xml:space="preserve">Ss 3, 5, 6 and 7 of the NLBA.  </w:t>
      </w:r>
    </w:p>
  </w:footnote>
  <w:footnote w:id="239">
    <w:p w:rsidR="009A4F49" w:rsidRPr="00B527B9" w:rsidRDefault="009A4F49" w:rsidP="00C51DE0">
      <w:pPr>
        <w:pStyle w:val="FootnoteText"/>
      </w:pPr>
      <w:r>
        <w:rPr>
          <w:rStyle w:val="FootnoteReference"/>
        </w:rPr>
        <w:footnoteRef/>
      </w:r>
      <w:r>
        <w:t xml:space="preserve"> </w:t>
      </w:r>
      <w:r>
        <w:tab/>
      </w:r>
      <w:r w:rsidRPr="00B527B9">
        <w:t>S 15 of the NLBA and ss12 and 14 of the Public Sector (Governance) Act 2018.</w:t>
      </w:r>
    </w:p>
  </w:footnote>
  <w:footnote w:id="240">
    <w:p w:rsidR="009A4F49" w:rsidRPr="00B527B9" w:rsidRDefault="009A4F49" w:rsidP="00C51DE0">
      <w:pPr>
        <w:pStyle w:val="FootnoteText"/>
      </w:pPr>
      <w:r w:rsidRPr="00B527B9">
        <w:rPr>
          <w:rStyle w:val="FootnoteReference"/>
          <w:color w:val="000000"/>
        </w:rPr>
        <w:footnoteRef/>
      </w:r>
      <w:r w:rsidRPr="00B527B9">
        <w:t xml:space="preserve"> </w:t>
      </w:r>
      <w:r w:rsidRPr="00B527B9">
        <w:tab/>
        <w:t>Ss 5 and 14B of the NLBA.</w:t>
      </w:r>
    </w:p>
  </w:footnote>
  <w:footnote w:id="241">
    <w:p w:rsidR="009A4F49" w:rsidRPr="00B527B9" w:rsidRDefault="009A4F49" w:rsidP="00ED7045">
      <w:pPr>
        <w:pStyle w:val="FootnoteText"/>
        <w:spacing w:after="0"/>
      </w:pPr>
      <w:r w:rsidRPr="00B527B9">
        <w:rPr>
          <w:rStyle w:val="FootnoteReference"/>
          <w:color w:val="000000"/>
        </w:rPr>
        <w:footnoteRef/>
      </w:r>
      <w:r w:rsidRPr="00B527B9">
        <w:t xml:space="preserve"> </w:t>
      </w:r>
      <w:r w:rsidRPr="00B527B9">
        <w:tab/>
        <w:t>Ss 33 and 41 of the Public Sector (Governance) Act 2018.</w:t>
      </w:r>
    </w:p>
  </w:footnote>
  <w:footnote w:id="242">
    <w:p w:rsidR="009A4F49" w:rsidRPr="00B527B9" w:rsidRDefault="009A4F49" w:rsidP="00C51DE0">
      <w:pPr>
        <w:pStyle w:val="FootnoteText"/>
      </w:pPr>
      <w:r w:rsidRPr="00B527B9">
        <w:rPr>
          <w:rStyle w:val="FootnoteReference"/>
          <w:color w:val="000000"/>
        </w:rPr>
        <w:footnoteRef/>
      </w:r>
      <w:r w:rsidRPr="00B527B9">
        <w:t xml:space="preserve"> </w:t>
      </w:r>
      <w:r w:rsidRPr="00B527B9">
        <w:tab/>
        <w:t>Ss 8 and 9 of the NLBA.</w:t>
      </w:r>
    </w:p>
  </w:footnote>
  <w:footnote w:id="243">
    <w:p w:rsidR="009A4F49" w:rsidRPr="00105987" w:rsidRDefault="009A4F49" w:rsidP="00C51DE0">
      <w:pPr>
        <w:pStyle w:val="FootnoteText"/>
      </w:pPr>
      <w:r w:rsidRPr="00105987">
        <w:rPr>
          <w:rStyle w:val="FootnoteReference"/>
        </w:rPr>
        <w:footnoteRef/>
      </w:r>
      <w:r w:rsidRPr="00105987">
        <w:tab/>
        <w:t xml:space="preserve">Paras 70 to 72 of the </w:t>
      </w:r>
      <w:r w:rsidRPr="00105987">
        <w:rPr>
          <w:i/>
        </w:rPr>
        <w:t>RAMP Study</w:t>
      </w:r>
      <w:r w:rsidRPr="00105987">
        <w:t>.</w:t>
      </w:r>
    </w:p>
  </w:footnote>
  <w:footnote w:id="244">
    <w:p w:rsidR="009A4F49" w:rsidRDefault="009A4F49" w:rsidP="00ED7045">
      <w:pPr>
        <w:pStyle w:val="FootnoteText"/>
        <w:spacing w:after="0"/>
      </w:pPr>
      <w:r w:rsidRPr="00105987">
        <w:rPr>
          <w:rStyle w:val="FootnoteReference"/>
        </w:rPr>
        <w:footnoteRef/>
      </w:r>
      <w:r w:rsidRPr="00105987">
        <w:tab/>
        <w:t>Examples are England and Ireland discussed in this chapter, and Canada in which the Library and Archives Canada is placed under the Minister of Canadian Heritage since 2015 (s 4 of Library and Archives of Canada Act, S C 2004, c11, and the Table of Public Statutes and Responsible Ministers in the official website of the Department of Justice of the Government of Canada, available at:</w:t>
      </w:r>
    </w:p>
    <w:p w:rsidR="009A4F49" w:rsidRPr="00105987" w:rsidRDefault="009A4F49" w:rsidP="00C51DE0">
      <w:pPr>
        <w:pStyle w:val="FootnoteText"/>
      </w:pPr>
      <w:r>
        <w:tab/>
        <w:t>&lt;</w:t>
      </w:r>
      <w:r w:rsidRPr="00035ECE">
        <w:t>http://laws-lois.justice.gc.ca/eng/TablePublicStatutes/L.html</w:t>
      </w:r>
      <w:r>
        <w:t>&gt;</w:t>
      </w:r>
      <w:r w:rsidRPr="00105987">
        <w:t xml:space="preserve">.)  </w:t>
      </w:r>
    </w:p>
  </w:footnote>
  <w:footnote w:id="245">
    <w:p w:rsidR="009A4F49" w:rsidRPr="00105987" w:rsidRDefault="009A4F49" w:rsidP="00C51DE0">
      <w:pPr>
        <w:pStyle w:val="FootnoteText"/>
      </w:pPr>
      <w:r w:rsidRPr="00105987">
        <w:rPr>
          <w:rStyle w:val="FootnoteReference"/>
        </w:rPr>
        <w:footnoteRef/>
      </w:r>
      <w:r w:rsidRPr="00105987">
        <w:tab/>
        <w:t xml:space="preserve">For example, New Zealand.  </w:t>
      </w:r>
    </w:p>
  </w:footnote>
  <w:footnote w:id="246">
    <w:p w:rsidR="009A4F49" w:rsidRPr="00105987" w:rsidRDefault="009A4F49" w:rsidP="00C51DE0">
      <w:pPr>
        <w:pStyle w:val="FootnoteText"/>
      </w:pPr>
      <w:r w:rsidRPr="00105987">
        <w:rPr>
          <w:rStyle w:val="FootnoteReference"/>
        </w:rPr>
        <w:footnoteRef/>
      </w:r>
      <w:r w:rsidRPr="00105987">
        <w:tab/>
        <w:t>For example, Singapore.</w:t>
      </w:r>
    </w:p>
  </w:footnote>
  <w:footnote w:id="247">
    <w:p w:rsidR="009A4F49" w:rsidRPr="00105987" w:rsidRDefault="009A4F49" w:rsidP="00C51DE0">
      <w:pPr>
        <w:pStyle w:val="FootnoteText"/>
      </w:pPr>
      <w:r w:rsidRPr="00105987">
        <w:rPr>
          <w:rStyle w:val="FootnoteReference"/>
        </w:rPr>
        <w:footnoteRef/>
      </w:r>
      <w:r w:rsidRPr="00105987">
        <w:t xml:space="preserve"> </w:t>
      </w:r>
      <w:r w:rsidRPr="00105987">
        <w:tab/>
        <w:t xml:space="preserve">As discussed above, although as a non-ministerial department TNA has a </w:t>
      </w:r>
      <w:r>
        <w:t>"</w:t>
      </w:r>
      <w:r w:rsidRPr="00105987">
        <w:t>sponsor minister</w:t>
      </w:r>
      <w:r>
        <w:t>"</w:t>
      </w:r>
      <w:r w:rsidRPr="00105987">
        <w:t xml:space="preserve">, it is accountable directly to the Parliament. </w:t>
      </w:r>
    </w:p>
  </w:footnote>
  <w:footnote w:id="248">
    <w:p w:rsidR="009A4F49" w:rsidRPr="00105987" w:rsidRDefault="009A4F49" w:rsidP="00C51DE0">
      <w:pPr>
        <w:pStyle w:val="FootnoteText"/>
      </w:pPr>
      <w:r w:rsidRPr="00105987">
        <w:rPr>
          <w:rStyle w:val="FootnoteReference"/>
        </w:rPr>
        <w:footnoteRef/>
      </w:r>
      <w:r w:rsidRPr="00105987">
        <w:t xml:space="preserve"> </w:t>
      </w:r>
      <w:r w:rsidRPr="00105987">
        <w:tab/>
        <w:t>Ss 4(1)(h), 9(1)(b) and (2)(b) of the 1986 Act.</w:t>
      </w:r>
    </w:p>
  </w:footnote>
  <w:footnote w:id="249">
    <w:p w:rsidR="009A4F49" w:rsidRPr="00105987" w:rsidRDefault="009A4F49" w:rsidP="00C51DE0">
      <w:pPr>
        <w:pStyle w:val="FootnoteText"/>
      </w:pPr>
      <w:r w:rsidRPr="00105987">
        <w:rPr>
          <w:rStyle w:val="FootnoteReference"/>
        </w:rPr>
        <w:footnoteRef/>
      </w:r>
      <w:r w:rsidRPr="00105987">
        <w:t xml:space="preserve"> </w:t>
      </w:r>
      <w:r w:rsidRPr="00105987">
        <w:tab/>
        <w:t xml:space="preserve">S 1(2)(d) of the 1986 Act. </w:t>
      </w:r>
    </w:p>
  </w:footnote>
  <w:footnote w:id="250">
    <w:p w:rsidR="009A4F49" w:rsidRPr="00105987" w:rsidRDefault="009A4F49" w:rsidP="00C51DE0">
      <w:pPr>
        <w:pStyle w:val="FootnoteText"/>
        <w:rPr>
          <w:lang w:val="en-US"/>
        </w:rPr>
      </w:pPr>
      <w:r w:rsidRPr="00105987">
        <w:rPr>
          <w:rStyle w:val="FootnoteReference"/>
        </w:rPr>
        <w:footnoteRef/>
      </w:r>
      <w:r w:rsidRPr="00105987">
        <w:t xml:space="preserve"> </w:t>
      </w:r>
      <w:r w:rsidRPr="00105987">
        <w:rPr>
          <w:lang w:val="en-US"/>
        </w:rPr>
        <w:tab/>
        <w:t>Ss 5(1), 5(5)(b) of the 2005 Act.</w:t>
      </w:r>
    </w:p>
  </w:footnote>
  <w:footnote w:id="251">
    <w:p w:rsidR="009A4F49" w:rsidRPr="00105987" w:rsidRDefault="009A4F49" w:rsidP="00C51DE0">
      <w:pPr>
        <w:pStyle w:val="FootnoteText"/>
      </w:pPr>
      <w:r w:rsidRPr="00105987">
        <w:rPr>
          <w:rStyle w:val="FootnoteReference"/>
        </w:rPr>
        <w:footnoteRef/>
      </w:r>
      <w:r w:rsidRPr="00105987">
        <w:t xml:space="preserve"> </w:t>
      </w:r>
      <w:r w:rsidRPr="00105987">
        <w:tab/>
        <w:t>S 25 of the 1983 Act.</w:t>
      </w:r>
    </w:p>
  </w:footnote>
  <w:footnote w:id="252">
    <w:p w:rsidR="009A4F49" w:rsidRPr="00105987" w:rsidRDefault="009A4F49" w:rsidP="00C51DE0">
      <w:pPr>
        <w:pStyle w:val="FootnoteText"/>
      </w:pPr>
      <w:r w:rsidRPr="00105987">
        <w:rPr>
          <w:rStyle w:val="FootnoteReference"/>
        </w:rPr>
        <w:footnoteRef/>
      </w:r>
      <w:r w:rsidRPr="00105987">
        <w:t xml:space="preserve"> </w:t>
      </w:r>
      <w:r w:rsidRPr="00105987">
        <w:tab/>
        <w:t xml:space="preserve">Paras 73 to 83 of the </w:t>
      </w:r>
      <w:r w:rsidRPr="00105987">
        <w:rPr>
          <w:i/>
        </w:rPr>
        <w:t>RAMP Study</w:t>
      </w:r>
      <w:r w:rsidRPr="00105987">
        <w:t>.</w:t>
      </w:r>
    </w:p>
  </w:footnote>
  <w:footnote w:id="253">
    <w:p w:rsidR="009A4F49" w:rsidRDefault="009A4F49" w:rsidP="00ED7045">
      <w:pPr>
        <w:pStyle w:val="FootnoteText"/>
        <w:spacing w:after="0"/>
      </w:pPr>
      <w:r w:rsidRPr="00105987">
        <w:rPr>
          <w:rStyle w:val="FootnoteReference"/>
        </w:rPr>
        <w:footnoteRef/>
      </w:r>
      <w:r w:rsidRPr="00105987">
        <w:t xml:space="preserve"> </w:t>
      </w:r>
      <w:r w:rsidRPr="00105987">
        <w:tab/>
        <w:t xml:space="preserve">S 1(2) of the 1958 Act provides that, apart from the Chairman who shall be the Master of the Rolls, members of the advisory council shall be appointed by the Secretary of State on such terms as he may specify.  According to para 3.6 of the </w:t>
      </w:r>
      <w:r w:rsidRPr="00105987">
        <w:rPr>
          <w:i/>
        </w:rPr>
        <w:t>Governance Code on Public Appointments</w:t>
      </w:r>
      <w:r w:rsidRPr="00105987">
        <w:t xml:space="preserve"> (December 2016), published by the Cabinet Office of the UK Government, it is for the Secretary of State to determine the length of tenure of the appointed members, but there is a strong presumption that no individual should serve in one post for more than ten years unless in exceptional cases where the individual</w:t>
      </w:r>
      <w:r>
        <w:t>'</w:t>
      </w:r>
      <w:r w:rsidRPr="00105987">
        <w:t xml:space="preserve">s skills and expertise is needed beyond such a tenure.  The </w:t>
      </w:r>
      <w:r w:rsidRPr="00105987">
        <w:rPr>
          <w:i/>
        </w:rPr>
        <w:t>Governance Code on Public Appointments</w:t>
      </w:r>
      <w:r w:rsidRPr="00105987">
        <w:t xml:space="preserve"> is accessible at the website of the Cabinet Office at: </w:t>
      </w:r>
    </w:p>
    <w:p w:rsidR="009A4F49" w:rsidRPr="00105987" w:rsidRDefault="009A4F49" w:rsidP="00C51DE0">
      <w:pPr>
        <w:pStyle w:val="FootnoteText"/>
      </w:pPr>
      <w:r>
        <w:tab/>
        <w:t>&lt;</w:t>
      </w:r>
      <w:r w:rsidRPr="00035ECE">
        <w:t>https://www.gov.uk/government/uploads/system/uploads/attachment_data/file/578498/governance_code_on_public_appointments_16_12_2016.pdf</w:t>
      </w:r>
      <w:r>
        <w:t>&gt;</w:t>
      </w:r>
      <w:r w:rsidRPr="00AB1336">
        <w:rPr>
          <w:rStyle w:val="Hyperlink"/>
        </w:rPr>
        <w:t>.</w:t>
      </w:r>
      <w:r w:rsidRPr="00105987">
        <w:t xml:space="preserve"> </w:t>
      </w:r>
    </w:p>
  </w:footnote>
  <w:footnote w:id="254">
    <w:p w:rsidR="009A4F49" w:rsidRPr="00105987" w:rsidRDefault="009A4F49" w:rsidP="00C51DE0">
      <w:pPr>
        <w:pStyle w:val="FootnoteText"/>
      </w:pPr>
      <w:r w:rsidRPr="00105987">
        <w:rPr>
          <w:rStyle w:val="FootnoteReference"/>
        </w:rPr>
        <w:footnoteRef/>
      </w:r>
      <w:r w:rsidRPr="00105987">
        <w:t xml:space="preserve"> </w:t>
      </w:r>
      <w:r w:rsidRPr="00105987">
        <w:tab/>
        <w:t xml:space="preserve">Dagmar Parer, </w:t>
      </w:r>
      <w:r>
        <w:t>"</w:t>
      </w:r>
      <w:r w:rsidRPr="00105987">
        <w:rPr>
          <w:i/>
        </w:rPr>
        <w:t>Archival Legislation for Commonwealth Countries</w:t>
      </w:r>
      <w:r>
        <w:t>"</w:t>
      </w:r>
      <w:r w:rsidRPr="00105987">
        <w:t xml:space="preserve"> (Association of Commonwealth Archivists and Records Managers, 2001)</w:t>
      </w:r>
      <w:r>
        <w:t>.</w:t>
      </w:r>
    </w:p>
  </w:footnote>
  <w:footnote w:id="255">
    <w:p w:rsidR="009A4F49" w:rsidRPr="00105987" w:rsidRDefault="009A4F49" w:rsidP="00C51DE0">
      <w:pPr>
        <w:pStyle w:val="FootnoteText"/>
      </w:pPr>
      <w:r w:rsidRPr="00105987">
        <w:rPr>
          <w:rStyle w:val="FootnoteReference"/>
        </w:rPr>
        <w:footnoteRef/>
      </w:r>
      <w:r w:rsidRPr="00105987">
        <w:t xml:space="preserve"> </w:t>
      </w:r>
      <w:r w:rsidRPr="00105987">
        <w:tab/>
        <w:t xml:space="preserve">Para 5.1.2 of the </w:t>
      </w:r>
      <w:r w:rsidRPr="00105987">
        <w:rPr>
          <w:i/>
        </w:rPr>
        <w:t>Parer</w:t>
      </w:r>
      <w:r>
        <w:rPr>
          <w:i/>
        </w:rPr>
        <w:t>'</w:t>
      </w:r>
      <w:r w:rsidRPr="00105987">
        <w:rPr>
          <w:i/>
        </w:rPr>
        <w:t>s Report</w:t>
      </w:r>
      <w:r w:rsidRPr="00105987">
        <w:t xml:space="preserve">.  This remark should similarly be applicable to each jurisdiction and to Hong Kong SAR of </w:t>
      </w:r>
      <w:r w:rsidRPr="00944B88">
        <w:t>the People's Republic of</w:t>
      </w:r>
      <w:r>
        <w:t xml:space="preserve"> </w:t>
      </w:r>
      <w:r w:rsidRPr="00105987">
        <w:t xml:space="preserve">China under </w:t>
      </w:r>
      <w:r>
        <w:t>"</w:t>
      </w:r>
      <w:r w:rsidRPr="00105987">
        <w:t>one country two systems</w:t>
      </w:r>
      <w:r>
        <w:t>"</w:t>
      </w:r>
      <w:r w:rsidRPr="00105987">
        <w:t>.</w:t>
      </w:r>
    </w:p>
  </w:footnote>
  <w:footnote w:id="256">
    <w:p w:rsidR="009A4F49" w:rsidRPr="00105987" w:rsidRDefault="009A4F49" w:rsidP="00ED7045">
      <w:pPr>
        <w:pStyle w:val="FootnoteText"/>
        <w:spacing w:after="0"/>
      </w:pPr>
      <w:r w:rsidRPr="00105987">
        <w:rPr>
          <w:rStyle w:val="FootnoteReference"/>
        </w:rPr>
        <w:footnoteRef/>
      </w:r>
      <w:r w:rsidRPr="00105987">
        <w:tab/>
        <w:t xml:space="preserve">Paras 70 and 72 of the </w:t>
      </w:r>
      <w:r w:rsidRPr="00105987">
        <w:rPr>
          <w:i/>
        </w:rPr>
        <w:t xml:space="preserve">RAMP Study </w:t>
      </w:r>
      <w:r w:rsidRPr="00105987">
        <w:t xml:space="preserve">and para 5.1.2 of the </w:t>
      </w:r>
      <w:r w:rsidRPr="00105987">
        <w:rPr>
          <w:i/>
        </w:rPr>
        <w:t>Parer</w:t>
      </w:r>
      <w:r>
        <w:rPr>
          <w:i/>
        </w:rPr>
        <w:t>'</w:t>
      </w:r>
      <w:r w:rsidRPr="00105987">
        <w:rPr>
          <w:i/>
        </w:rPr>
        <w:t>s Report.</w:t>
      </w:r>
    </w:p>
  </w:footnote>
  <w:footnote w:id="257">
    <w:p w:rsidR="009A4F49" w:rsidRDefault="009A4F49" w:rsidP="00C51DE0">
      <w:pPr>
        <w:pStyle w:val="FootnoteText"/>
      </w:pPr>
      <w:r>
        <w:rPr>
          <w:rStyle w:val="FootnoteReference"/>
        </w:rPr>
        <w:footnoteRef/>
      </w:r>
      <w:r>
        <w:t xml:space="preserve"> </w:t>
      </w:r>
      <w:r>
        <w:tab/>
        <w:t xml:space="preserve">Paras 7.1-7.3 of </w:t>
      </w:r>
      <w:r w:rsidRPr="00197713">
        <w:rPr>
          <w:i/>
        </w:rPr>
        <w:t>The</w:t>
      </w:r>
      <w:r>
        <w:t xml:space="preserve"> </w:t>
      </w:r>
      <w:r>
        <w:rPr>
          <w:i/>
        </w:rPr>
        <w:t>Ombudsman's Report</w:t>
      </w:r>
      <w:r>
        <w:t>.</w:t>
      </w:r>
    </w:p>
  </w:footnote>
  <w:footnote w:id="258">
    <w:p w:rsidR="009A4F49" w:rsidRDefault="009A4F49" w:rsidP="00C51DE0">
      <w:pPr>
        <w:pStyle w:val="FootnoteText"/>
      </w:pPr>
      <w:r>
        <w:rPr>
          <w:rStyle w:val="FootnoteReference"/>
        </w:rPr>
        <w:footnoteRef/>
      </w:r>
      <w:r>
        <w:t xml:space="preserve"> </w:t>
      </w:r>
      <w:r>
        <w:tab/>
        <w:t xml:space="preserve">Para 9.4(10) of </w:t>
      </w:r>
      <w:r w:rsidRPr="00197713">
        <w:rPr>
          <w:i/>
        </w:rPr>
        <w:t>The</w:t>
      </w:r>
      <w:r>
        <w:t xml:space="preserve"> </w:t>
      </w:r>
      <w:r>
        <w:rPr>
          <w:i/>
        </w:rPr>
        <w:t>Ombudsman's Report</w:t>
      </w:r>
      <w:r>
        <w:t>.</w:t>
      </w:r>
    </w:p>
  </w:footnote>
  <w:footnote w:id="259">
    <w:p w:rsidR="009A4F49" w:rsidRDefault="009A4F49" w:rsidP="0052223D">
      <w:pPr>
        <w:pStyle w:val="FootnoteText"/>
        <w:spacing w:after="0"/>
      </w:pPr>
      <w:r w:rsidRPr="003922A8">
        <w:rPr>
          <w:rStyle w:val="FootnoteReference"/>
        </w:rPr>
        <w:footnoteRef/>
      </w:r>
      <w:r w:rsidRPr="003922A8">
        <w:t xml:space="preserve"> </w:t>
      </w:r>
      <w:r w:rsidRPr="003922A8">
        <w:tab/>
      </w:r>
      <w:r w:rsidRPr="00ED5CFC">
        <w:t xml:space="preserve">The </w:t>
      </w:r>
      <w:r w:rsidRPr="00ED5CFC">
        <w:rPr>
          <w:lang w:eastAsia="zh-HK"/>
        </w:rPr>
        <w:t>a</w:t>
      </w:r>
      <w:r w:rsidRPr="00ED5CFC">
        <w:t xml:space="preserve">nnual </w:t>
      </w:r>
      <w:r w:rsidRPr="00ED5CFC">
        <w:rPr>
          <w:lang w:eastAsia="zh-HK"/>
        </w:rPr>
        <w:t>r</w:t>
      </w:r>
      <w:r w:rsidRPr="00ED5CFC">
        <w:t>eport</w:t>
      </w:r>
      <w:r w:rsidRPr="00ED5CFC">
        <w:rPr>
          <w:lang w:eastAsia="zh-HK"/>
        </w:rPr>
        <w:t>s</w:t>
      </w:r>
      <w:r w:rsidRPr="00ED5CFC">
        <w:t xml:space="preserve"> </w:t>
      </w:r>
      <w:r w:rsidRPr="00ED5CFC">
        <w:rPr>
          <w:lang w:eastAsia="zh-HK"/>
        </w:rPr>
        <w:t xml:space="preserve">are </w:t>
      </w:r>
      <w:r w:rsidRPr="00ED5CFC">
        <w:t xml:space="preserve">accessible at: </w:t>
      </w:r>
    </w:p>
    <w:p w:rsidR="009A4F49" w:rsidRPr="00D86E22" w:rsidRDefault="009A4F49" w:rsidP="00C51DE0">
      <w:pPr>
        <w:pStyle w:val="FootnoteText"/>
        <w:rPr>
          <w:color w:val="0000FF"/>
        </w:rPr>
      </w:pPr>
      <w:r>
        <w:tab/>
      </w:r>
      <w:r w:rsidRPr="00ED5CFC">
        <w:t>&lt;http://www.grs.gov.hk/en/grs_annual_reports.html&gt;.</w:t>
      </w:r>
    </w:p>
  </w:footnote>
  <w:footnote w:id="260">
    <w:p w:rsidR="009A4F49" w:rsidRPr="00D86E22" w:rsidRDefault="009A4F49" w:rsidP="00C51DE0">
      <w:pPr>
        <w:pStyle w:val="FootnoteText"/>
        <w:rPr>
          <w:color w:val="0000FF"/>
          <w:lang w:eastAsia="zh-HK"/>
        </w:rPr>
      </w:pPr>
      <w:r w:rsidRPr="003922A8">
        <w:rPr>
          <w:rStyle w:val="FootnoteReference"/>
        </w:rPr>
        <w:footnoteRef/>
      </w:r>
      <w:r w:rsidRPr="003922A8">
        <w:t xml:space="preserve"> </w:t>
      </w:r>
      <w:r w:rsidRPr="003922A8">
        <w:tab/>
      </w:r>
      <w:r w:rsidRPr="003922A8">
        <w:rPr>
          <w:lang w:eastAsia="zh-HK"/>
        </w:rPr>
        <w:t>GARDS</w:t>
      </w:r>
      <w:r w:rsidRPr="003922A8">
        <w:t xml:space="preserve"> </w:t>
      </w:r>
      <w:r w:rsidRPr="003922A8">
        <w:rPr>
          <w:lang w:eastAsia="zh-HK"/>
        </w:rPr>
        <w:t xml:space="preserve">is </w:t>
      </w:r>
      <w:r w:rsidRPr="003922A8">
        <w:t xml:space="preserve">accessible at: </w:t>
      </w:r>
      <w:r>
        <w:t>&lt;</w:t>
      </w:r>
      <w:r w:rsidRPr="000B0CD2">
        <w:t>http://www.grs.gov.hk/pdf/P4(Oct_2013)(Eng_only).pdf</w:t>
      </w:r>
      <w:r>
        <w:t>&gt;</w:t>
      </w:r>
      <w:r w:rsidRPr="003922A8">
        <w:t>.</w:t>
      </w:r>
    </w:p>
  </w:footnote>
  <w:footnote w:id="261">
    <w:p w:rsidR="009A4F49" w:rsidRPr="003922A8" w:rsidRDefault="009A4F49" w:rsidP="0052223D">
      <w:pPr>
        <w:pStyle w:val="FootnoteText"/>
        <w:spacing w:after="0"/>
      </w:pPr>
      <w:r w:rsidRPr="003922A8">
        <w:rPr>
          <w:rStyle w:val="FootnoteReference"/>
        </w:rPr>
        <w:footnoteRef/>
      </w:r>
      <w:r w:rsidRPr="003922A8">
        <w:t xml:space="preserve"> </w:t>
      </w:r>
      <w:r w:rsidRPr="003922A8">
        <w:rPr>
          <w:rFonts w:hint="eastAsia"/>
        </w:rPr>
        <w:tab/>
      </w:r>
      <w:r w:rsidRPr="003922A8">
        <w:t xml:space="preserve">The information for 2015 </w:t>
      </w:r>
      <w:r w:rsidRPr="003922A8">
        <w:rPr>
          <w:lang w:eastAsia="zh-HK"/>
        </w:rPr>
        <w:t xml:space="preserve">and 2016 </w:t>
      </w:r>
      <w:r w:rsidRPr="003922A8">
        <w:t xml:space="preserve">is </w:t>
      </w:r>
      <w:r w:rsidRPr="003922A8">
        <w:rPr>
          <w:lang w:eastAsia="zh-HK"/>
        </w:rPr>
        <w:t>accessible</w:t>
      </w:r>
      <w:r w:rsidRPr="003922A8">
        <w:t xml:space="preserve"> at</w:t>
      </w:r>
      <w:r w:rsidRPr="003922A8">
        <w:rPr>
          <w:lang w:eastAsia="zh-HK"/>
        </w:rPr>
        <w:t>:</w:t>
      </w:r>
      <w:r w:rsidRPr="003922A8">
        <w:t xml:space="preserve"> </w:t>
      </w:r>
    </w:p>
    <w:p w:rsidR="009A4F49" w:rsidRPr="003922A8" w:rsidRDefault="009A4F49" w:rsidP="00C51DE0">
      <w:pPr>
        <w:pStyle w:val="FootnoteText"/>
        <w:rPr>
          <w:lang w:eastAsia="zh-HK"/>
        </w:rPr>
      </w:pPr>
      <w:r w:rsidRPr="003922A8">
        <w:tab/>
      </w:r>
      <w:r>
        <w:t>&lt;</w:t>
      </w:r>
      <w:r w:rsidRPr="000B0CD2">
        <w:t>http://www.grs.gov.hk/en/destruction_of_records_in_the_government.html</w:t>
      </w:r>
      <w:r>
        <w:t>&gt;</w:t>
      </w:r>
      <w:r w:rsidRPr="003922A8">
        <w:t>.</w:t>
      </w:r>
    </w:p>
  </w:footnote>
  <w:footnote w:id="262">
    <w:p w:rsidR="009A4F49" w:rsidRPr="003922A8" w:rsidRDefault="009A4F49" w:rsidP="0052223D">
      <w:pPr>
        <w:pStyle w:val="FootnoteText"/>
        <w:spacing w:after="0"/>
      </w:pPr>
      <w:r w:rsidRPr="003922A8">
        <w:rPr>
          <w:rStyle w:val="FootnoteReference"/>
        </w:rPr>
        <w:footnoteRef/>
      </w:r>
      <w:r w:rsidRPr="003922A8">
        <w:t xml:space="preserve"> </w:t>
      </w:r>
      <w:r w:rsidRPr="003922A8">
        <w:rPr>
          <w:rFonts w:hint="eastAsia"/>
        </w:rPr>
        <w:tab/>
      </w:r>
      <w:r w:rsidRPr="003922A8">
        <w:t xml:space="preserve">The </w:t>
      </w:r>
      <w:r w:rsidRPr="003922A8">
        <w:rPr>
          <w:lang w:eastAsia="zh-HK"/>
        </w:rPr>
        <w:t>m</w:t>
      </w:r>
      <w:r w:rsidRPr="003922A8">
        <w:t xml:space="preserve">anuals, guidelines and circulars </w:t>
      </w:r>
      <w:r w:rsidRPr="003922A8">
        <w:rPr>
          <w:lang w:eastAsia="zh-HK"/>
        </w:rPr>
        <w:t xml:space="preserve">are accessible </w:t>
      </w:r>
      <w:r w:rsidRPr="003922A8">
        <w:t xml:space="preserve">at: </w:t>
      </w:r>
    </w:p>
    <w:p w:rsidR="009A4F49" w:rsidRPr="00ED5CFC" w:rsidRDefault="009A4F49" w:rsidP="0052223D">
      <w:pPr>
        <w:pStyle w:val="FootnoteText"/>
        <w:spacing w:after="0"/>
        <w:rPr>
          <w:lang w:eastAsia="zh-HK"/>
        </w:rPr>
      </w:pPr>
      <w:r w:rsidRPr="003922A8">
        <w:tab/>
      </w:r>
      <w:r w:rsidRPr="00ED5CFC">
        <w:t>&lt;</w:t>
      </w:r>
      <w:hyperlink r:id="rId5" w:history="1">
        <w:r w:rsidRPr="00ED5CFC">
          <w:rPr>
            <w:rStyle w:val="Hyperlink"/>
            <w:color w:val="auto"/>
            <w:u w:val="none"/>
          </w:rPr>
          <w:t>http://www.grs.gov.hk/en/hksar_government_administrative_guidelines_on_recor</w:t>
        </w:r>
        <w:r w:rsidRPr="00ED5CFC">
          <w:rPr>
            <w:rStyle w:val="Hyperlink"/>
            <w:rFonts w:hint="eastAsia"/>
            <w:color w:val="auto"/>
            <w:u w:val="none"/>
          </w:rPr>
          <w:t>d</w:t>
        </w:r>
        <w:r w:rsidRPr="00ED5CFC">
          <w:rPr>
            <w:rStyle w:val="Hyperlink"/>
            <w:color w:val="auto"/>
            <w:u w:val="none"/>
          </w:rPr>
          <w:t xml:space="preserve"> management.html</w:t>
        </w:r>
      </w:hyperlink>
      <w:r w:rsidRPr="00ED5CFC">
        <w:rPr>
          <w:rStyle w:val="Hyperlink"/>
          <w:color w:val="auto"/>
          <w:u w:val="none"/>
        </w:rPr>
        <w:t>&gt;</w:t>
      </w:r>
      <w:r w:rsidRPr="00ED5CFC">
        <w:t>.</w:t>
      </w:r>
    </w:p>
  </w:footnote>
  <w:footnote w:id="263">
    <w:p w:rsidR="009A4F49" w:rsidRDefault="009A4F49" w:rsidP="0052223D">
      <w:pPr>
        <w:pStyle w:val="FootnoteText"/>
        <w:spacing w:after="0"/>
      </w:pPr>
      <w:r w:rsidRPr="003922A8">
        <w:rPr>
          <w:rStyle w:val="FootnoteReference"/>
        </w:rPr>
        <w:footnoteRef/>
      </w:r>
      <w:r w:rsidRPr="003922A8">
        <w:t xml:space="preserve"> </w:t>
      </w:r>
      <w:r w:rsidRPr="003922A8">
        <w:rPr>
          <w:rFonts w:hint="eastAsia"/>
        </w:rPr>
        <w:tab/>
      </w:r>
      <w:r w:rsidRPr="003922A8">
        <w:t xml:space="preserve">See, in particular, the information management web page of TNA in England: </w:t>
      </w:r>
      <w:r>
        <w:t>&lt;</w:t>
      </w:r>
      <w:r w:rsidRPr="000B0CD2">
        <w:t>http://www.nationalarchives.gov.uk/information-management/</w:t>
      </w:r>
      <w:r>
        <w:t>&gt;</w:t>
      </w:r>
      <w:r w:rsidRPr="003922A8">
        <w:t>, the Records Toolkit page of ANZ in New Zealand at:</w:t>
      </w:r>
      <w:r w:rsidRPr="003922A8">
        <w:rPr>
          <w:rFonts w:hint="eastAsia"/>
          <w:lang w:eastAsia="zh-HK"/>
        </w:rPr>
        <w:t xml:space="preserve"> </w:t>
      </w:r>
      <w:r>
        <w:rPr>
          <w:lang w:eastAsia="zh-HK"/>
        </w:rPr>
        <w:t>&lt;</w:t>
      </w:r>
      <w:r w:rsidRPr="000B0CD2">
        <w:t>http://records.archives.govt.nz/</w:t>
      </w:r>
      <w:r>
        <w:t>&gt;</w:t>
      </w:r>
      <w:r w:rsidRPr="003922A8">
        <w:t>, and the information management web page of NAA in Australia:</w:t>
      </w:r>
    </w:p>
    <w:p w:rsidR="009A4F49" w:rsidRPr="003922A8" w:rsidRDefault="009A4F49" w:rsidP="00C51DE0">
      <w:pPr>
        <w:pStyle w:val="FootnoteText"/>
      </w:pPr>
      <w:r>
        <w:tab/>
        <w:t>&lt;</w:t>
      </w:r>
      <w:r w:rsidRPr="000B0CD2">
        <w:t>http://www.naa.gov.au/information-management/</w:t>
      </w:r>
      <w:r>
        <w:t>&gt;.</w:t>
      </w:r>
      <w:r w:rsidRPr="003922A8">
        <w:t xml:space="preserve"> </w:t>
      </w:r>
    </w:p>
  </w:footnote>
  <w:footnote w:id="264">
    <w:p w:rsidR="009A4F49" w:rsidRPr="003922A8" w:rsidRDefault="009A4F49" w:rsidP="00C51DE0">
      <w:pPr>
        <w:pStyle w:val="FootnoteText"/>
      </w:pPr>
      <w:r w:rsidRPr="003922A8">
        <w:rPr>
          <w:rStyle w:val="FootnoteReference"/>
        </w:rPr>
        <w:footnoteRef/>
      </w:r>
      <w:r w:rsidRPr="003922A8">
        <w:t xml:space="preserve"> </w:t>
      </w:r>
      <w:r w:rsidRPr="003922A8">
        <w:tab/>
        <w:t xml:space="preserve">For example, s 5(2)(c) of the 1983 Act in Australia and s 4(1)(e) of the 1986 Act in Ireland. </w:t>
      </w:r>
    </w:p>
  </w:footnote>
  <w:footnote w:id="265">
    <w:p w:rsidR="009A4F49" w:rsidRPr="003922A8" w:rsidRDefault="009A4F49" w:rsidP="00C51DE0">
      <w:pPr>
        <w:pStyle w:val="FootnoteText"/>
      </w:pPr>
      <w:r w:rsidRPr="003922A8">
        <w:rPr>
          <w:rStyle w:val="FootnoteReference"/>
        </w:rPr>
        <w:footnoteRef/>
      </w:r>
      <w:r w:rsidRPr="003922A8">
        <w:t xml:space="preserve"> </w:t>
      </w:r>
      <w:r w:rsidRPr="003922A8">
        <w:rPr>
          <w:rFonts w:hint="eastAsia"/>
        </w:rPr>
        <w:tab/>
        <w:t>S 27(3) of the 2005 Act.</w:t>
      </w:r>
    </w:p>
  </w:footnote>
  <w:footnote w:id="266">
    <w:p w:rsidR="009A4F49" w:rsidRPr="003922A8" w:rsidRDefault="009A4F49" w:rsidP="00C51DE0">
      <w:pPr>
        <w:pStyle w:val="FootnoteText"/>
      </w:pPr>
      <w:r w:rsidRPr="003922A8">
        <w:rPr>
          <w:rStyle w:val="FootnoteReference"/>
        </w:rPr>
        <w:footnoteRef/>
      </w:r>
      <w:r w:rsidRPr="003922A8">
        <w:t xml:space="preserve"> </w:t>
      </w:r>
      <w:r w:rsidRPr="003922A8">
        <w:tab/>
        <w:t>S 19 of the 2005 Act.</w:t>
      </w:r>
    </w:p>
  </w:footnote>
  <w:footnote w:id="267">
    <w:p w:rsidR="009A4F49" w:rsidRPr="003922A8" w:rsidRDefault="009A4F49" w:rsidP="00C51DE0">
      <w:pPr>
        <w:pStyle w:val="FootnoteText"/>
      </w:pPr>
      <w:r w:rsidRPr="003922A8">
        <w:rPr>
          <w:rStyle w:val="FootnoteReference"/>
        </w:rPr>
        <w:footnoteRef/>
      </w:r>
      <w:r w:rsidRPr="003922A8">
        <w:t xml:space="preserve"> </w:t>
      </w:r>
      <w:r w:rsidRPr="003922A8">
        <w:tab/>
        <w:t xml:space="preserve">Ss 65 to 67 of the 1983 Act. </w:t>
      </w:r>
    </w:p>
  </w:footnote>
  <w:footnote w:id="268">
    <w:p w:rsidR="009A4F49" w:rsidRPr="003922A8" w:rsidRDefault="009A4F49" w:rsidP="00C51DE0">
      <w:pPr>
        <w:pStyle w:val="FootnoteText"/>
      </w:pPr>
      <w:r w:rsidRPr="003922A8">
        <w:rPr>
          <w:rStyle w:val="FootnoteReference"/>
        </w:rPr>
        <w:footnoteRef/>
      </w:r>
      <w:r w:rsidRPr="003922A8">
        <w:t xml:space="preserve"> </w:t>
      </w:r>
      <w:r w:rsidRPr="003922A8">
        <w:tab/>
        <w:t xml:space="preserve">S 2(4)(a) of the 1958 Act in England; s 4(1)(g) of the 1986 Act in Ireland; and s14A(2)(c) of the NLBA in Singapore. </w:t>
      </w:r>
    </w:p>
  </w:footnote>
  <w:footnote w:id="269">
    <w:p w:rsidR="009A4F49" w:rsidRPr="003922A8" w:rsidRDefault="009A4F49" w:rsidP="00C51DE0">
      <w:pPr>
        <w:pStyle w:val="FootnoteText"/>
      </w:pPr>
      <w:r w:rsidRPr="003922A8">
        <w:rPr>
          <w:vertAlign w:val="superscript"/>
        </w:rPr>
        <w:footnoteRef/>
      </w:r>
      <w:r w:rsidRPr="003922A8">
        <w:t xml:space="preserve"> </w:t>
      </w:r>
      <w:r w:rsidRPr="003922A8">
        <w:tab/>
        <w:t>Para 2.9 of the Audit Commission</w:t>
      </w:r>
      <w:r>
        <w:t>'</w:t>
      </w:r>
      <w:r w:rsidRPr="003922A8">
        <w:t>s Report.</w:t>
      </w:r>
    </w:p>
  </w:footnote>
  <w:footnote w:id="270">
    <w:p w:rsidR="009A4F49" w:rsidRPr="003922A8" w:rsidRDefault="009A4F49" w:rsidP="00C51DE0">
      <w:pPr>
        <w:pStyle w:val="FootnoteText"/>
      </w:pPr>
      <w:r w:rsidRPr="003922A8">
        <w:rPr>
          <w:rStyle w:val="FootnoteReference"/>
        </w:rPr>
        <w:footnoteRef/>
      </w:r>
      <w:r w:rsidRPr="003922A8">
        <w:t xml:space="preserve"> </w:t>
      </w:r>
      <w:r w:rsidRPr="003922A8">
        <w:tab/>
        <w:t xml:space="preserve">Chapter 6 of the </w:t>
      </w:r>
      <w:r w:rsidRPr="003922A8">
        <w:rPr>
          <w:i/>
        </w:rPr>
        <w:t>2011 Civic Exchange Report</w:t>
      </w:r>
      <w:r w:rsidRPr="003922A8">
        <w:t>.  In a Report dated 19 April 2013 on the collision of vessels near Lamma Island on 1 October 2012, the Commission of Inquiry raised concerns about the lack of proper documentation of the considerations and reasons underlying certain important decisions of policy in the Marine Department.  See paras 407 to 409 of the Commission of Inquiry</w:t>
      </w:r>
      <w:r>
        <w:t>'</w:t>
      </w:r>
      <w:r w:rsidRPr="003922A8">
        <w:t xml:space="preserve">s report, accessible at:  </w:t>
      </w:r>
      <w:r>
        <w:t>&lt;</w:t>
      </w:r>
      <w:r w:rsidRPr="00C04E85">
        <w:t>https://www.gov.hk/en/theme/coi-lamma/pdf/COI_Report.pdf</w:t>
      </w:r>
      <w:r>
        <w:t>&gt;</w:t>
      </w:r>
      <w:r w:rsidRPr="003922A8">
        <w:t xml:space="preserve">.  </w:t>
      </w:r>
    </w:p>
  </w:footnote>
  <w:footnote w:id="271">
    <w:p w:rsidR="009A4F49" w:rsidRPr="003922A8" w:rsidRDefault="009A4F49" w:rsidP="00C51DE0">
      <w:pPr>
        <w:pStyle w:val="FootnoteText"/>
      </w:pPr>
      <w:r w:rsidRPr="003922A8">
        <w:rPr>
          <w:vertAlign w:val="superscript"/>
        </w:rPr>
        <w:footnoteRef/>
      </w:r>
      <w:r w:rsidRPr="003922A8">
        <w:t xml:space="preserve"> </w:t>
      </w:r>
      <w:r w:rsidRPr="003922A8">
        <w:tab/>
        <w:t xml:space="preserve">Para 2.13 of the </w:t>
      </w:r>
      <w:r w:rsidRPr="003922A8">
        <w:rPr>
          <w:i/>
        </w:rPr>
        <w:t>Audit Commission</w:t>
      </w:r>
      <w:r>
        <w:rPr>
          <w:i/>
        </w:rPr>
        <w:t>'</w:t>
      </w:r>
      <w:r w:rsidRPr="003922A8">
        <w:rPr>
          <w:i/>
        </w:rPr>
        <w:t>s Report</w:t>
      </w:r>
      <w:r w:rsidRPr="003922A8">
        <w:t xml:space="preserve">.    </w:t>
      </w:r>
    </w:p>
  </w:footnote>
  <w:footnote w:id="272">
    <w:p w:rsidR="009A4F49" w:rsidRDefault="009A4F49" w:rsidP="00C51DE0">
      <w:pPr>
        <w:pStyle w:val="FootnoteText"/>
      </w:pPr>
      <w:r>
        <w:rPr>
          <w:rStyle w:val="FootnoteReference"/>
        </w:rPr>
        <w:footnoteRef/>
      </w:r>
      <w:r>
        <w:t xml:space="preserve"> </w:t>
      </w:r>
      <w:r>
        <w:tab/>
        <w:t>Paras 101(a), 108(a) of the RMM.</w:t>
      </w:r>
    </w:p>
  </w:footnote>
  <w:footnote w:id="273">
    <w:p w:rsidR="009A4F49" w:rsidRDefault="009A4F49" w:rsidP="00C51DE0">
      <w:pPr>
        <w:pStyle w:val="FootnoteText"/>
      </w:pPr>
      <w:r>
        <w:rPr>
          <w:vertAlign w:val="superscript"/>
        </w:rPr>
        <w:footnoteRef/>
      </w:r>
      <w:r>
        <w:t xml:space="preserve"> </w:t>
      </w:r>
      <w:r>
        <w:tab/>
        <w:t>Para 2.14 of the Audit Commission's Report.</w:t>
      </w:r>
    </w:p>
  </w:footnote>
  <w:footnote w:id="274">
    <w:p w:rsidR="009A4F49" w:rsidRDefault="009A4F49" w:rsidP="00C51DE0">
      <w:pPr>
        <w:pStyle w:val="FootnoteText"/>
      </w:pPr>
      <w:r>
        <w:rPr>
          <w:rStyle w:val="FootnoteReference"/>
        </w:rPr>
        <w:footnoteRef/>
      </w:r>
      <w:r>
        <w:t xml:space="preserve"> </w:t>
      </w:r>
      <w:r>
        <w:tab/>
      </w:r>
      <w:r>
        <w:rPr>
          <w:rFonts w:hint="eastAsia"/>
          <w:lang w:eastAsia="zh-HK"/>
        </w:rPr>
        <w:t>There were cases found during GRS</w:t>
      </w:r>
      <w:r>
        <w:rPr>
          <w:lang w:eastAsia="zh-HK"/>
        </w:rPr>
        <w:t>'</w:t>
      </w:r>
      <w:r>
        <w:rPr>
          <w:rFonts w:hint="eastAsia"/>
          <w:lang w:eastAsia="zh-HK"/>
        </w:rPr>
        <w:t xml:space="preserve"> review where an e-mail record had not yet been printed out, and another printed e-mail not yet filed and referenced.  </w:t>
      </w:r>
      <w:r>
        <w:t>The B/D concerned subsequently reminded its staff to observe the</w:t>
      </w:r>
      <w:r>
        <w:rPr>
          <w:rFonts w:hint="eastAsia"/>
        </w:rPr>
        <w:t xml:space="preserve"> </w:t>
      </w:r>
      <w:r>
        <w:t>"print</w:t>
      </w:r>
      <w:r>
        <w:rPr>
          <w:lang w:eastAsia="zh-HK"/>
        </w:rPr>
        <w:t>-</w:t>
      </w:r>
      <w:r>
        <w:t>and</w:t>
      </w:r>
      <w:r>
        <w:rPr>
          <w:lang w:eastAsia="zh-HK"/>
        </w:rPr>
        <w:t>-</w:t>
      </w:r>
      <w:r>
        <w:t>file"</w:t>
      </w:r>
      <w:r>
        <w:rPr>
          <w:rFonts w:hint="eastAsia"/>
        </w:rPr>
        <w:t xml:space="preserve"> </w:t>
      </w:r>
      <w:r>
        <w:t>requirement, and to ask all sections/units to conduct periodical random check to ensure that email records would be properly filed.</w:t>
      </w:r>
    </w:p>
  </w:footnote>
  <w:footnote w:id="275">
    <w:p w:rsidR="009A4F49" w:rsidRPr="003922A8" w:rsidRDefault="009A4F49" w:rsidP="00C51DE0">
      <w:pPr>
        <w:pStyle w:val="FootnoteText"/>
      </w:pPr>
      <w:r w:rsidRPr="003922A8">
        <w:rPr>
          <w:rStyle w:val="FootnoteReference"/>
        </w:rPr>
        <w:footnoteRef/>
      </w:r>
      <w:r w:rsidRPr="003922A8">
        <w:t xml:space="preserve"> </w:t>
      </w:r>
      <w:r w:rsidRPr="003922A8">
        <w:tab/>
        <w:t xml:space="preserve">S 5(2)(c) of the 1983 Act. </w:t>
      </w:r>
    </w:p>
  </w:footnote>
  <w:footnote w:id="276">
    <w:p w:rsidR="009A4F49" w:rsidRPr="003922A8" w:rsidRDefault="009A4F49" w:rsidP="00C51DE0">
      <w:pPr>
        <w:pStyle w:val="FootnoteText"/>
      </w:pPr>
      <w:r w:rsidRPr="003922A8">
        <w:rPr>
          <w:rStyle w:val="FootnoteReference"/>
        </w:rPr>
        <w:footnoteRef/>
      </w:r>
      <w:r w:rsidRPr="003922A8">
        <w:t xml:space="preserve"> </w:t>
      </w:r>
      <w:r w:rsidRPr="003922A8">
        <w:tab/>
        <w:t>S 14A(2)(d) of the NLBA.</w:t>
      </w:r>
    </w:p>
  </w:footnote>
  <w:footnote w:id="277">
    <w:p w:rsidR="009A4F49" w:rsidRPr="003922A8" w:rsidRDefault="009A4F49" w:rsidP="008405AE">
      <w:pPr>
        <w:pStyle w:val="FootnoteText"/>
        <w:spacing w:after="0"/>
      </w:pPr>
      <w:r w:rsidRPr="003922A8">
        <w:rPr>
          <w:rStyle w:val="FootnoteReference"/>
        </w:rPr>
        <w:footnoteRef/>
      </w:r>
      <w:r w:rsidRPr="003922A8">
        <w:t xml:space="preserve"> </w:t>
      </w:r>
      <w:r w:rsidRPr="003922A8">
        <w:tab/>
        <w:t xml:space="preserve">For example, </w:t>
      </w:r>
      <w:r>
        <w:t>"</w:t>
      </w:r>
      <w:r w:rsidRPr="003922A8">
        <w:t>Information Management Standard – Australian Government</w:t>
      </w:r>
      <w:r>
        <w:t>"</w:t>
      </w:r>
      <w:r w:rsidRPr="003922A8">
        <w:t xml:space="preserve"> available at the NAA</w:t>
      </w:r>
      <w:r>
        <w:t>'</w:t>
      </w:r>
      <w:r w:rsidRPr="003922A8">
        <w:t xml:space="preserve">s website:-   </w:t>
      </w:r>
    </w:p>
    <w:p w:rsidR="009A4F49" w:rsidRPr="003922A8" w:rsidRDefault="009A4F49" w:rsidP="008405AE">
      <w:pPr>
        <w:pStyle w:val="FootnoteText"/>
        <w:spacing w:after="0"/>
      </w:pPr>
      <w:r w:rsidRPr="003922A8">
        <w:tab/>
      </w:r>
      <w:r>
        <w:t>&lt;</w:t>
      </w:r>
      <w:r w:rsidRPr="00C04E85">
        <w:t>http://www.naa.gov.au/information-management/information-management-standard/im-standard-document.aspx#section1</w:t>
      </w:r>
      <w:r>
        <w:t>&gt;.</w:t>
      </w:r>
    </w:p>
    <w:p w:rsidR="009A4F49" w:rsidRPr="003922A8" w:rsidRDefault="009A4F49" w:rsidP="008405AE">
      <w:pPr>
        <w:pStyle w:val="FootnoteText"/>
        <w:spacing w:after="0"/>
        <w:rPr>
          <w:rStyle w:val="Hyperlink"/>
          <w:szCs w:val="18"/>
        </w:rPr>
      </w:pPr>
      <w:r>
        <w:tab/>
      </w:r>
      <w:r w:rsidRPr="003922A8">
        <w:t xml:space="preserve">England - </w:t>
      </w:r>
      <w:r>
        <w:t xml:space="preserve">"Guide 4 - </w:t>
      </w:r>
      <w:r w:rsidRPr="003922A8">
        <w:t>Keeping Records to Meet Corporate Requirements</w:t>
      </w:r>
      <w:r>
        <w:t>"</w:t>
      </w:r>
      <w:r w:rsidRPr="003922A8">
        <w:t>, and s 8, Part 1 of the Lord Chancellor</w:t>
      </w:r>
      <w:r>
        <w:t>'</w:t>
      </w:r>
      <w:r w:rsidRPr="003922A8">
        <w:t xml:space="preserve">s Code of Practice on the </w:t>
      </w:r>
      <w:r>
        <w:t>m</w:t>
      </w:r>
      <w:r w:rsidRPr="003922A8">
        <w:t>anagement of records issued under section 46 of the Freedom of Information Act 2000 (</w:t>
      </w:r>
      <w:r>
        <w:t>"</w:t>
      </w:r>
      <w:r w:rsidRPr="003922A8">
        <w:rPr>
          <w:b/>
        </w:rPr>
        <w:t>Lord Chancellor</w:t>
      </w:r>
      <w:r>
        <w:rPr>
          <w:b/>
        </w:rPr>
        <w:t>'</w:t>
      </w:r>
      <w:r w:rsidRPr="003922A8">
        <w:rPr>
          <w:b/>
        </w:rPr>
        <w:t>s Code</w:t>
      </w:r>
      <w:r>
        <w:t>"</w:t>
      </w:r>
      <w:r w:rsidRPr="003922A8">
        <w:t xml:space="preserve">), available respectively at: </w:t>
      </w:r>
      <w:r w:rsidRPr="003922A8">
        <w:br/>
      </w:r>
      <w:r>
        <w:t>&lt;</w:t>
      </w:r>
      <w:r w:rsidRPr="00C04E85">
        <w:t>http://www.nationalarchives.gov.uk/documents/information-management/rm-code-guide4.pdf</w:t>
      </w:r>
      <w:r>
        <w:t>&gt;</w:t>
      </w:r>
      <w:r w:rsidRPr="00CD01DB">
        <w:t xml:space="preserve">; </w:t>
      </w:r>
      <w:r w:rsidRPr="003922A8">
        <w:t xml:space="preserve">and </w:t>
      </w:r>
      <w:r>
        <w:t>&lt;</w:t>
      </w:r>
      <w:r w:rsidRPr="00C04E85">
        <w:t>http://www.nationalarchives.gov.uk/documents/information-manage ment/foi-section-46-</w:t>
      </w:r>
      <w:r w:rsidRPr="00C04E85">
        <w:rPr>
          <w:rFonts w:hint="eastAsia"/>
        </w:rPr>
        <w:t xml:space="preserve"> </w:t>
      </w:r>
      <w:r w:rsidRPr="00C04E85">
        <w:t>code-of-practice.pdf</w:t>
      </w:r>
      <w:r>
        <w:t>&gt;</w:t>
      </w:r>
      <w:r w:rsidRPr="00CD01DB">
        <w:rPr>
          <w:rFonts w:hint="eastAsia"/>
        </w:rPr>
        <w:t>.</w:t>
      </w:r>
      <w:r w:rsidRPr="00CD01DB">
        <w:t xml:space="preserve"> </w:t>
      </w:r>
    </w:p>
    <w:p w:rsidR="009A4F49" w:rsidRPr="003922A8" w:rsidRDefault="009A4F49" w:rsidP="008405AE">
      <w:pPr>
        <w:pStyle w:val="FootnoteText"/>
        <w:spacing w:after="0"/>
      </w:pPr>
      <w:r w:rsidRPr="003922A8">
        <w:tab/>
        <w:t xml:space="preserve">See also Principle 3 of the </w:t>
      </w:r>
      <w:r>
        <w:t>"</w:t>
      </w:r>
      <w:r w:rsidRPr="003922A8">
        <w:rPr>
          <w:i/>
        </w:rPr>
        <w:t>Information and Records Management Standard</w:t>
      </w:r>
      <w:r>
        <w:t>"</w:t>
      </w:r>
      <w:r w:rsidRPr="003922A8">
        <w:t xml:space="preserve"> published by the ANZ in New Zealand:</w:t>
      </w:r>
    </w:p>
    <w:p w:rsidR="009A4F49" w:rsidRPr="001C1A21" w:rsidRDefault="009A4F49" w:rsidP="008405AE">
      <w:pPr>
        <w:pStyle w:val="FootnoteText"/>
        <w:spacing w:after="0"/>
      </w:pPr>
      <w:r w:rsidRPr="003922A8">
        <w:tab/>
      </w:r>
      <w:r>
        <w:t>&lt;</w:t>
      </w:r>
      <w:r w:rsidRPr="00C04E85">
        <w:t>http://records.archives.govt.nz/resources-and-guides/information-and-records-managem</w:t>
      </w:r>
      <w:r w:rsidRPr="001C1A21">
        <w:t>ent-standard/</w:t>
      </w:r>
      <w:r w:rsidRPr="001C1A21">
        <w:rPr>
          <w:rStyle w:val="Hyperlink"/>
          <w:color w:val="auto"/>
          <w:u w:val="none"/>
        </w:rPr>
        <w:t>&gt;.</w:t>
      </w:r>
      <w:r w:rsidRPr="001C1A21">
        <w:t xml:space="preserve"> </w:t>
      </w:r>
    </w:p>
  </w:footnote>
  <w:footnote w:id="278">
    <w:p w:rsidR="009A4F49" w:rsidRDefault="009A4F49" w:rsidP="00C51DE0">
      <w:pPr>
        <w:pStyle w:val="FootnoteText"/>
      </w:pPr>
      <w:r>
        <w:rPr>
          <w:rStyle w:val="FootnoteReference"/>
        </w:rPr>
        <w:footnoteRef/>
      </w:r>
      <w:r>
        <w:t xml:space="preserve"> </w:t>
      </w:r>
      <w:r>
        <w:tab/>
        <w:t>S 17(1) of the 2005 Act.  See also s 3(c) of the 2005 Act.</w:t>
      </w:r>
    </w:p>
  </w:footnote>
  <w:footnote w:id="279">
    <w:p w:rsidR="009A4F49" w:rsidRDefault="009A4F49" w:rsidP="00C51DE0">
      <w:pPr>
        <w:pStyle w:val="FootnoteText"/>
      </w:pPr>
      <w:r>
        <w:rPr>
          <w:rStyle w:val="FootnoteReference"/>
        </w:rPr>
        <w:footnoteRef/>
      </w:r>
      <w:r>
        <w:t xml:space="preserve"> </w:t>
      </w:r>
      <w:r>
        <w:tab/>
        <w:t>S 61(c) of the 2005 Act.</w:t>
      </w:r>
    </w:p>
  </w:footnote>
  <w:footnote w:id="280">
    <w:p w:rsidR="009A4F49" w:rsidRDefault="009A4F49" w:rsidP="001125B9">
      <w:pPr>
        <w:pStyle w:val="FootnoteText"/>
        <w:spacing w:after="0"/>
      </w:pPr>
      <w:r>
        <w:rPr>
          <w:rStyle w:val="FootnoteReference"/>
        </w:rPr>
        <w:footnoteRef/>
      </w:r>
      <w:r>
        <w:rPr>
          <w:rFonts w:ascii="Calibri" w:hAnsi="Calibri" w:cs="Times New Roman"/>
        </w:rPr>
        <w:tab/>
      </w:r>
      <w:r w:rsidRPr="00D86E22">
        <w:rPr>
          <w:rFonts w:ascii="Calibri" w:hAnsi="Calibri" w:cs="Times New Roman"/>
        </w:rPr>
        <w:t>&lt;</w:t>
      </w:r>
      <w:r w:rsidRPr="002128A3">
        <w:t>https://records.archives.govt.nz/resources-and-guid</w:t>
      </w:r>
      <w:r>
        <w:t>es/information-and-records-</w:t>
      </w:r>
    </w:p>
    <w:p w:rsidR="009A4F49" w:rsidRPr="008405AE" w:rsidRDefault="009A4F49" w:rsidP="008405AE">
      <w:pPr>
        <w:pStyle w:val="FootnoteText"/>
        <w:rPr>
          <w:color w:val="0000FF"/>
          <w:lang w:val="en-US" w:eastAsia="zh-HK"/>
        </w:rPr>
      </w:pPr>
      <w:r>
        <w:tab/>
        <w:t>mana</w:t>
      </w:r>
      <w:r w:rsidRPr="002128A3">
        <w:t>g</w:t>
      </w:r>
      <w:r>
        <w:t>ement</w:t>
      </w:r>
      <w:r w:rsidRPr="002128A3">
        <w:t>-standard/</w:t>
      </w:r>
      <w:r w:rsidRPr="001C1A21">
        <w:rPr>
          <w:rStyle w:val="Hyperlink"/>
          <w:color w:val="auto"/>
          <w:u w:val="none"/>
        </w:rPr>
        <w:t>&gt;.</w:t>
      </w:r>
    </w:p>
  </w:footnote>
  <w:footnote w:id="281">
    <w:p w:rsidR="009A4F49" w:rsidRDefault="009A4F49" w:rsidP="00C51DE0">
      <w:pPr>
        <w:pStyle w:val="FootnoteText"/>
      </w:pPr>
      <w:r>
        <w:rPr>
          <w:rStyle w:val="FootnoteReference"/>
        </w:rPr>
        <w:footnoteRef/>
      </w:r>
      <w:r>
        <w:t xml:space="preserve"> </w:t>
      </w:r>
      <w:r>
        <w:tab/>
        <w:t xml:space="preserve">The International Council on Archives' </w:t>
      </w:r>
      <w:r>
        <w:rPr>
          <w:i/>
        </w:rPr>
        <w:t>Universal Declaration on Archives</w:t>
      </w:r>
      <w:r>
        <w:t xml:space="preserve"> (adopted by the 36</w:t>
      </w:r>
      <w:r>
        <w:rPr>
          <w:vertAlign w:val="superscript"/>
        </w:rPr>
        <w:t>th</w:t>
      </w:r>
      <w:r>
        <w:t xml:space="preserve"> Session of the General Conference of UNESCO in 2011) emphasises the "</w:t>
      </w:r>
      <w:r>
        <w:rPr>
          <w:i/>
        </w:rPr>
        <w:t>vital necessity of archives for supporting business efficiency, accountability and transparency, for protecting citizens' rights, for establishing individual and collective memory, for understanding the past, and for documenting the present to guide future actions</w:t>
      </w:r>
      <w:r>
        <w:t>".  See</w:t>
      </w:r>
      <w:r w:rsidRPr="00F30D1C">
        <w:t xml:space="preserve"> </w:t>
      </w:r>
      <w:r>
        <w:t>&lt;</w:t>
      </w:r>
      <w:r w:rsidRPr="002128A3">
        <w:t>http://www.ica.org/sites/default/files/UDA_June%202012_web_EN. pdf</w:t>
      </w:r>
      <w:r>
        <w:t>&gt;</w:t>
      </w:r>
      <w:r w:rsidRPr="003922A8">
        <w:rPr>
          <w:sz w:val="19"/>
          <w:szCs w:val="19"/>
        </w:rPr>
        <w:t>.</w:t>
      </w:r>
    </w:p>
  </w:footnote>
  <w:footnote w:id="282">
    <w:p w:rsidR="009A4F49" w:rsidRDefault="009A4F49" w:rsidP="00C51DE0">
      <w:pPr>
        <w:pStyle w:val="FootnoteText"/>
      </w:pPr>
      <w:r>
        <w:rPr>
          <w:rStyle w:val="FootnoteReference"/>
        </w:rPr>
        <w:footnoteRef/>
      </w:r>
      <w:r>
        <w:t xml:space="preserve"> </w:t>
      </w:r>
      <w:r>
        <w:tab/>
        <w:t>S 23 of the Public Records Bill drafted by the Archives Action Group suggested imposing criminal liability (with a fine at level 6 and imprisonment for 2 years) on staff member of a public agency who fails to create or manage public records.  &lt;</w:t>
      </w:r>
      <w:r w:rsidRPr="002128A3">
        <w:t>http://archivesactiongroup.org/main/wp-content/uploads/2017/03/AAG-Draft-Public-Records-Bill-Version-2-17.01.2017.pdf</w:t>
      </w:r>
      <w:r>
        <w:t>&gt;</w:t>
      </w:r>
      <w:r w:rsidRPr="00F30D1C">
        <w:t>.</w:t>
      </w:r>
    </w:p>
  </w:footnote>
  <w:footnote w:id="283">
    <w:p w:rsidR="009A4F49" w:rsidRDefault="009A4F49" w:rsidP="00C51DE0">
      <w:pPr>
        <w:pStyle w:val="FootnoteText"/>
      </w:pPr>
      <w:r>
        <w:rPr>
          <w:rStyle w:val="FootnoteReference"/>
        </w:rPr>
        <w:footnoteRef/>
      </w:r>
      <w:r>
        <w:t xml:space="preserve"> </w:t>
      </w:r>
      <w:r>
        <w:rPr>
          <w:rFonts w:hint="eastAsia"/>
        </w:rPr>
        <w:tab/>
      </w:r>
      <w:r>
        <w:t xml:space="preserve">Para 4.14 of </w:t>
      </w:r>
      <w:r w:rsidRPr="00197713">
        <w:t>The</w:t>
      </w:r>
      <w:r>
        <w:t xml:space="preserve"> Ombudsman's Report. </w:t>
      </w:r>
    </w:p>
  </w:footnote>
  <w:footnote w:id="284">
    <w:p w:rsidR="009A4F49" w:rsidRDefault="009A4F49" w:rsidP="00C51DE0">
      <w:pPr>
        <w:pStyle w:val="FootnoteText"/>
      </w:pPr>
      <w:r>
        <w:rPr>
          <w:rStyle w:val="FootnoteReference"/>
        </w:rPr>
        <w:footnoteRef/>
      </w:r>
      <w:r>
        <w:t xml:space="preserve"> </w:t>
      </w:r>
      <w:r>
        <w:rPr>
          <w:rFonts w:hint="eastAsia"/>
        </w:rPr>
        <w:tab/>
      </w:r>
      <w:r>
        <w:t xml:space="preserve">Para 4.18 of </w:t>
      </w:r>
      <w:r w:rsidRPr="00197713">
        <w:t>The</w:t>
      </w:r>
      <w:r>
        <w:t xml:space="preserve"> Ombudsman's Report. </w:t>
      </w:r>
    </w:p>
  </w:footnote>
  <w:footnote w:id="285">
    <w:p w:rsidR="009A4F49" w:rsidRDefault="009A4F49" w:rsidP="00C51DE0">
      <w:pPr>
        <w:pStyle w:val="FootnoteText"/>
      </w:pPr>
      <w:r>
        <w:rPr>
          <w:vertAlign w:val="superscript"/>
        </w:rPr>
        <w:footnoteRef/>
      </w:r>
      <w:r>
        <w:t xml:space="preserve"> </w:t>
      </w:r>
      <w:r>
        <w:tab/>
        <w:t xml:space="preserve">Para 4.19 of </w:t>
      </w:r>
      <w:r w:rsidRPr="00197713">
        <w:t>The</w:t>
      </w:r>
      <w:r>
        <w:t xml:space="preserve"> Ombudsman's Report. </w:t>
      </w:r>
    </w:p>
  </w:footnote>
  <w:footnote w:id="286">
    <w:p w:rsidR="009A4F49" w:rsidRPr="00197713" w:rsidRDefault="009A4F49" w:rsidP="00C51DE0">
      <w:pPr>
        <w:pStyle w:val="FootnoteText"/>
      </w:pPr>
      <w:r w:rsidRPr="00197713">
        <w:rPr>
          <w:rStyle w:val="FootnoteReference"/>
        </w:rPr>
        <w:footnoteRef/>
      </w:r>
      <w:r w:rsidRPr="00197713">
        <w:t xml:space="preserve"> </w:t>
      </w:r>
      <w:r w:rsidRPr="00197713">
        <w:tab/>
        <w:t xml:space="preserve">Item 8 </w:t>
      </w:r>
      <w:r>
        <w:t>"</w:t>
      </w:r>
      <w:r w:rsidRPr="00197713">
        <w:t>Premature destruction of records</w:t>
      </w:r>
      <w:r>
        <w:t>"</w:t>
      </w:r>
      <w:r w:rsidRPr="00197713">
        <w:t xml:space="preserve"> in Annex C of </w:t>
      </w:r>
      <w:r w:rsidRPr="00197713">
        <w:rPr>
          <w:i/>
        </w:rPr>
        <w:t>The Ombudsman</w:t>
      </w:r>
      <w:r>
        <w:rPr>
          <w:i/>
        </w:rPr>
        <w:t>'</w:t>
      </w:r>
      <w:r w:rsidRPr="00197713">
        <w:rPr>
          <w:i/>
        </w:rPr>
        <w:t>s Report</w:t>
      </w:r>
      <w:r w:rsidRPr="00197713">
        <w:t>.</w:t>
      </w:r>
    </w:p>
  </w:footnote>
  <w:footnote w:id="287">
    <w:p w:rsidR="009A4F49" w:rsidRDefault="009A4F49" w:rsidP="00C51DE0">
      <w:pPr>
        <w:pStyle w:val="FootnoteText"/>
      </w:pPr>
      <w:r>
        <w:rPr>
          <w:vertAlign w:val="superscript"/>
        </w:rPr>
        <w:footnoteRef/>
      </w:r>
      <w:r>
        <w:t xml:space="preserve"> </w:t>
      </w:r>
      <w:r>
        <w:tab/>
        <w:t xml:space="preserve">Paras 9.4(5) and (6) of </w:t>
      </w:r>
      <w:r w:rsidRPr="00197713">
        <w:rPr>
          <w:i/>
        </w:rPr>
        <w:t>The</w:t>
      </w:r>
      <w:r>
        <w:rPr>
          <w:i/>
        </w:rPr>
        <w:t xml:space="preserve"> Ombudsman's Report</w:t>
      </w:r>
      <w:r>
        <w:t>.</w:t>
      </w:r>
    </w:p>
  </w:footnote>
  <w:footnote w:id="288">
    <w:p w:rsidR="009A4F49" w:rsidRDefault="009A4F49" w:rsidP="00C51DE0">
      <w:pPr>
        <w:pStyle w:val="FootnoteText"/>
      </w:pPr>
      <w:r>
        <w:rPr>
          <w:rStyle w:val="FootnoteReference"/>
        </w:rPr>
        <w:footnoteRef/>
      </w:r>
      <w:r>
        <w:t xml:space="preserve"> </w:t>
      </w:r>
      <w:r>
        <w:tab/>
        <w:t>The questions mainly aim to ascertain whether there is any change in the B/Ds' recordkeeping requirements, change of records classification scheme and segregation of records, change to disposal schedule and arrangements (such as whether there is a need for a longer retention period for certain kind of records) and to assess any change in the need for early destruction of records.</w:t>
      </w:r>
    </w:p>
  </w:footnote>
  <w:footnote w:id="289">
    <w:p w:rsidR="009A4F49" w:rsidRDefault="009A4F49" w:rsidP="003F5B65">
      <w:pPr>
        <w:pStyle w:val="FootnoteText"/>
        <w:spacing w:after="0"/>
      </w:pPr>
      <w:r>
        <w:rPr>
          <w:rStyle w:val="FootnoteReference"/>
        </w:rPr>
        <w:footnoteRef/>
      </w:r>
      <w:r>
        <w:t xml:space="preserve"> </w:t>
      </w:r>
      <w:r>
        <w:tab/>
        <w:t>In relation to disposal schedule, the ANZ has only issued a template, available at:</w:t>
      </w:r>
    </w:p>
    <w:p w:rsidR="009A4F49" w:rsidRPr="00F30D1C" w:rsidRDefault="009A4F49" w:rsidP="00C51DE0">
      <w:pPr>
        <w:pStyle w:val="FootnoteText"/>
      </w:pPr>
      <w:r>
        <w:tab/>
        <w:t>&lt;</w:t>
      </w:r>
      <w:r w:rsidRPr="002128A3">
        <w:t>http://records.archives.govt.nz/resources-and-guides/disposal-schedule-and-access-status-template/</w:t>
      </w:r>
      <w:r>
        <w:t>&gt;</w:t>
      </w:r>
      <w:r w:rsidRPr="00F30D1C">
        <w:t>.</w:t>
      </w:r>
    </w:p>
  </w:footnote>
  <w:footnote w:id="290">
    <w:p w:rsidR="009A4F49" w:rsidRDefault="009A4F49" w:rsidP="00C51DE0">
      <w:pPr>
        <w:pStyle w:val="FootnoteText"/>
      </w:pPr>
      <w:r>
        <w:rPr>
          <w:rStyle w:val="FootnoteReference"/>
        </w:rPr>
        <w:footnoteRef/>
      </w:r>
      <w:r>
        <w:t xml:space="preserve"> </w:t>
      </w:r>
      <w:r>
        <w:tab/>
        <w:t>A "records authority" is described in the NAA's website as "a legal instrument that allows agencies to make decisions about keeping, destroying or transferring Australian Government records. They can also determine how long records need to be kept and arrange for their destruction after that time has passed."  See: &lt;</w:t>
      </w:r>
      <w:r w:rsidRPr="002128A3">
        <w:t>http://www.naa.gov.au/information-management/records-authorities/index.aspx</w:t>
      </w:r>
      <w:r>
        <w:t>&gt;.</w:t>
      </w:r>
    </w:p>
  </w:footnote>
  <w:footnote w:id="291">
    <w:p w:rsidR="009A4F49" w:rsidRDefault="009A4F49" w:rsidP="00C51DE0">
      <w:pPr>
        <w:pStyle w:val="FootnoteText"/>
      </w:pPr>
      <w:r>
        <w:rPr>
          <w:vertAlign w:val="superscript"/>
        </w:rPr>
        <w:footnoteRef/>
      </w:r>
      <w:r>
        <w:t xml:space="preserve"> </w:t>
      </w:r>
      <w:r>
        <w:tab/>
        <w:t xml:space="preserve">Paras 5.8 to 5.10 of </w:t>
      </w:r>
      <w:r w:rsidRPr="00197713">
        <w:rPr>
          <w:i/>
        </w:rPr>
        <w:t>The</w:t>
      </w:r>
      <w:r>
        <w:t xml:space="preserve"> </w:t>
      </w:r>
      <w:r>
        <w:rPr>
          <w:i/>
        </w:rPr>
        <w:t>Ombudsman's Report</w:t>
      </w:r>
      <w:r>
        <w:t xml:space="preserve">, paras 4.6 to 4.8 of the </w:t>
      </w:r>
      <w:r>
        <w:rPr>
          <w:i/>
        </w:rPr>
        <w:t>Audit Commission's Report</w:t>
      </w:r>
      <w:r>
        <w:t xml:space="preserve"> and para 3.9 of the </w:t>
      </w:r>
      <w:r>
        <w:rPr>
          <w:i/>
        </w:rPr>
        <w:t>2011 Civic Exchange Report</w:t>
      </w:r>
      <w:r>
        <w:t xml:space="preserve">.  According to paras 5.3 and 5.5 of </w:t>
      </w:r>
      <w:r w:rsidRPr="00197713">
        <w:rPr>
          <w:i/>
        </w:rPr>
        <w:t>The</w:t>
      </w:r>
      <w:r>
        <w:t xml:space="preserve"> </w:t>
      </w:r>
      <w:r>
        <w:rPr>
          <w:i/>
        </w:rPr>
        <w:t>Ombudsman's Report</w:t>
      </w:r>
      <w:r>
        <w:t xml:space="preserve">, between 2008 and 2012, seven B/Ds did not transfer any records to the GRS for appraisal at all, and another nine did not transfer at the required interval. </w:t>
      </w:r>
      <w:r>
        <w:rPr>
          <w:rFonts w:hint="eastAsia"/>
        </w:rPr>
        <w:t xml:space="preserve"> </w:t>
      </w:r>
      <w:r>
        <w:t xml:space="preserve">There was also a 200% increase in the number of B/Ds </w:t>
      </w:r>
      <w:r>
        <w:rPr>
          <w:rFonts w:hint="eastAsia"/>
          <w:lang w:eastAsia="zh-HK"/>
        </w:rPr>
        <w:t xml:space="preserve">(i.e. four in 2010 to 12 in 2012) </w:t>
      </w:r>
      <w:r>
        <w:t xml:space="preserve">with transfer deferrals between the 2010 review and that in 2012.  </w:t>
      </w:r>
    </w:p>
  </w:footnote>
  <w:footnote w:id="292">
    <w:p w:rsidR="009A4F49" w:rsidRDefault="009A4F49" w:rsidP="00C51DE0">
      <w:pPr>
        <w:pStyle w:val="FootnoteText"/>
      </w:pPr>
      <w:r>
        <w:rPr>
          <w:rStyle w:val="FootnoteReference"/>
        </w:rPr>
        <w:footnoteRef/>
      </w:r>
      <w:r>
        <w:t xml:space="preserve"> </w:t>
      </w:r>
      <w:r>
        <w:rPr>
          <w:rFonts w:hint="eastAsia"/>
        </w:rPr>
        <w:tab/>
      </w:r>
      <w:r>
        <w:t xml:space="preserve">Para 5.8 of </w:t>
      </w:r>
      <w:r w:rsidRPr="00197713">
        <w:t>The</w:t>
      </w:r>
      <w:r>
        <w:t xml:space="preserve"> Ombudsman's Report.</w:t>
      </w:r>
    </w:p>
  </w:footnote>
  <w:footnote w:id="293">
    <w:p w:rsidR="009A4F49" w:rsidRDefault="009A4F49" w:rsidP="00C51DE0">
      <w:pPr>
        <w:pStyle w:val="FootnoteText"/>
      </w:pPr>
      <w:r>
        <w:rPr>
          <w:vertAlign w:val="superscript"/>
        </w:rPr>
        <w:footnoteRef/>
      </w:r>
      <w:r>
        <w:t xml:space="preserve"> </w:t>
      </w:r>
      <w:r>
        <w:tab/>
        <w:t xml:space="preserve">Para 9.4(7) of </w:t>
      </w:r>
      <w:r w:rsidRPr="00197713">
        <w:rPr>
          <w:i/>
        </w:rPr>
        <w:t>The</w:t>
      </w:r>
      <w:r>
        <w:t xml:space="preserve"> </w:t>
      </w:r>
      <w:r>
        <w:rPr>
          <w:i/>
        </w:rPr>
        <w:t>Ombudsman's Report</w:t>
      </w:r>
      <w:r>
        <w:t xml:space="preserve">.  </w:t>
      </w:r>
    </w:p>
  </w:footnote>
  <w:footnote w:id="294">
    <w:p w:rsidR="009A4F49" w:rsidRDefault="009A4F49" w:rsidP="003F5B65">
      <w:pPr>
        <w:pStyle w:val="FootnoteText"/>
        <w:spacing w:after="0"/>
      </w:pPr>
      <w:r>
        <w:rPr>
          <w:rStyle w:val="FootnoteReference"/>
        </w:rPr>
        <w:footnoteRef/>
      </w:r>
      <w:r>
        <w:t xml:space="preserve"> </w:t>
      </w:r>
      <w:r>
        <w:tab/>
        <w:t xml:space="preserve">See s 9(3) of the draft Public Records Bill attached to the </w:t>
      </w:r>
      <w:r>
        <w:rPr>
          <w:i/>
        </w:rPr>
        <w:t>2011 Civic Exchange Report</w:t>
      </w:r>
      <w:r>
        <w:t>,</w:t>
      </w:r>
      <w:r>
        <w:rPr>
          <w:lang w:val="en-US"/>
        </w:rPr>
        <w:t> </w:t>
      </w:r>
      <w:r>
        <w:t xml:space="preserve">and s 9(3) of the slightly different draft Public Records Bill published on the website of the Archives Action Group, available at: </w:t>
      </w:r>
    </w:p>
    <w:p w:rsidR="009A4F49" w:rsidRDefault="009A4F49" w:rsidP="00C51DE0">
      <w:pPr>
        <w:pStyle w:val="FootnoteText"/>
      </w:pPr>
      <w:r>
        <w:tab/>
        <w:t>&lt;</w:t>
      </w:r>
      <w:r w:rsidRPr="00833DA4">
        <w:t>http://archivesactiongroup.org/main/wp-content/uploads/2017/03/AAG-Draft-Public-Records-Bill-Version-2-17.01.2017.pdf</w:t>
      </w:r>
      <w:r>
        <w:t>&gt;</w:t>
      </w:r>
      <w:r w:rsidRPr="00F30D1C">
        <w:t xml:space="preserve">. </w:t>
      </w:r>
      <w:r>
        <w:t xml:space="preserve"> </w:t>
      </w:r>
    </w:p>
  </w:footnote>
  <w:footnote w:id="295">
    <w:p w:rsidR="009A4F49" w:rsidRDefault="009A4F49" w:rsidP="00C51DE0">
      <w:pPr>
        <w:pStyle w:val="FootnoteText"/>
      </w:pPr>
      <w:r>
        <w:rPr>
          <w:rStyle w:val="FootnoteReference"/>
        </w:rPr>
        <w:footnoteRef/>
      </w:r>
      <w:r>
        <w:t xml:space="preserve"> </w:t>
      </w:r>
      <w:r>
        <w:tab/>
        <w:t xml:space="preserve">Paras 7.16, 7.20, 7.22, 7.27, 9.1(10) and 9.4(11) of </w:t>
      </w:r>
      <w:r w:rsidRPr="00197713">
        <w:rPr>
          <w:i/>
        </w:rPr>
        <w:t>The</w:t>
      </w:r>
      <w:r>
        <w:t xml:space="preserve"> </w:t>
      </w:r>
      <w:r>
        <w:rPr>
          <w:i/>
        </w:rPr>
        <w:t>Ombudsman's Report</w:t>
      </w:r>
      <w:r>
        <w:t xml:space="preserve">.  </w:t>
      </w:r>
      <w:r w:rsidRPr="00922C39">
        <w:t xml:space="preserve">The GRS has since removed the security grading of records as a factor to be considered when vetting applications for inspecting closed records. </w:t>
      </w:r>
      <w:r>
        <w:t xml:space="preserve"> </w:t>
      </w:r>
    </w:p>
  </w:footnote>
  <w:footnote w:id="296">
    <w:p w:rsidR="009A4F49" w:rsidRDefault="009A4F49" w:rsidP="003F5B65">
      <w:pPr>
        <w:pStyle w:val="FootnoteText"/>
        <w:spacing w:after="0"/>
      </w:pPr>
      <w:r>
        <w:rPr>
          <w:rStyle w:val="FootnoteReference"/>
        </w:rPr>
        <w:footnoteRef/>
      </w:r>
      <w:r>
        <w:t xml:space="preserve"> </w:t>
      </w:r>
      <w:r>
        <w:tab/>
        <w:t xml:space="preserve">Time-expired records refer to records which have been retained for the period specified in the GARDS for administrative records, or the approved disposal schedules for programme records.  See item (1) of the press release of written reply by the then Chief Secretary for Administration to the LegCo on "Management of public records", 16 April 2014: </w:t>
      </w:r>
    </w:p>
    <w:p w:rsidR="009A4F49" w:rsidRDefault="009A4F49" w:rsidP="00C51DE0">
      <w:pPr>
        <w:pStyle w:val="FootnoteText"/>
      </w:pPr>
      <w:r>
        <w:tab/>
        <w:t>&lt;</w:t>
      </w:r>
      <w:r w:rsidRPr="00833DA4">
        <w:t>http://www.info.gov.hk/gia/general/201404/16/ P201404160440.htm</w:t>
      </w:r>
      <w:r>
        <w:t>&gt;</w:t>
      </w:r>
      <w:r w:rsidRPr="00F30D1C">
        <w:t>.</w:t>
      </w:r>
    </w:p>
  </w:footnote>
  <w:footnote w:id="297">
    <w:p w:rsidR="009A4F49" w:rsidRDefault="009A4F49" w:rsidP="003F5B65">
      <w:pPr>
        <w:pStyle w:val="FootnoteText"/>
        <w:spacing w:after="0"/>
        <w:rPr>
          <w:i/>
          <w:lang w:eastAsia="zh-HK"/>
        </w:rPr>
      </w:pPr>
      <w:r>
        <w:rPr>
          <w:vertAlign w:val="superscript"/>
        </w:rPr>
        <w:footnoteRef/>
      </w:r>
      <w:r>
        <w:t xml:space="preserve"> </w:t>
      </w:r>
      <w:r>
        <w:tab/>
      </w:r>
      <w:r w:rsidRPr="00197713">
        <w:rPr>
          <w:i/>
        </w:rPr>
        <w:t>The Government Minute in Response to the Annual Report of The Ombudsman 2014</w:t>
      </w:r>
      <w:r>
        <w:t xml:space="preserve"> at</w:t>
      </w:r>
      <w:r w:rsidRPr="00197713">
        <w:t xml:space="preserve"> </w:t>
      </w:r>
      <w:r>
        <w:t xml:space="preserve">paragraph </w:t>
      </w:r>
      <w:r w:rsidRPr="00197713">
        <w:t>1</w:t>
      </w:r>
      <w:r w:rsidRPr="00197713">
        <w:rPr>
          <w:lang w:eastAsia="zh-HK"/>
        </w:rPr>
        <w:t>311</w:t>
      </w:r>
      <w:r w:rsidRPr="00197713">
        <w:t xml:space="preserve">(h) </w:t>
      </w:r>
      <w:r>
        <w:t>available at:&lt;</w:t>
      </w:r>
      <w:r w:rsidRPr="00833DA4">
        <w:t>https://www.admwing.gov.hk/pdf/</w:t>
      </w:r>
      <w:r w:rsidRPr="00833DA4">
        <w:rPr>
          <w:spacing w:val="-16"/>
        </w:rPr>
        <w:t>GM_2014_</w:t>
      </w:r>
      <w:r w:rsidRPr="00833DA4">
        <w:t>e.pdf</w:t>
      </w:r>
      <w:r>
        <w:t>&gt;</w:t>
      </w:r>
      <w:r w:rsidRPr="00F30D1C">
        <w:t>.</w:t>
      </w:r>
    </w:p>
  </w:footnote>
  <w:footnote w:id="298">
    <w:p w:rsidR="009A4F49" w:rsidRDefault="009A4F49" w:rsidP="00C51DE0">
      <w:pPr>
        <w:pStyle w:val="FootnoteText"/>
      </w:pPr>
      <w:r>
        <w:rPr>
          <w:rStyle w:val="FootnoteReference"/>
        </w:rPr>
        <w:footnoteRef/>
      </w:r>
      <w:r>
        <w:t xml:space="preserve"> </w:t>
      </w:r>
      <w:r>
        <w:tab/>
        <w:t xml:space="preserve">Information provided by the GRS on 20 April 2017.  </w:t>
      </w:r>
    </w:p>
  </w:footnote>
  <w:footnote w:id="299">
    <w:p w:rsidR="009A4F49" w:rsidRDefault="009A4F49" w:rsidP="003F5B65">
      <w:pPr>
        <w:pStyle w:val="FootnoteText"/>
        <w:spacing w:after="0"/>
      </w:pPr>
      <w:r>
        <w:rPr>
          <w:rStyle w:val="FootnoteReference"/>
        </w:rPr>
        <w:footnoteRef/>
      </w:r>
      <w:r>
        <w:t xml:space="preserve"> </w:t>
      </w:r>
      <w:r>
        <w:tab/>
        <w:t>Information provided by the GRS on 13 March 2018.</w:t>
      </w:r>
    </w:p>
  </w:footnote>
  <w:footnote w:id="300">
    <w:p w:rsidR="009A4F49" w:rsidRDefault="009A4F49" w:rsidP="00C51DE0">
      <w:pPr>
        <w:pStyle w:val="FootnoteText"/>
      </w:pPr>
      <w:r>
        <w:rPr>
          <w:rStyle w:val="FootnoteReference"/>
        </w:rPr>
        <w:footnoteRef/>
      </w:r>
      <w:r>
        <w:t xml:space="preserve"> </w:t>
      </w:r>
      <w:r>
        <w:tab/>
        <w:t>Ss 24 and 27 of the 1983 Act.</w:t>
      </w:r>
    </w:p>
  </w:footnote>
  <w:footnote w:id="301">
    <w:p w:rsidR="009A4F49" w:rsidRDefault="009A4F49" w:rsidP="00C51DE0">
      <w:pPr>
        <w:pStyle w:val="FootnoteText"/>
      </w:pPr>
      <w:r>
        <w:rPr>
          <w:rStyle w:val="FootnoteReference"/>
        </w:rPr>
        <w:footnoteRef/>
      </w:r>
      <w:r>
        <w:t xml:space="preserve"> </w:t>
      </w:r>
      <w:r>
        <w:tab/>
        <w:t xml:space="preserve">S 29(1) of the 1983 Act.  The responsible Minister may also make such a determination without the Director-General's concurrence under s 29(2). Pursuant to s 29(8), the Director-General's concurrence is also not required for certain Commonwealth institutions related to, </w:t>
      </w:r>
      <w:r>
        <w:rPr>
          <w:i/>
        </w:rPr>
        <w:t>inter alia</w:t>
      </w:r>
      <w:r>
        <w:t xml:space="preserve">, security or intelligence. </w:t>
      </w:r>
    </w:p>
  </w:footnote>
  <w:footnote w:id="302">
    <w:p w:rsidR="009A4F49" w:rsidRDefault="009A4F49" w:rsidP="00DA7492">
      <w:pPr>
        <w:ind w:left="720" w:hanging="720"/>
        <w:rPr>
          <w:rFonts w:cs="Arial"/>
          <w:sz w:val="20"/>
        </w:rPr>
      </w:pPr>
      <w:r>
        <w:rPr>
          <w:rStyle w:val="FootnoteReference"/>
          <w:rFonts w:cs="Arial"/>
          <w:sz w:val="20"/>
        </w:rPr>
        <w:footnoteRef/>
      </w:r>
      <w:r>
        <w:rPr>
          <w:rFonts w:cs="Arial"/>
          <w:sz w:val="20"/>
        </w:rPr>
        <w:t xml:space="preserve"> </w:t>
      </w:r>
      <w:r>
        <w:rPr>
          <w:rFonts w:cs="Arial"/>
          <w:sz w:val="20"/>
        </w:rPr>
        <w:tab/>
        <w:t>"</w:t>
      </w:r>
      <w:r>
        <w:rPr>
          <w:rFonts w:cs="Arial"/>
          <w:i/>
          <w:sz w:val="20"/>
        </w:rPr>
        <w:t>Policy for Transfer of Commonwealth Records into the National Archives of Australia's Custody</w:t>
      </w:r>
      <w:r>
        <w:rPr>
          <w:rFonts w:cs="Arial"/>
          <w:sz w:val="20"/>
        </w:rPr>
        <w:t xml:space="preserve">" issued by the NAA, January 2011, para 5.1, accessible at: </w:t>
      </w:r>
    </w:p>
    <w:p w:rsidR="009A4F49" w:rsidRPr="000B01AE" w:rsidRDefault="009A4F49" w:rsidP="00DA7492">
      <w:pPr>
        <w:spacing w:after="120"/>
        <w:ind w:left="720" w:hanging="720"/>
        <w:rPr>
          <w:rFonts w:cs="Arial"/>
          <w:sz w:val="20"/>
          <w:szCs w:val="18"/>
        </w:rPr>
      </w:pPr>
      <w:r>
        <w:rPr>
          <w:rFonts w:cs="Arial"/>
          <w:sz w:val="20"/>
        </w:rPr>
        <w:tab/>
        <w:t>&lt;</w:t>
      </w:r>
      <w:r w:rsidRPr="00092158">
        <w:rPr>
          <w:rFonts w:cs="Arial"/>
          <w:sz w:val="20"/>
          <w:szCs w:val="18"/>
        </w:rPr>
        <w:t>http://www.naa.gov.au/Images/Transfer-policy_tcm16-49146.pdf</w:t>
      </w:r>
      <w:r>
        <w:rPr>
          <w:rFonts w:cs="Arial"/>
          <w:sz w:val="20"/>
          <w:szCs w:val="18"/>
        </w:rPr>
        <w:t>&gt;.</w:t>
      </w:r>
    </w:p>
  </w:footnote>
  <w:footnote w:id="303">
    <w:p w:rsidR="009A4F49" w:rsidRDefault="009A4F49" w:rsidP="00C51DE0">
      <w:pPr>
        <w:pStyle w:val="FootnoteText"/>
      </w:pPr>
      <w:r>
        <w:rPr>
          <w:rStyle w:val="FootnoteReference"/>
        </w:rPr>
        <w:footnoteRef/>
      </w:r>
      <w:r>
        <w:t xml:space="preserve"> </w:t>
      </w:r>
      <w:r>
        <w:tab/>
        <w:t>Such as the National Philatelic Collection managed by Australia Post.</w:t>
      </w:r>
    </w:p>
  </w:footnote>
  <w:footnote w:id="304">
    <w:p w:rsidR="009A4F49" w:rsidRDefault="009A4F49" w:rsidP="00C51DE0">
      <w:pPr>
        <w:pStyle w:val="FootnoteText"/>
      </w:pPr>
      <w:r>
        <w:rPr>
          <w:rStyle w:val="FootnoteReference"/>
        </w:rPr>
        <w:footnoteRef/>
      </w:r>
      <w:r>
        <w:t xml:space="preserve"> </w:t>
      </w:r>
      <w:r>
        <w:tab/>
        <w:t>S 35(3) of the 1983 Act.</w:t>
      </w:r>
    </w:p>
  </w:footnote>
  <w:footnote w:id="305">
    <w:p w:rsidR="009A4F49" w:rsidRDefault="009A4F49" w:rsidP="00C51DE0">
      <w:pPr>
        <w:pStyle w:val="FootnoteText"/>
      </w:pPr>
      <w:r>
        <w:rPr>
          <w:rStyle w:val="FootnoteReference"/>
        </w:rPr>
        <w:footnoteRef/>
      </w:r>
      <w:r>
        <w:t xml:space="preserve"> </w:t>
      </w:r>
      <w:r>
        <w:tab/>
        <w:t>S 35(2) of the 1983 Act.</w:t>
      </w:r>
    </w:p>
  </w:footnote>
  <w:footnote w:id="306">
    <w:p w:rsidR="009A4F49" w:rsidRDefault="009A4F49" w:rsidP="00374CB3">
      <w:pPr>
        <w:pStyle w:val="FootnoteText"/>
        <w:spacing w:after="60"/>
      </w:pPr>
      <w:r>
        <w:rPr>
          <w:rStyle w:val="FootnoteReference"/>
        </w:rPr>
        <w:footnoteRef/>
      </w:r>
      <w:r>
        <w:t xml:space="preserve"> </w:t>
      </w:r>
      <w:r>
        <w:tab/>
        <w:t>S 35(1) of the 1983 Act and Fact Sheet 10 on Access to Archival Records in the NAA's website:</w:t>
      </w:r>
      <w:r w:rsidRPr="000B01AE">
        <w:rPr>
          <w:szCs w:val="18"/>
        </w:rPr>
        <w:t xml:space="preserve"> </w:t>
      </w:r>
      <w:r>
        <w:rPr>
          <w:szCs w:val="18"/>
        </w:rPr>
        <w:t>&lt;</w:t>
      </w:r>
      <w:r w:rsidRPr="00092158">
        <w:rPr>
          <w:szCs w:val="18"/>
        </w:rPr>
        <w:t>http://www.naa.gov.au/collection/fact-sheets/fs10.aspx</w:t>
      </w:r>
      <w:r>
        <w:rPr>
          <w:szCs w:val="18"/>
        </w:rPr>
        <w:t>&gt;</w:t>
      </w:r>
      <w:r w:rsidRPr="00197713">
        <w:rPr>
          <w:szCs w:val="18"/>
        </w:rPr>
        <w:t>.</w:t>
      </w:r>
      <w:r>
        <w:t xml:space="preserve">  </w:t>
      </w:r>
    </w:p>
  </w:footnote>
  <w:footnote w:id="307">
    <w:p w:rsidR="009A4F49" w:rsidRDefault="009A4F49" w:rsidP="00374CB3">
      <w:pPr>
        <w:pStyle w:val="FootnoteText"/>
        <w:spacing w:after="60"/>
      </w:pPr>
      <w:r>
        <w:rPr>
          <w:rStyle w:val="FootnoteReference"/>
        </w:rPr>
        <w:footnoteRef/>
      </w:r>
      <w:r>
        <w:t xml:space="preserve"> </w:t>
      </w:r>
      <w:r>
        <w:tab/>
        <w:t xml:space="preserve">S 33 of the 1983 Act.  </w:t>
      </w:r>
    </w:p>
  </w:footnote>
  <w:footnote w:id="308">
    <w:p w:rsidR="009A4F49" w:rsidRDefault="009A4F49" w:rsidP="00374CB3">
      <w:pPr>
        <w:pStyle w:val="FootnoteText"/>
        <w:spacing w:after="60"/>
      </w:pPr>
      <w:r>
        <w:rPr>
          <w:rStyle w:val="FootnoteReference"/>
        </w:rPr>
        <w:footnoteRef/>
      </w:r>
      <w:r>
        <w:t xml:space="preserve"> </w:t>
      </w:r>
      <w:r>
        <w:tab/>
        <w:t>For Commonwealth records which came to existence after 2000 other than a Cabinet notebook and record containing census information, the "</w:t>
      </w:r>
      <w:r>
        <w:rPr>
          <w:i/>
        </w:rPr>
        <w:t>open access period"</w:t>
      </w:r>
      <w:r>
        <w:t xml:space="preserve"> is "</w:t>
      </w:r>
      <w:r>
        <w:rPr>
          <w:i/>
        </w:rPr>
        <w:t>1</w:t>
      </w:r>
      <w:r>
        <w:rPr>
          <w:i/>
          <w:lang w:val="en-US"/>
        </w:rPr>
        <w:t> </w:t>
      </w:r>
      <w:r>
        <w:rPr>
          <w:i/>
        </w:rPr>
        <w:t>January in the year that is 21 years after the creation year</w:t>
      </w:r>
      <w:r w:rsidRPr="00092158">
        <w:t xml:space="preserve">" </w:t>
      </w:r>
      <w:r>
        <w:t xml:space="preserve">(s 3(7)).  For records created before 2000, see table at s.3(7).   </w:t>
      </w:r>
    </w:p>
  </w:footnote>
  <w:footnote w:id="309">
    <w:p w:rsidR="009A4F49" w:rsidRDefault="009A4F49" w:rsidP="00374CB3">
      <w:pPr>
        <w:pStyle w:val="FootnoteText"/>
        <w:spacing w:after="60"/>
      </w:pPr>
      <w:r>
        <w:rPr>
          <w:rStyle w:val="FootnoteReference"/>
        </w:rPr>
        <w:footnoteRef/>
      </w:r>
      <w:r>
        <w:tab/>
        <w:t>S 35(4) of the 1983 Act.</w:t>
      </w:r>
    </w:p>
  </w:footnote>
  <w:footnote w:id="310">
    <w:p w:rsidR="009A4F49" w:rsidRDefault="009A4F49" w:rsidP="00C51DE0">
      <w:pPr>
        <w:pStyle w:val="FootnoteText"/>
      </w:pPr>
      <w:r>
        <w:rPr>
          <w:rStyle w:val="FootnoteReference"/>
        </w:rPr>
        <w:footnoteRef/>
      </w:r>
      <w:r>
        <w:t xml:space="preserve"> </w:t>
      </w:r>
      <w:r>
        <w:tab/>
        <w:t>Ss 3(4) to (5) of the 1958 Act.  Special provisions are made under s 8 of the Act for the transfer of court records.</w:t>
      </w:r>
    </w:p>
  </w:footnote>
  <w:footnote w:id="311">
    <w:p w:rsidR="009A4F49" w:rsidRDefault="009A4F49" w:rsidP="006378E1">
      <w:pPr>
        <w:pStyle w:val="FootnoteText"/>
        <w:spacing w:after="0"/>
      </w:pPr>
      <w:r>
        <w:rPr>
          <w:rStyle w:val="FootnoteReference"/>
        </w:rPr>
        <w:footnoteRef/>
      </w:r>
      <w:r>
        <w:t xml:space="preserve"> </w:t>
      </w:r>
      <w:r>
        <w:tab/>
        <w:t>Accessible at :</w:t>
      </w:r>
    </w:p>
    <w:p w:rsidR="009A4F49" w:rsidRPr="00F30D1C" w:rsidRDefault="009A4F49" w:rsidP="00C51DE0">
      <w:pPr>
        <w:pStyle w:val="FootnoteText"/>
      </w:pPr>
      <w:r>
        <w:rPr>
          <w:rFonts w:hint="eastAsia"/>
        </w:rPr>
        <w:tab/>
      </w:r>
      <w:r>
        <w:t>&lt;</w:t>
      </w:r>
      <w:r w:rsidRPr="00833DA4">
        <w:t>http://webarchive.nationalarchives.gov.uk/20150730125042/http:/www.justice.gov.</w:t>
      </w:r>
      <w:r>
        <w:t>‌</w:t>
      </w:r>
      <w:r w:rsidRPr="00833DA4">
        <w:t>uk/downloads/information-access-rights/foi/foi-section-46-code-of-practice.pdf</w:t>
      </w:r>
      <w:r>
        <w:t>&gt;</w:t>
      </w:r>
      <w:r w:rsidRPr="00F30D1C">
        <w:t xml:space="preserve">. </w:t>
      </w:r>
    </w:p>
  </w:footnote>
  <w:footnote w:id="312">
    <w:p w:rsidR="009A4F49" w:rsidRDefault="009A4F49" w:rsidP="00374CB3">
      <w:pPr>
        <w:pStyle w:val="FootnoteText"/>
        <w:spacing w:after="60"/>
      </w:pPr>
      <w:r>
        <w:rPr>
          <w:rStyle w:val="FootnoteReference"/>
        </w:rPr>
        <w:footnoteRef/>
      </w:r>
      <w:r>
        <w:t xml:space="preserve"> </w:t>
      </w:r>
      <w:r>
        <w:tab/>
        <w:t xml:space="preserve">The ACNRA will consider such applications on the basis of the guidance in chapter 9 of the White Paper </w:t>
      </w:r>
      <w:r>
        <w:rPr>
          <w:i/>
        </w:rPr>
        <w:t>"Open Governmen</w:t>
      </w:r>
      <w:r>
        <w:t>t" (Cm 2290, 1993), which contains a review of the level of secrecy in government and the proposed ways of increasing openness, or subsequent revisions of government policy on retention.  The White Paper is available at: &lt;</w:t>
      </w:r>
      <w:r w:rsidRPr="00833DA4">
        <w:t>https://www.gov.uk/government/uploads/system/uploads/attachment_ data/file/271975/2290.pdf</w:t>
      </w:r>
      <w:r>
        <w:t>&gt;.</w:t>
      </w:r>
    </w:p>
  </w:footnote>
  <w:footnote w:id="313">
    <w:p w:rsidR="009A4F49" w:rsidRDefault="009A4F49" w:rsidP="006378E1">
      <w:pPr>
        <w:pStyle w:val="FootnoteText"/>
        <w:spacing w:after="0"/>
      </w:pPr>
      <w:r>
        <w:rPr>
          <w:rStyle w:val="FootnoteReference"/>
        </w:rPr>
        <w:footnoteRef/>
      </w:r>
      <w:r>
        <w:t xml:space="preserve"> </w:t>
      </w:r>
      <w:r>
        <w:tab/>
        <w:t>Advice and guidance on information and records management published on TNA's website: &lt;</w:t>
      </w:r>
      <w:r w:rsidRPr="00833DA4">
        <w:t>http://www.nationalarchives.gov.uk/information-management/</w:t>
      </w:r>
      <w:r>
        <w:t>&gt;</w:t>
      </w:r>
      <w:r w:rsidRPr="00F30D1C">
        <w:t>.</w:t>
      </w:r>
      <w:r>
        <w:t xml:space="preserve">  </w:t>
      </w:r>
    </w:p>
  </w:footnote>
  <w:footnote w:id="314">
    <w:p w:rsidR="009A4F49" w:rsidRDefault="009A4F49" w:rsidP="00C51DE0">
      <w:pPr>
        <w:pStyle w:val="FootnoteText"/>
      </w:pPr>
      <w:r>
        <w:rPr>
          <w:rStyle w:val="FootnoteReference"/>
        </w:rPr>
        <w:footnoteRef/>
      </w:r>
      <w:r>
        <w:t xml:space="preserve"> </w:t>
      </w:r>
      <w:r>
        <w:tab/>
        <w:t xml:space="preserve">These are records which, if requested under FOIA 2000, would engage exemptions relating to intelligence bodies, national security or defence, international relation and law enforcement, especially where release would cause serious damage.  </w:t>
      </w:r>
      <w:r w:rsidRPr="00197713">
        <w:t>These exemptions are within the ambit of the study by the ATI Sub-committee.</w:t>
      </w:r>
    </w:p>
  </w:footnote>
  <w:footnote w:id="315">
    <w:p w:rsidR="009A4F49" w:rsidRDefault="009A4F49" w:rsidP="00D86A8D">
      <w:pPr>
        <w:pStyle w:val="FootnoteText"/>
        <w:spacing w:after="0"/>
      </w:pPr>
      <w:r>
        <w:rPr>
          <w:rStyle w:val="FootnoteReference"/>
        </w:rPr>
        <w:footnoteRef/>
      </w:r>
      <w:r>
        <w:t xml:space="preserve"> </w:t>
      </w:r>
      <w:r>
        <w:tab/>
        <w:t>TNA guidance entitled "</w:t>
      </w:r>
      <w:r>
        <w:rPr>
          <w:i/>
        </w:rPr>
        <w:t>Retention</w:t>
      </w:r>
      <w:r>
        <w:t>" available at:</w:t>
      </w:r>
    </w:p>
    <w:p w:rsidR="009A4F49" w:rsidRPr="00F30D1C" w:rsidRDefault="009A4F49" w:rsidP="00C51DE0">
      <w:pPr>
        <w:pStyle w:val="FootnoteText"/>
      </w:pPr>
      <w:r>
        <w:tab/>
        <w:t>&lt;</w:t>
      </w:r>
      <w:r w:rsidRPr="00833DA4">
        <w:t>http://www.nationalarchives.gov.uk/documents/information-management/retention.pdf</w:t>
      </w:r>
      <w:r>
        <w:t>&gt;.</w:t>
      </w:r>
    </w:p>
  </w:footnote>
  <w:footnote w:id="316">
    <w:p w:rsidR="009A4F49" w:rsidRDefault="009A4F49" w:rsidP="00C51DE0">
      <w:pPr>
        <w:pStyle w:val="FootnoteText"/>
      </w:pPr>
      <w:r>
        <w:rPr>
          <w:rStyle w:val="FootnoteReference"/>
        </w:rPr>
        <w:footnoteRef/>
      </w:r>
      <w:r>
        <w:t xml:space="preserve"> </w:t>
      </w:r>
      <w:r>
        <w:tab/>
        <w:t>See above, TNA's guidance entitled "</w:t>
      </w:r>
      <w:r>
        <w:rPr>
          <w:i/>
        </w:rPr>
        <w:t>Retention</w:t>
      </w:r>
      <w:r>
        <w:t xml:space="preserve">", at 7.  </w:t>
      </w:r>
    </w:p>
  </w:footnote>
  <w:footnote w:id="317">
    <w:p w:rsidR="009A4F49" w:rsidRDefault="009A4F49" w:rsidP="00D86A8D">
      <w:pPr>
        <w:pStyle w:val="FootnoteText"/>
        <w:spacing w:after="0"/>
      </w:pPr>
      <w:r>
        <w:rPr>
          <w:rStyle w:val="FootnoteReference"/>
        </w:rPr>
        <w:footnoteRef/>
      </w:r>
      <w:r>
        <w:t xml:space="preserve"> </w:t>
      </w:r>
      <w:r>
        <w:tab/>
        <w:t>Guidance on the sensitivity review process is available at TNA's website at &lt;</w:t>
      </w:r>
      <w:r w:rsidRPr="00833DA4">
        <w:t>http://www.nationalarchives.gov.uk/information-management/manage-information/selection-and-transfer/sensitivity-reviews-on-selected-records/</w:t>
      </w:r>
      <w:r>
        <w:t>&gt;</w:t>
      </w:r>
      <w:r w:rsidRPr="00197713">
        <w:rPr>
          <w:szCs w:val="18"/>
        </w:rPr>
        <w:t xml:space="preserve">. </w:t>
      </w:r>
      <w:r>
        <w:t xml:space="preserve"> A "</w:t>
      </w:r>
      <w:r>
        <w:rPr>
          <w:i/>
        </w:rPr>
        <w:t>Sensitivity Review Quick Reference Guide</w:t>
      </w:r>
      <w:r>
        <w:t xml:space="preserve">" is also available at: </w:t>
      </w:r>
    </w:p>
    <w:p w:rsidR="009A4F49" w:rsidRDefault="009A4F49" w:rsidP="00C51DE0">
      <w:pPr>
        <w:pStyle w:val="FootnoteText"/>
      </w:pPr>
      <w:r>
        <w:tab/>
        <w:t>&lt;</w:t>
      </w:r>
      <w:r w:rsidRPr="00833DA4">
        <w:t>http://www.nationalarchives.gov.uk/documents/information-management/sensitivity-</w:t>
      </w:r>
      <w:r>
        <w:t>‌</w:t>
      </w:r>
      <w:r w:rsidRPr="00833DA4">
        <w:t>review-quick-reference-guide.pdf</w:t>
      </w:r>
      <w:r>
        <w:t>&gt;</w:t>
      </w:r>
      <w:r w:rsidRPr="00F30D1C">
        <w:t>.</w:t>
      </w:r>
    </w:p>
  </w:footnote>
  <w:footnote w:id="318">
    <w:p w:rsidR="009A4F49" w:rsidRPr="00197713" w:rsidRDefault="009A4F49" w:rsidP="00D86A8D">
      <w:pPr>
        <w:pStyle w:val="FootnoteText"/>
        <w:spacing w:after="0"/>
      </w:pPr>
      <w:r w:rsidRPr="00197713">
        <w:rPr>
          <w:rStyle w:val="FootnoteReference"/>
        </w:rPr>
        <w:footnoteRef/>
      </w:r>
      <w:r w:rsidRPr="00197713">
        <w:t xml:space="preserve"> </w:t>
      </w:r>
      <w:r w:rsidRPr="00197713">
        <w:tab/>
        <w:t xml:space="preserve">According to the </w:t>
      </w:r>
      <w:r w:rsidRPr="00197713">
        <w:rPr>
          <w:i/>
        </w:rPr>
        <w:t xml:space="preserve">Sensitivity Review Quick Reference Guide </w:t>
      </w:r>
      <w:r w:rsidRPr="00197713">
        <w:t>issued by TNA, the purpose of sensitivity review is to identify material that:-</w:t>
      </w:r>
    </w:p>
    <w:p w:rsidR="009A4F49" w:rsidRPr="00197713" w:rsidRDefault="009A4F49" w:rsidP="00D86A8D">
      <w:pPr>
        <w:pStyle w:val="FootnoteText"/>
        <w:spacing w:after="0"/>
        <w:ind w:firstLine="0"/>
      </w:pPr>
      <w:r>
        <w:rPr>
          <w:lang w:val="en-US"/>
        </w:rPr>
        <w:t>(i)</w:t>
      </w:r>
      <w:r>
        <w:rPr>
          <w:lang w:val="en-US"/>
        </w:rPr>
        <w:tab/>
      </w:r>
      <w:r w:rsidRPr="00197713">
        <w:rPr>
          <w:lang w:val="en-US"/>
        </w:rPr>
        <w:t>should be retained, as the records are too sensitive for transfer to TNA;</w:t>
      </w:r>
    </w:p>
    <w:p w:rsidR="009A4F49" w:rsidRPr="00197713" w:rsidRDefault="009A4F49" w:rsidP="00D86A8D">
      <w:pPr>
        <w:pStyle w:val="FootnoteText"/>
        <w:tabs>
          <w:tab w:val="left" w:pos="720"/>
        </w:tabs>
        <w:spacing w:after="0"/>
        <w:ind w:left="0" w:firstLine="0"/>
      </w:pPr>
      <w:r>
        <w:tab/>
        <w:t>(ii)</w:t>
      </w:r>
      <w:r>
        <w:tab/>
      </w:r>
      <w:r w:rsidRPr="00197713">
        <w:t>should be transferred to TNA as closed, as FOIA 2000 exemptions apply;</w:t>
      </w:r>
    </w:p>
    <w:p w:rsidR="009A4F49" w:rsidRPr="00197713" w:rsidRDefault="009A4F49" w:rsidP="00D86A8D">
      <w:pPr>
        <w:pStyle w:val="FootnoteText"/>
        <w:tabs>
          <w:tab w:val="left" w:pos="720"/>
        </w:tabs>
        <w:spacing w:after="0"/>
        <w:ind w:left="0" w:firstLine="0"/>
      </w:pPr>
      <w:r>
        <w:tab/>
        <w:t>(iii)</w:t>
      </w:r>
      <w:r>
        <w:tab/>
      </w:r>
      <w:r w:rsidRPr="00197713">
        <w:t>can be transferred to TNA as open, as no FOIA 2000 exemptions apply.</w:t>
      </w:r>
    </w:p>
    <w:p w:rsidR="009A4F49" w:rsidRDefault="009A4F49" w:rsidP="00D86A8D">
      <w:pPr>
        <w:pStyle w:val="FootnoteText"/>
        <w:spacing w:after="0"/>
      </w:pPr>
      <w:r>
        <w:tab/>
      </w:r>
      <w:r w:rsidRPr="00197713">
        <w:t xml:space="preserve">This ensures that material is held correctly according to its security classification and records </w:t>
      </w:r>
      <w:r w:rsidRPr="001B565F">
        <w:t xml:space="preserve">are </w:t>
      </w:r>
      <w:r w:rsidRPr="00197713">
        <w:t>made available to the public as soon as possible in accordance with the FOIA 2000.</w:t>
      </w:r>
      <w:r>
        <w:t xml:space="preserve">  </w:t>
      </w:r>
    </w:p>
    <w:p w:rsidR="009A4F49" w:rsidRPr="000B01AE" w:rsidRDefault="009A4F49" w:rsidP="00D86A8D">
      <w:pPr>
        <w:pStyle w:val="FootnoteText"/>
        <w:spacing w:after="60"/>
      </w:pPr>
      <w:r>
        <w:tab/>
        <w:t>&lt;</w:t>
      </w:r>
      <w:r w:rsidRPr="00092158">
        <w:t>http://www.nationalarchives.gov.uk/documents/information-management/sensitivity-</w:t>
      </w:r>
      <w:r>
        <w:t>‌</w:t>
      </w:r>
      <w:r w:rsidRPr="00092158">
        <w:t>review-quick-reference-guide.pdf</w:t>
      </w:r>
      <w:r>
        <w:t>&gt;</w:t>
      </w:r>
      <w:r w:rsidRPr="00092158">
        <w:rPr>
          <w:rFonts w:hint="eastAsia"/>
        </w:rPr>
        <w:t>.</w:t>
      </w:r>
    </w:p>
  </w:footnote>
  <w:footnote w:id="319">
    <w:p w:rsidR="009A4F49" w:rsidRDefault="009A4F49" w:rsidP="00D86A8D">
      <w:pPr>
        <w:pStyle w:val="FootnoteText"/>
        <w:spacing w:after="60"/>
      </w:pPr>
      <w:r>
        <w:rPr>
          <w:rStyle w:val="FootnoteReference"/>
        </w:rPr>
        <w:footnoteRef/>
      </w:r>
      <w:r>
        <w:t xml:space="preserve"> </w:t>
      </w:r>
      <w:r>
        <w:tab/>
        <w:t>S 7 of the 1986 Act.</w:t>
      </w:r>
    </w:p>
  </w:footnote>
  <w:footnote w:id="320">
    <w:p w:rsidR="009A4F49" w:rsidRDefault="009A4F49" w:rsidP="00D86A8D">
      <w:pPr>
        <w:pStyle w:val="FootnoteText"/>
        <w:spacing w:after="60"/>
        <w:rPr>
          <w:lang w:val="en-US"/>
        </w:rPr>
      </w:pPr>
      <w:r>
        <w:rPr>
          <w:rStyle w:val="FootnoteReference"/>
        </w:rPr>
        <w:footnoteRef/>
      </w:r>
      <w:r>
        <w:t xml:space="preserve"> </w:t>
      </w:r>
      <w:r>
        <w:rPr>
          <w:lang w:val="en-US"/>
        </w:rPr>
        <w:tab/>
        <w:t>S 8(2) of the 1986 Act.</w:t>
      </w:r>
    </w:p>
  </w:footnote>
  <w:footnote w:id="321">
    <w:p w:rsidR="009A4F49" w:rsidRDefault="009A4F49" w:rsidP="00D86A8D">
      <w:pPr>
        <w:pStyle w:val="FootnoteText"/>
        <w:spacing w:after="60"/>
      </w:pPr>
      <w:r>
        <w:rPr>
          <w:rStyle w:val="FootnoteReference"/>
        </w:rPr>
        <w:footnoteRef/>
      </w:r>
      <w:r>
        <w:t xml:space="preserve"> </w:t>
      </w:r>
      <w:r>
        <w:tab/>
        <w:t xml:space="preserve">S 8(4) of the 1986 Act. </w:t>
      </w:r>
    </w:p>
  </w:footnote>
  <w:footnote w:id="322">
    <w:p w:rsidR="009A4F49" w:rsidRDefault="009A4F49" w:rsidP="00D86A8D">
      <w:pPr>
        <w:pStyle w:val="FootnoteText"/>
        <w:spacing w:after="60"/>
      </w:pPr>
      <w:r>
        <w:rPr>
          <w:rStyle w:val="FootnoteReference"/>
        </w:rPr>
        <w:footnoteRef/>
      </w:r>
      <w:r>
        <w:t xml:space="preserve"> </w:t>
      </w:r>
      <w:r>
        <w:tab/>
        <w:t>S 8(6) of the 1986 Act.</w:t>
      </w:r>
    </w:p>
  </w:footnote>
  <w:footnote w:id="323">
    <w:p w:rsidR="009A4F49" w:rsidRDefault="009A4F49" w:rsidP="00C51DE0">
      <w:pPr>
        <w:pStyle w:val="FootnoteText"/>
      </w:pPr>
      <w:r>
        <w:rPr>
          <w:rStyle w:val="FootnoteReference"/>
        </w:rPr>
        <w:footnoteRef/>
      </w:r>
      <w:r>
        <w:t xml:space="preserve"> </w:t>
      </w:r>
      <w:r>
        <w:tab/>
        <w:t xml:space="preserve">S 8(5) of the 1986 Act.  </w:t>
      </w:r>
    </w:p>
  </w:footnote>
  <w:footnote w:id="324">
    <w:p w:rsidR="009A4F49" w:rsidRDefault="009A4F49" w:rsidP="00C51DE0">
      <w:pPr>
        <w:pStyle w:val="FootnoteText"/>
      </w:pPr>
      <w:r>
        <w:rPr>
          <w:rStyle w:val="FootnoteReference"/>
        </w:rPr>
        <w:footnoteRef/>
      </w:r>
      <w:r>
        <w:t xml:space="preserve"> </w:t>
      </w:r>
      <w:r>
        <w:tab/>
        <w:t xml:space="preserve">Ss 21 and 22 of the 2005 Act. </w:t>
      </w:r>
    </w:p>
  </w:footnote>
  <w:footnote w:id="325">
    <w:p w:rsidR="009A4F49" w:rsidRDefault="009A4F49" w:rsidP="00C51DE0">
      <w:pPr>
        <w:pStyle w:val="FootnoteText"/>
      </w:pPr>
      <w:r>
        <w:rPr>
          <w:rStyle w:val="FootnoteReference"/>
        </w:rPr>
        <w:footnoteRef/>
      </w:r>
      <w:r>
        <w:t xml:space="preserve"> </w:t>
      </w:r>
      <w:r>
        <w:tab/>
        <w:t>S 22 of the 2005 Act.  These circumstances include possible prejudice to the security,</w:t>
      </w:r>
      <w:r>
        <w:rPr>
          <w:lang w:val="en-US"/>
        </w:rPr>
        <w:t> </w:t>
      </w:r>
      <w:r>
        <w:t>defence or international relationship of New Zealand, confidentiality, maintenance of law and right to a fair trial, or endangering of the safety of any person.</w:t>
      </w:r>
    </w:p>
  </w:footnote>
  <w:footnote w:id="326">
    <w:p w:rsidR="009A4F49" w:rsidRDefault="009A4F49" w:rsidP="00C51DE0">
      <w:pPr>
        <w:pStyle w:val="FootnoteText"/>
      </w:pPr>
      <w:r>
        <w:rPr>
          <w:rStyle w:val="FootnoteReference"/>
        </w:rPr>
        <w:footnoteRef/>
      </w:r>
      <w:r>
        <w:t xml:space="preserve"> </w:t>
      </w:r>
      <w:r>
        <w:tab/>
        <w:t xml:space="preserve">Ss 22(8) and 51(1)(a) of the 2005 Act.  </w:t>
      </w:r>
    </w:p>
  </w:footnote>
  <w:footnote w:id="327">
    <w:p w:rsidR="009A4F49" w:rsidRDefault="009A4F49" w:rsidP="00943AA7">
      <w:pPr>
        <w:pStyle w:val="FootnoteText"/>
        <w:spacing w:after="0"/>
      </w:pPr>
      <w:r>
        <w:rPr>
          <w:rStyle w:val="FootnoteReference"/>
        </w:rPr>
        <w:footnoteRef/>
      </w:r>
      <w:r>
        <w:t xml:space="preserve"> </w:t>
      </w:r>
      <w:r>
        <w:tab/>
        <w:t>See the "Deferral of transfer agreement form" and the "Deferred transfer and access status template" accessible respectively at :-</w:t>
      </w:r>
    </w:p>
    <w:p w:rsidR="009A4F49" w:rsidRPr="00C51DE0" w:rsidRDefault="009A4F49" w:rsidP="00C51DE0">
      <w:pPr>
        <w:pStyle w:val="FootnoteText"/>
        <w:rPr>
          <w:szCs w:val="18"/>
        </w:rPr>
      </w:pPr>
      <w:r>
        <w:tab/>
      </w:r>
      <w:r w:rsidRPr="00C51DE0">
        <w:t>&lt;</w:t>
      </w:r>
      <w:hyperlink r:id="rId6" w:history="1">
        <w:r w:rsidRPr="00C51DE0">
          <w:rPr>
            <w:rStyle w:val="Hyperlink"/>
            <w:color w:val="auto"/>
            <w:u w:val="none"/>
          </w:rPr>
          <w:t>https://records.archives.govt.nz/assets/Guidance-new-standard/16-Fm6-Deferral-of-</w:t>
        </w:r>
        <w:r w:rsidRPr="00C51DE0">
          <w:rPr>
            <w:rStyle w:val="Hyperlink"/>
            <w:color w:val="auto"/>
            <w:spacing w:val="-16"/>
            <w:u w:val="none"/>
          </w:rPr>
          <w:t>Transfer-Agreement-Form</w:t>
        </w:r>
        <w:r w:rsidRPr="00C51DE0">
          <w:rPr>
            <w:rStyle w:val="Hyperlink"/>
            <w:color w:val="auto"/>
            <w:u w:val="none"/>
          </w:rPr>
          <w:t>.pdf</w:t>
        </w:r>
      </w:hyperlink>
      <w:r w:rsidRPr="00C51DE0">
        <w:rPr>
          <w:rStyle w:val="Hyperlink"/>
          <w:color w:val="auto"/>
          <w:u w:val="none"/>
        </w:rPr>
        <w:t>&gt;</w:t>
      </w:r>
      <w:r w:rsidRPr="00C51DE0">
        <w:t xml:space="preserve"> </w:t>
      </w:r>
      <w:r w:rsidRPr="00C51DE0">
        <w:rPr>
          <w:spacing w:val="-16"/>
        </w:rPr>
        <w:t xml:space="preserve">and </w:t>
      </w:r>
      <w:r w:rsidRPr="00C51DE0">
        <w:t>&lt;</w:t>
      </w:r>
      <w:hyperlink r:id="rId7" w:history="1">
        <w:r w:rsidRPr="00C51DE0">
          <w:rPr>
            <w:rStyle w:val="Hyperlink"/>
            <w:color w:val="auto"/>
            <w:sz w:val="19"/>
            <w:szCs w:val="19"/>
            <w:u w:val="none"/>
          </w:rPr>
          <w:t>http://records.archives.govt.nz/resources-and-guides/</w:t>
        </w:r>
      </w:hyperlink>
      <w:r w:rsidRPr="00C51DE0">
        <w:rPr>
          <w:rStyle w:val="Hyperlink"/>
          <w:color w:val="auto"/>
          <w:sz w:val="19"/>
          <w:szCs w:val="19"/>
          <w:u w:val="none"/>
        </w:rPr>
        <w:t>&gt;</w:t>
      </w:r>
      <w:r w:rsidRPr="00C51DE0">
        <w:rPr>
          <w:rStyle w:val="Hyperlink"/>
          <w:rFonts w:hint="eastAsia"/>
          <w:color w:val="auto"/>
          <w:sz w:val="19"/>
          <w:szCs w:val="19"/>
          <w:u w:val="none"/>
        </w:rPr>
        <w:t>.</w:t>
      </w:r>
      <w:r w:rsidRPr="00C51DE0">
        <w:rPr>
          <w:szCs w:val="18"/>
        </w:rPr>
        <w:t xml:space="preserve"> </w:t>
      </w:r>
    </w:p>
  </w:footnote>
  <w:footnote w:id="328">
    <w:p w:rsidR="009A4F49" w:rsidRDefault="009A4F49" w:rsidP="00C51DE0">
      <w:pPr>
        <w:pStyle w:val="FootnoteText"/>
      </w:pPr>
      <w:r>
        <w:rPr>
          <w:rStyle w:val="FootnoteReference"/>
        </w:rPr>
        <w:footnoteRef/>
      </w:r>
      <w:r>
        <w:t xml:space="preserve"> </w:t>
      </w:r>
      <w:r>
        <w:tab/>
        <w:t>S 22(7) of the 2005 Act.</w:t>
      </w:r>
    </w:p>
  </w:footnote>
  <w:footnote w:id="329">
    <w:p w:rsidR="009A4F49" w:rsidRDefault="009A4F49" w:rsidP="00943AA7">
      <w:pPr>
        <w:pStyle w:val="FootnoteText"/>
        <w:spacing w:after="0"/>
      </w:pPr>
      <w:r>
        <w:rPr>
          <w:rStyle w:val="FootnoteReference"/>
        </w:rPr>
        <w:footnoteRef/>
      </w:r>
      <w:r>
        <w:t xml:space="preserve"> </w:t>
      </w:r>
      <w:r>
        <w:tab/>
        <w:t>Ss 43, 44 of the 2005 Act.  A determination of access status involves an assessment of, amongst other things, the security levels of records, cultural sensitivity and other exemption grounds under the Official Information Act.  See, for example, guideline entitled "</w:t>
      </w:r>
      <w:r>
        <w:rPr>
          <w:i/>
        </w:rPr>
        <w:t>Access</w:t>
      </w:r>
      <w:r>
        <w:t>", October 2016, accessible at:</w:t>
      </w:r>
    </w:p>
    <w:p w:rsidR="009A4F49" w:rsidRPr="000B01AE" w:rsidRDefault="009A4F49" w:rsidP="00943AA7">
      <w:pPr>
        <w:pStyle w:val="FootnoteText"/>
        <w:spacing w:after="0"/>
      </w:pPr>
      <w:r>
        <w:tab/>
        <w:t>&lt;</w:t>
      </w:r>
      <w:r w:rsidRPr="00092158">
        <w:t>https://records.archives.govt.nz/assets/Guidance-new-standard/Access-16-G6.pdf</w:t>
      </w:r>
      <w:r w:rsidRPr="00943AA7">
        <w:rPr>
          <w:rStyle w:val="Hyperlink"/>
          <w:color w:val="auto"/>
          <w:u w:val="none"/>
        </w:rPr>
        <w:t>&gt;.</w:t>
      </w:r>
    </w:p>
    <w:p w:rsidR="009A4F49" w:rsidRDefault="009A4F49" w:rsidP="00C51DE0">
      <w:pPr>
        <w:pStyle w:val="FootnoteText"/>
      </w:pPr>
      <w:r>
        <w:tab/>
      </w:r>
      <w:r w:rsidRPr="00197713">
        <w:t>The exemptions are within the study of the ATI Sub-committee.</w:t>
      </w:r>
    </w:p>
  </w:footnote>
  <w:footnote w:id="330">
    <w:p w:rsidR="009A4F49" w:rsidRDefault="009A4F49" w:rsidP="00943AA7">
      <w:pPr>
        <w:pStyle w:val="FootnoteText"/>
        <w:spacing w:after="0"/>
      </w:pPr>
      <w:r>
        <w:rPr>
          <w:rStyle w:val="FootnoteReference"/>
        </w:rPr>
        <w:footnoteRef/>
      </w:r>
      <w:r>
        <w:t xml:space="preserve"> </w:t>
      </w:r>
      <w:r>
        <w:tab/>
        <w:t>S 14C of the NLBA.</w:t>
      </w:r>
    </w:p>
  </w:footnote>
  <w:footnote w:id="331">
    <w:p w:rsidR="009A4F49" w:rsidRDefault="009A4F49" w:rsidP="00C51DE0">
      <w:pPr>
        <w:pStyle w:val="FootnoteText"/>
      </w:pPr>
      <w:r>
        <w:rPr>
          <w:rStyle w:val="FootnoteReference"/>
        </w:rPr>
        <w:footnoteRef/>
      </w:r>
      <w:r>
        <w:t xml:space="preserve"> </w:t>
      </w:r>
      <w:r>
        <w:tab/>
        <w:t xml:space="preserve">Para 116 of the </w:t>
      </w:r>
      <w:r>
        <w:rPr>
          <w:i/>
        </w:rPr>
        <w:t>RAMP Study</w:t>
      </w:r>
      <w:r>
        <w:t xml:space="preserve">.  </w:t>
      </w:r>
    </w:p>
  </w:footnote>
  <w:footnote w:id="332">
    <w:p w:rsidR="009A4F49" w:rsidRDefault="009A4F49" w:rsidP="00C51DE0">
      <w:pPr>
        <w:pStyle w:val="FootnoteText"/>
      </w:pPr>
      <w:r>
        <w:rPr>
          <w:rStyle w:val="FootnoteReference"/>
        </w:rPr>
        <w:footnoteRef/>
      </w:r>
      <w:r>
        <w:t xml:space="preserve"> </w:t>
      </w:r>
      <w:r>
        <w:tab/>
        <w:t>Parer's Report at 31:- "There is no set period at which archives should be transferred to the custody of an archives.  It is a decision each country makes based on its individual needs.  However it is important that archival legislation makes reference to such decisions and specifies required times of transfer"</w:t>
      </w:r>
      <w:r>
        <w:rPr>
          <w:rStyle w:val="Hyperlink"/>
        </w:rPr>
        <w:t>.</w:t>
      </w:r>
      <w:r>
        <w:t xml:space="preserve">  This remark should similarly be applicable to each jurisdiction and to Hong Kong SAR of </w:t>
      </w:r>
      <w:r w:rsidRPr="00360D46">
        <w:t>the People's Republic of</w:t>
      </w:r>
      <w:r>
        <w:t xml:space="preserve"> China under "one country two systems".</w:t>
      </w:r>
    </w:p>
  </w:footnote>
  <w:footnote w:id="333">
    <w:p w:rsidR="009A4F49" w:rsidRDefault="009A4F49" w:rsidP="00A641F5">
      <w:pPr>
        <w:pStyle w:val="FootnoteText"/>
        <w:spacing w:after="0"/>
      </w:pPr>
      <w:r>
        <w:rPr>
          <w:rStyle w:val="FootnoteReference"/>
        </w:rPr>
        <w:footnoteRef/>
      </w:r>
      <w:r>
        <w:t xml:space="preserve"> </w:t>
      </w:r>
      <w:r>
        <w:rPr>
          <w:rFonts w:hint="eastAsia"/>
        </w:rPr>
        <w:tab/>
      </w:r>
      <w:r>
        <w:rPr>
          <w:lang w:eastAsia="zh-HK"/>
        </w:rPr>
        <w:t>P</w:t>
      </w:r>
      <w:r>
        <w:t xml:space="preserve">aras 3.5 and 4.1 of the </w:t>
      </w:r>
      <w:r>
        <w:rPr>
          <w:i/>
        </w:rPr>
        <w:t>2011 Civic Exchange Report</w:t>
      </w:r>
      <w:r>
        <w:t>.</w:t>
      </w:r>
    </w:p>
  </w:footnote>
  <w:footnote w:id="334">
    <w:p w:rsidR="009A4F49" w:rsidRDefault="009A4F49" w:rsidP="00C51DE0">
      <w:pPr>
        <w:pStyle w:val="FootnoteText"/>
      </w:pPr>
      <w:r>
        <w:rPr>
          <w:rStyle w:val="FootnoteReference"/>
        </w:rPr>
        <w:footnoteRef/>
      </w:r>
      <w:r>
        <w:t xml:space="preserve"> </w:t>
      </w:r>
      <w:r>
        <w:tab/>
        <w:t>Para 4.4 of the 2011 Civic Exchange Report.</w:t>
      </w:r>
    </w:p>
  </w:footnote>
  <w:footnote w:id="335">
    <w:p w:rsidR="009A4F49" w:rsidRDefault="009A4F49" w:rsidP="00C51DE0">
      <w:pPr>
        <w:pStyle w:val="FootnoteText"/>
      </w:pPr>
      <w:r>
        <w:rPr>
          <w:rStyle w:val="FootnoteReference"/>
        </w:rPr>
        <w:footnoteRef/>
      </w:r>
      <w:r>
        <w:t xml:space="preserve"> </w:t>
      </w:r>
      <w:r>
        <w:tab/>
        <w:t>Information provided by the GRS to the Sub-committee on 21 April 2017.</w:t>
      </w:r>
    </w:p>
  </w:footnote>
  <w:footnote w:id="336">
    <w:p w:rsidR="009A4F49" w:rsidRDefault="009A4F49" w:rsidP="00C51DE0">
      <w:pPr>
        <w:pStyle w:val="FootnoteText"/>
      </w:pPr>
      <w:r>
        <w:rPr>
          <w:rStyle w:val="FootnoteReference"/>
        </w:rPr>
        <w:footnoteRef/>
      </w:r>
      <w:r>
        <w:t xml:space="preserve"> </w:t>
      </w:r>
      <w:r>
        <w:rPr>
          <w:rFonts w:hint="eastAsia"/>
        </w:rPr>
        <w:tab/>
      </w:r>
      <w:r>
        <w:t xml:space="preserve">Para 4.17 of </w:t>
      </w:r>
      <w:r w:rsidRPr="00197713">
        <w:t>The</w:t>
      </w:r>
      <w:r>
        <w:t xml:space="preserve"> Ombudsman's Report.</w:t>
      </w:r>
    </w:p>
  </w:footnote>
  <w:footnote w:id="337">
    <w:p w:rsidR="009A4F49" w:rsidRDefault="009A4F49" w:rsidP="00C51DE0">
      <w:pPr>
        <w:pStyle w:val="FootnoteText"/>
      </w:pPr>
      <w:r>
        <w:rPr>
          <w:rStyle w:val="FootnoteReference"/>
        </w:rPr>
        <w:footnoteRef/>
      </w:r>
      <w:r>
        <w:t xml:space="preserve"> </w:t>
      </w:r>
      <w:r>
        <w:rPr>
          <w:rFonts w:hint="eastAsia"/>
        </w:rPr>
        <w:tab/>
      </w:r>
      <w:r>
        <w:t xml:space="preserve">Paras 5.14 and 7.15 of </w:t>
      </w:r>
      <w:r w:rsidRPr="00197713">
        <w:rPr>
          <w:i/>
        </w:rPr>
        <w:t>The</w:t>
      </w:r>
      <w:r>
        <w:t xml:space="preserve"> </w:t>
      </w:r>
      <w:r>
        <w:rPr>
          <w:i/>
        </w:rPr>
        <w:t>Ombudsman's Rep</w:t>
      </w:r>
      <w:r>
        <w:t>ort.</w:t>
      </w:r>
    </w:p>
  </w:footnote>
  <w:footnote w:id="338">
    <w:p w:rsidR="009A4F49" w:rsidRPr="00197713" w:rsidRDefault="009A4F49" w:rsidP="00C51DE0">
      <w:pPr>
        <w:pStyle w:val="FootnoteText"/>
      </w:pPr>
      <w:r w:rsidRPr="00197713">
        <w:rPr>
          <w:rStyle w:val="FootnoteReference"/>
        </w:rPr>
        <w:footnoteRef/>
      </w:r>
      <w:r w:rsidRPr="00197713">
        <w:t xml:space="preserve"> </w:t>
      </w:r>
      <w:r w:rsidRPr="00197713">
        <w:tab/>
      </w:r>
      <w:r w:rsidRPr="00EB3E3C">
        <w:t>Para 4.5 of the 2011 Civic Exchange Report.</w:t>
      </w:r>
    </w:p>
  </w:footnote>
  <w:footnote w:id="339">
    <w:p w:rsidR="009A4F49" w:rsidRDefault="009A4F49" w:rsidP="00C51DE0">
      <w:pPr>
        <w:pStyle w:val="FootnoteText"/>
      </w:pPr>
      <w:r>
        <w:rPr>
          <w:rStyle w:val="FootnoteReference"/>
        </w:rPr>
        <w:footnoteRef/>
      </w:r>
      <w:r>
        <w:t xml:space="preserve"> </w:t>
      </w:r>
      <w:r>
        <w:rPr>
          <w:rFonts w:hint="eastAsia"/>
        </w:rPr>
        <w:tab/>
      </w:r>
      <w:r>
        <w:t xml:space="preserve">Para 9.4(4) of </w:t>
      </w:r>
      <w:r w:rsidRPr="00197713">
        <w:t>The</w:t>
      </w:r>
      <w:r>
        <w:t xml:space="preserve"> Ombudsman's Report</w:t>
      </w:r>
      <w:r>
        <w:rPr>
          <w:rFonts w:hint="eastAsia"/>
        </w:rPr>
        <w:t>.</w:t>
      </w:r>
    </w:p>
  </w:footnote>
  <w:footnote w:id="340">
    <w:p w:rsidR="009A4F49" w:rsidRDefault="009A4F49" w:rsidP="00C51DE0">
      <w:pPr>
        <w:pStyle w:val="FootnoteText"/>
      </w:pPr>
      <w:r>
        <w:rPr>
          <w:rStyle w:val="FootnoteReference"/>
        </w:rPr>
        <w:footnoteRef/>
      </w:r>
      <w:r>
        <w:t xml:space="preserve"> </w:t>
      </w:r>
      <w:r>
        <w:rPr>
          <w:rFonts w:hint="eastAsia"/>
        </w:rPr>
        <w:tab/>
      </w:r>
      <w:r>
        <w:t xml:space="preserve">Information provided by the GRS on 21 April 2017. </w:t>
      </w:r>
    </w:p>
  </w:footnote>
  <w:footnote w:id="341">
    <w:p w:rsidR="009A4F49" w:rsidRDefault="009A4F49" w:rsidP="00A641F5">
      <w:pPr>
        <w:pStyle w:val="FootnoteText"/>
        <w:spacing w:after="0"/>
      </w:pPr>
      <w:r>
        <w:rPr>
          <w:rStyle w:val="FootnoteReference"/>
        </w:rPr>
        <w:footnoteRef/>
      </w:r>
      <w:r>
        <w:t xml:space="preserve"> </w:t>
      </w:r>
      <w:r>
        <w:tab/>
      </w:r>
      <w:r w:rsidRPr="00197713">
        <w:t xml:space="preserve">The Efficiency </w:t>
      </w:r>
      <w:r>
        <w:t>Office</w:t>
      </w:r>
      <w:r w:rsidRPr="00197713">
        <w:t>,</w:t>
      </w:r>
      <w:r w:rsidRPr="00630167">
        <w:t xml:space="preserve"> </w:t>
      </w:r>
      <w:r>
        <w:t>Review of the Organisation and Staffing Structure of the Government Records Service,</w:t>
      </w:r>
      <w:r>
        <w:rPr>
          <w:lang w:val="en-US"/>
        </w:rPr>
        <w:t> </w:t>
      </w:r>
      <w:r>
        <w:t xml:space="preserve">(22 December 2015), at: </w:t>
      </w:r>
    </w:p>
    <w:p w:rsidR="009A4F49" w:rsidRPr="00D97902" w:rsidRDefault="009A4F49" w:rsidP="00C51DE0">
      <w:pPr>
        <w:pStyle w:val="FootnoteText"/>
      </w:pPr>
      <w:r>
        <w:tab/>
        <w:t>&lt;</w:t>
      </w:r>
      <w:r w:rsidRPr="00092158">
        <w:t>http://www.grs.gov.hk/pdf/PwC_Final_Report.pdf</w:t>
      </w:r>
      <w:r>
        <w:t>&gt;</w:t>
      </w:r>
      <w:r w:rsidRPr="000B01AE">
        <w:t>.</w:t>
      </w:r>
    </w:p>
  </w:footnote>
  <w:footnote w:id="342">
    <w:p w:rsidR="009A4F49" w:rsidRPr="00197713" w:rsidRDefault="009A4F49" w:rsidP="00C51DE0">
      <w:pPr>
        <w:pStyle w:val="FootnoteText"/>
      </w:pPr>
      <w:r w:rsidRPr="00197713">
        <w:rPr>
          <w:rStyle w:val="FootnoteReference"/>
        </w:rPr>
        <w:footnoteRef/>
      </w:r>
      <w:r w:rsidRPr="00197713">
        <w:t xml:space="preserve"> </w:t>
      </w:r>
      <w:r w:rsidRPr="00197713">
        <w:tab/>
        <w:t>Para 4.2.1 of the Consultancy Report.</w:t>
      </w:r>
    </w:p>
  </w:footnote>
  <w:footnote w:id="343">
    <w:p w:rsidR="009A4F49" w:rsidRPr="00197713" w:rsidRDefault="009A4F49" w:rsidP="00C51DE0">
      <w:pPr>
        <w:pStyle w:val="FootnoteText"/>
      </w:pPr>
      <w:r w:rsidRPr="00197713">
        <w:rPr>
          <w:rStyle w:val="FootnoteReference"/>
        </w:rPr>
        <w:footnoteRef/>
      </w:r>
      <w:r w:rsidRPr="00197713">
        <w:t xml:space="preserve"> </w:t>
      </w:r>
      <w:r w:rsidRPr="00197713">
        <w:tab/>
        <w:t>Para 4.2.2 of the Consultancy Report.</w:t>
      </w:r>
    </w:p>
  </w:footnote>
  <w:footnote w:id="344">
    <w:p w:rsidR="009A4F49" w:rsidRPr="00197713" w:rsidRDefault="009A4F49" w:rsidP="00C51DE0">
      <w:pPr>
        <w:pStyle w:val="FootnoteText"/>
      </w:pPr>
      <w:r w:rsidRPr="00197713">
        <w:rPr>
          <w:rStyle w:val="FootnoteReference"/>
        </w:rPr>
        <w:footnoteRef/>
      </w:r>
      <w:r w:rsidRPr="00197713">
        <w:t xml:space="preserve"> </w:t>
      </w:r>
      <w:r w:rsidRPr="00197713">
        <w:tab/>
        <w:t>Para 4.2.5.3 of the Consultancy Report.</w:t>
      </w:r>
    </w:p>
  </w:footnote>
  <w:footnote w:id="345">
    <w:p w:rsidR="009A4F49" w:rsidRPr="00197713" w:rsidRDefault="009A4F49" w:rsidP="00C51DE0">
      <w:pPr>
        <w:pStyle w:val="FootnoteText"/>
        <w:rPr>
          <w:lang w:val="en-US"/>
        </w:rPr>
      </w:pPr>
      <w:r w:rsidRPr="00197713">
        <w:rPr>
          <w:rStyle w:val="FootnoteReference"/>
        </w:rPr>
        <w:footnoteRef/>
      </w:r>
      <w:r w:rsidRPr="00197713">
        <w:t xml:space="preserve"> </w:t>
      </w:r>
      <w:r w:rsidRPr="00197713">
        <w:rPr>
          <w:lang w:val="en-US"/>
        </w:rPr>
        <w:tab/>
        <w:t>Para 4.3.2 of the Consultancy Report.</w:t>
      </w:r>
    </w:p>
  </w:footnote>
  <w:footnote w:id="346">
    <w:p w:rsidR="009A4F49" w:rsidRPr="00197713" w:rsidRDefault="009A4F49" w:rsidP="00C51DE0">
      <w:pPr>
        <w:pStyle w:val="FootnoteText"/>
      </w:pPr>
      <w:r w:rsidRPr="00197713">
        <w:rPr>
          <w:rStyle w:val="FootnoteReference"/>
        </w:rPr>
        <w:footnoteRef/>
      </w:r>
      <w:r w:rsidRPr="00197713">
        <w:t xml:space="preserve"> </w:t>
      </w:r>
      <w:r w:rsidRPr="00197713">
        <w:tab/>
        <w:t>Para 3.2.1 of the Consultancy Report.</w:t>
      </w:r>
    </w:p>
  </w:footnote>
  <w:footnote w:id="347">
    <w:p w:rsidR="009A4F49" w:rsidRDefault="009A4F49" w:rsidP="00C51DE0">
      <w:pPr>
        <w:pStyle w:val="FootnoteText"/>
      </w:pPr>
      <w:r>
        <w:rPr>
          <w:rStyle w:val="FootnoteReference"/>
        </w:rPr>
        <w:footnoteRef/>
      </w:r>
      <w:r>
        <w:t xml:space="preserve"> </w:t>
      </w:r>
      <w:r>
        <w:rPr>
          <w:rFonts w:hint="eastAsia"/>
        </w:rPr>
        <w:tab/>
      </w:r>
      <w:r>
        <w:t>Information provided by the GRS on 21 April 2017.</w:t>
      </w:r>
    </w:p>
  </w:footnote>
  <w:footnote w:id="348">
    <w:p w:rsidR="009A4F49" w:rsidRDefault="009A4F49" w:rsidP="00C51DE0">
      <w:pPr>
        <w:pStyle w:val="FootnoteText"/>
      </w:pPr>
      <w:r>
        <w:rPr>
          <w:vertAlign w:val="superscript"/>
        </w:rPr>
        <w:footnoteRef/>
      </w:r>
      <w:r>
        <w:t xml:space="preserve"> </w:t>
      </w:r>
      <w:r>
        <w:tab/>
        <w:t xml:space="preserve">Para 8.33 of </w:t>
      </w:r>
      <w:r w:rsidRPr="00197713">
        <w:t>The</w:t>
      </w:r>
      <w:r>
        <w:t xml:space="preserve"> Ombudsman's Report.</w:t>
      </w:r>
    </w:p>
  </w:footnote>
  <w:footnote w:id="349">
    <w:p w:rsidR="009A4F49" w:rsidRDefault="009A4F49" w:rsidP="00C51DE0">
      <w:pPr>
        <w:pStyle w:val="FootnoteText"/>
      </w:pPr>
      <w:r>
        <w:rPr>
          <w:vertAlign w:val="superscript"/>
        </w:rPr>
        <w:footnoteRef/>
      </w:r>
      <w:r>
        <w:t xml:space="preserve"> </w:t>
      </w:r>
      <w:r>
        <w:tab/>
        <w:t xml:space="preserve">Paras 8.14 and 8.15 of </w:t>
      </w:r>
      <w:r w:rsidRPr="00197713">
        <w:rPr>
          <w:i/>
        </w:rPr>
        <w:t>The</w:t>
      </w:r>
      <w:r>
        <w:rPr>
          <w:i/>
        </w:rPr>
        <w:t xml:space="preserve"> Ombudsman's Report</w:t>
      </w:r>
      <w:r>
        <w:t>.</w:t>
      </w:r>
    </w:p>
  </w:footnote>
  <w:footnote w:id="350">
    <w:p w:rsidR="009A4F49" w:rsidRDefault="009A4F49" w:rsidP="00C51DE0">
      <w:pPr>
        <w:pStyle w:val="FootnoteText"/>
      </w:pPr>
      <w:r>
        <w:rPr>
          <w:vertAlign w:val="superscript"/>
        </w:rPr>
        <w:footnoteRef/>
      </w:r>
      <w:r>
        <w:t xml:space="preserve"> </w:t>
      </w:r>
      <w:r>
        <w:tab/>
        <w:t>Para 4.7 of the 2007 Civic Exchange Report.</w:t>
      </w:r>
    </w:p>
  </w:footnote>
  <w:footnote w:id="351">
    <w:p w:rsidR="009A4F49" w:rsidRDefault="009A4F49" w:rsidP="00C51DE0">
      <w:pPr>
        <w:pStyle w:val="FootnoteText"/>
      </w:pPr>
      <w:r>
        <w:rPr>
          <w:vertAlign w:val="superscript"/>
        </w:rPr>
        <w:footnoteRef/>
      </w:r>
      <w:r>
        <w:t xml:space="preserve"> </w:t>
      </w:r>
      <w:r>
        <w:tab/>
        <w:t xml:space="preserve">Para 8.16 of </w:t>
      </w:r>
      <w:r w:rsidRPr="00197713">
        <w:t>The</w:t>
      </w:r>
      <w:r>
        <w:t xml:space="preserve"> Ombudsman's Report.</w:t>
      </w:r>
    </w:p>
  </w:footnote>
  <w:footnote w:id="352">
    <w:p w:rsidR="009A4F49" w:rsidRDefault="009A4F49" w:rsidP="00C51DE0">
      <w:pPr>
        <w:pStyle w:val="FootnoteText"/>
      </w:pPr>
      <w:r>
        <w:rPr>
          <w:vertAlign w:val="superscript"/>
        </w:rPr>
        <w:footnoteRef/>
      </w:r>
      <w:r>
        <w:t xml:space="preserve"> </w:t>
      </w:r>
      <w:r>
        <w:tab/>
        <w:t xml:space="preserve">Paras 8.26 and 8.35 of </w:t>
      </w:r>
      <w:r w:rsidRPr="00197713">
        <w:rPr>
          <w:i/>
        </w:rPr>
        <w:t>The</w:t>
      </w:r>
      <w:r>
        <w:t xml:space="preserve"> </w:t>
      </w:r>
      <w:r>
        <w:rPr>
          <w:i/>
        </w:rPr>
        <w:t>Ombudsman's Report</w:t>
      </w:r>
      <w:r>
        <w:t>.</w:t>
      </w:r>
    </w:p>
  </w:footnote>
  <w:footnote w:id="353">
    <w:p w:rsidR="009A4F49" w:rsidRDefault="009A4F49" w:rsidP="00C51DE0">
      <w:pPr>
        <w:pStyle w:val="FootnoteText"/>
      </w:pPr>
      <w:r>
        <w:rPr>
          <w:vertAlign w:val="superscript"/>
        </w:rPr>
        <w:footnoteRef/>
      </w:r>
      <w:r>
        <w:rPr>
          <w:vertAlign w:val="superscript"/>
        </w:rPr>
        <w:t xml:space="preserve"> </w:t>
      </w:r>
      <w:r>
        <w:tab/>
        <w:t xml:space="preserve">Paras 8.36, 9.4(12), (13) and (14) of </w:t>
      </w:r>
      <w:r w:rsidRPr="00197713">
        <w:rPr>
          <w:i/>
        </w:rPr>
        <w:t>The</w:t>
      </w:r>
      <w:r>
        <w:t xml:space="preserve"> </w:t>
      </w:r>
      <w:r>
        <w:rPr>
          <w:i/>
        </w:rPr>
        <w:t>Ombudsman's Report</w:t>
      </w:r>
      <w:r>
        <w:t xml:space="preserve">.  </w:t>
      </w:r>
      <w:r w:rsidRPr="00423871">
        <w:t>More generally, the Civic Exchange recommended that an archives law was needed to ensure that all branches of government would comply with the recordkeeping policies and standards in respect of electronic records</w:t>
      </w:r>
      <w:r>
        <w:t xml:space="preserve"> (p</w:t>
      </w:r>
      <w:r w:rsidRPr="00423871">
        <w:t xml:space="preserve">ara 7.2.4 of the </w:t>
      </w:r>
      <w:r w:rsidRPr="00423871">
        <w:rPr>
          <w:i/>
        </w:rPr>
        <w:t>2011 Civic Exchange Report</w:t>
      </w:r>
      <w:r w:rsidRPr="00197713">
        <w:t>)</w:t>
      </w:r>
      <w:r w:rsidRPr="00423871">
        <w:t>.</w:t>
      </w:r>
    </w:p>
  </w:footnote>
  <w:footnote w:id="354">
    <w:p w:rsidR="009A4F49" w:rsidRPr="007A24A9" w:rsidRDefault="009A4F49" w:rsidP="00C51DE0">
      <w:pPr>
        <w:pStyle w:val="FootnoteText"/>
        <w:rPr>
          <w:color w:val="FF0000"/>
          <w:lang w:eastAsia="zh-HK"/>
        </w:rPr>
      </w:pPr>
      <w:r>
        <w:rPr>
          <w:vertAlign w:val="superscript"/>
        </w:rPr>
        <w:footnoteRef/>
      </w:r>
      <w:r>
        <w:t xml:space="preserve"> </w:t>
      </w:r>
      <w:r>
        <w:tab/>
      </w:r>
      <w:r w:rsidRPr="00AA1AF0">
        <w:t>The Government Minute in Response to the Annual Report of The Ombudsman 2014 at paragraph</w:t>
      </w:r>
      <w:r>
        <w:t xml:space="preserve">s </w:t>
      </w:r>
      <w:r>
        <w:rPr>
          <w:rFonts w:hint="eastAsia"/>
          <w:lang w:eastAsia="zh-HK"/>
        </w:rPr>
        <w:t>1311</w:t>
      </w:r>
      <w:r>
        <w:t xml:space="preserve">(m), </w:t>
      </w:r>
      <w:r>
        <w:rPr>
          <w:rFonts w:hint="eastAsia"/>
          <w:lang w:eastAsia="zh-HK"/>
        </w:rPr>
        <w:t>1311</w:t>
      </w:r>
      <w:r>
        <w:t>(n) and 1</w:t>
      </w:r>
      <w:r>
        <w:rPr>
          <w:rFonts w:hint="eastAsia"/>
          <w:lang w:eastAsia="zh-HK"/>
        </w:rPr>
        <w:t>311</w:t>
      </w:r>
      <w:r>
        <w:t>(o).</w:t>
      </w:r>
      <w:r>
        <w:rPr>
          <w:rFonts w:hint="eastAsia"/>
          <w:lang w:eastAsia="zh-HK"/>
        </w:rPr>
        <w:t xml:space="preserve"> </w:t>
      </w:r>
    </w:p>
  </w:footnote>
  <w:footnote w:id="355">
    <w:p w:rsidR="009A4F49" w:rsidRDefault="009A4F49" w:rsidP="00850126">
      <w:pPr>
        <w:pStyle w:val="FootnoteText"/>
        <w:spacing w:after="60"/>
      </w:pPr>
      <w:r>
        <w:rPr>
          <w:rStyle w:val="FootnoteReference"/>
        </w:rPr>
        <w:footnoteRef/>
      </w:r>
      <w:r>
        <w:t xml:space="preserve"> </w:t>
      </w:r>
      <w:r>
        <w:tab/>
        <w:t xml:space="preserve">They were the </w:t>
      </w:r>
      <w:r>
        <w:rPr>
          <w:rFonts w:hint="eastAsia"/>
        </w:rPr>
        <w:t>E</w:t>
      </w:r>
      <w:r>
        <w:t>fficiency Office</w:t>
      </w:r>
      <w:r>
        <w:rPr>
          <w:rFonts w:hint="eastAsia"/>
        </w:rPr>
        <w:t>, GRS, Communications and Creative Industries Branch of the Commerce and Economic Development Bureau, Rating and Valuation Department and Drainage Services Department</w:t>
      </w:r>
      <w:r>
        <w:t xml:space="preserve">. </w:t>
      </w:r>
    </w:p>
  </w:footnote>
  <w:footnote w:id="356">
    <w:p w:rsidR="009A4F49" w:rsidRDefault="009A4F49" w:rsidP="00850126">
      <w:pPr>
        <w:pStyle w:val="FootnoteText"/>
        <w:spacing w:after="60"/>
      </w:pPr>
      <w:r>
        <w:rPr>
          <w:rStyle w:val="FootnoteReference"/>
        </w:rPr>
        <w:footnoteRef/>
      </w:r>
      <w:r>
        <w:t xml:space="preserve"> </w:t>
      </w:r>
      <w:r>
        <w:tab/>
        <w:t xml:space="preserve">The three B/Ds were </w:t>
      </w:r>
      <w:r>
        <w:rPr>
          <w:lang w:eastAsia="zh-HK"/>
        </w:rPr>
        <w:t>the Intellectual Property Department</w:t>
      </w:r>
      <w:r>
        <w:rPr>
          <w:rFonts w:hint="eastAsia"/>
          <w:lang w:eastAsia="zh-HK"/>
        </w:rPr>
        <w:t xml:space="preserve">, </w:t>
      </w:r>
      <w:r>
        <w:rPr>
          <w:lang w:eastAsia="zh-HK"/>
        </w:rPr>
        <w:t xml:space="preserve">OGCIO </w:t>
      </w:r>
      <w:r>
        <w:rPr>
          <w:rFonts w:hint="eastAsia"/>
          <w:lang w:eastAsia="zh-HK"/>
        </w:rPr>
        <w:t xml:space="preserve">and </w:t>
      </w:r>
      <w:r>
        <w:rPr>
          <w:lang w:eastAsia="zh-HK"/>
        </w:rPr>
        <w:t>Administration Wing.</w:t>
      </w:r>
    </w:p>
  </w:footnote>
  <w:footnote w:id="357">
    <w:p w:rsidR="009A4F49" w:rsidRDefault="009A4F49" w:rsidP="00850126">
      <w:pPr>
        <w:pStyle w:val="FootnoteText"/>
        <w:spacing w:after="60"/>
      </w:pPr>
      <w:r>
        <w:rPr>
          <w:rStyle w:val="FootnoteReference"/>
        </w:rPr>
        <w:footnoteRef/>
      </w:r>
      <w:r>
        <w:t xml:space="preserve"> </w:t>
      </w:r>
      <w:r>
        <w:tab/>
        <w:t xml:space="preserve">They are the </w:t>
      </w:r>
      <w:r>
        <w:rPr>
          <w:lang w:eastAsia="zh-HK"/>
        </w:rPr>
        <w:t>Civil Engineering and Development Department, Architectural Services Department and Marine Department.</w:t>
      </w:r>
    </w:p>
  </w:footnote>
  <w:footnote w:id="358">
    <w:p w:rsidR="009A4F49" w:rsidRDefault="009A4F49" w:rsidP="00850126">
      <w:pPr>
        <w:pStyle w:val="FootnoteText"/>
        <w:spacing w:after="0"/>
      </w:pPr>
      <w:r>
        <w:rPr>
          <w:rStyle w:val="FootnoteReference"/>
        </w:rPr>
        <w:footnoteRef/>
      </w:r>
      <w:r>
        <w:t xml:space="preserve"> </w:t>
      </w:r>
      <w:r>
        <w:rPr>
          <w:rFonts w:hint="eastAsia"/>
        </w:rPr>
        <w:tab/>
      </w:r>
      <w:r>
        <w:rPr>
          <w:lang w:eastAsia="zh-HK"/>
        </w:rPr>
        <w:t xml:space="preserve">They are the "Guidelines on Implementation of an Electronic Recordkeeping System: Key Considerations and Preparation Work Required" and "A Handbook on Records Management Practices and Guidelines for an Electronic Recordkeeping System".  </w:t>
      </w:r>
    </w:p>
  </w:footnote>
  <w:footnote w:id="359">
    <w:p w:rsidR="009A4F49" w:rsidRDefault="009A4F49" w:rsidP="00C51DE0">
      <w:pPr>
        <w:pStyle w:val="FootnoteText"/>
      </w:pPr>
      <w:r>
        <w:rPr>
          <w:rStyle w:val="FootnoteReference"/>
        </w:rPr>
        <w:footnoteRef/>
      </w:r>
      <w:r>
        <w:t xml:space="preserve"> </w:t>
      </w:r>
      <w:r>
        <w:tab/>
        <w:t>"Guidelines for Managing Records in a Hybrid Environment"</w:t>
      </w:r>
    </w:p>
  </w:footnote>
  <w:footnote w:id="360">
    <w:p w:rsidR="009A4F49" w:rsidRPr="00197713" w:rsidRDefault="009A4F49" w:rsidP="00C51DE0">
      <w:pPr>
        <w:pStyle w:val="FootnoteText"/>
      </w:pPr>
      <w:r w:rsidRPr="00197713">
        <w:rPr>
          <w:rStyle w:val="FootnoteReference"/>
        </w:rPr>
        <w:footnoteRef/>
      </w:r>
      <w:r w:rsidRPr="00197713">
        <w:t xml:space="preserve"> </w:t>
      </w:r>
      <w:r w:rsidRPr="00197713">
        <w:tab/>
        <w:t>See als</w:t>
      </w:r>
      <w:r w:rsidRPr="00E162AD">
        <w:t>o chapter 2.</w:t>
      </w:r>
    </w:p>
  </w:footnote>
  <w:footnote w:id="361">
    <w:p w:rsidR="009A4F49" w:rsidRDefault="009A4F49" w:rsidP="00C51DE0">
      <w:pPr>
        <w:pStyle w:val="FootnoteText"/>
      </w:pPr>
      <w:r>
        <w:rPr>
          <w:rStyle w:val="FootnoteReference"/>
        </w:rPr>
        <w:footnoteRef/>
      </w:r>
      <w:r>
        <w:t xml:space="preserve"> </w:t>
      </w:r>
      <w:r>
        <w:tab/>
        <w:t>In Australia, for example, "</w:t>
      </w:r>
      <w:r>
        <w:rPr>
          <w:i/>
        </w:rPr>
        <w:t>record</w:t>
      </w:r>
      <w:r>
        <w:t>" under s 3 of the 1983 Act includes a document in any form, including "</w:t>
      </w:r>
      <w:r>
        <w:rPr>
          <w:i/>
        </w:rPr>
        <w:t>any electronic form</w:t>
      </w:r>
      <w:r>
        <w:t>".  See also the definition of "</w:t>
      </w:r>
      <w:r>
        <w:rPr>
          <w:i/>
        </w:rPr>
        <w:t>record</w:t>
      </w:r>
      <w:r>
        <w:t>" in s 4 of the 2005 Act (New Zealand), the definition of "</w:t>
      </w:r>
      <w:r w:rsidRPr="001E42C0">
        <w:rPr>
          <w:i/>
        </w:rPr>
        <w:t>public records</w:t>
      </w:r>
      <w:r>
        <w:t>" in s 2 of NLBA (Singapore), the definition of "</w:t>
      </w:r>
      <w:r w:rsidRPr="001E42C0">
        <w:rPr>
          <w:i/>
        </w:rPr>
        <w:t>records</w:t>
      </w:r>
      <w:r>
        <w:t>" in s 10 of the 1958 Act (England) and the definition of "</w:t>
      </w:r>
      <w:r>
        <w:rPr>
          <w:i/>
        </w:rPr>
        <w:t>Departmental records</w:t>
      </w:r>
      <w:r>
        <w:t xml:space="preserve">" in s 2(2) of the 1986 Act (Ireland).    </w:t>
      </w:r>
    </w:p>
  </w:footnote>
  <w:footnote w:id="362">
    <w:p w:rsidR="009A4F49" w:rsidRDefault="009A4F49" w:rsidP="001125B9">
      <w:pPr>
        <w:pStyle w:val="FootnoteText"/>
        <w:spacing w:after="0"/>
      </w:pPr>
      <w:r>
        <w:rPr>
          <w:rStyle w:val="FootnoteReference"/>
        </w:rPr>
        <w:footnoteRef/>
      </w:r>
      <w:r>
        <w:tab/>
        <w:t>&lt;</w:t>
      </w:r>
      <w:r w:rsidRPr="007D6630">
        <w:t>http://www.nationalarchives.gov.uk/information-management/manage-information/</w:t>
      </w:r>
    </w:p>
    <w:p w:rsidR="009A4F49" w:rsidRDefault="009A4F49" w:rsidP="00C51DE0">
      <w:pPr>
        <w:pStyle w:val="FootnoteText"/>
        <w:rPr>
          <w:lang w:val="en"/>
        </w:rPr>
      </w:pPr>
      <w:r>
        <w:tab/>
        <w:t>pre</w:t>
      </w:r>
      <w:r w:rsidRPr="007D6630">
        <w:t>serving-digital-records/our-role/</w:t>
      </w:r>
      <w:r>
        <w:t>&gt;</w:t>
      </w:r>
      <w:r w:rsidRPr="00ED0634">
        <w:t>.</w:t>
      </w:r>
    </w:p>
  </w:footnote>
  <w:footnote w:id="363">
    <w:p w:rsidR="009A4F49" w:rsidRDefault="009A4F49" w:rsidP="00850126">
      <w:pPr>
        <w:pStyle w:val="FootnoteText"/>
        <w:spacing w:after="0"/>
      </w:pPr>
      <w:r>
        <w:rPr>
          <w:rStyle w:val="FootnoteReference"/>
        </w:rPr>
        <w:footnoteRef/>
      </w:r>
      <w:r>
        <w:t xml:space="preserve"> </w:t>
      </w:r>
      <w:r>
        <w:tab/>
        <w:t>The guidance issued by TNA is available at:</w:t>
      </w:r>
    </w:p>
    <w:p w:rsidR="009A4F49" w:rsidRPr="000B01AE" w:rsidRDefault="009A4F49" w:rsidP="00850126">
      <w:pPr>
        <w:pStyle w:val="FootnoteText"/>
        <w:spacing w:after="0"/>
      </w:pPr>
      <w:r>
        <w:tab/>
        <w:t>&lt;</w:t>
      </w:r>
      <w:r w:rsidRPr="007D6630">
        <w:t>http://www.nationalarchives.gov.uk/information-management/manage-information/</w:t>
      </w:r>
      <w:r>
        <w:t>‌</w:t>
      </w:r>
      <w:r w:rsidRPr="007D6630">
        <w:t>preserving-digital-records/guidance/</w:t>
      </w:r>
      <w:r>
        <w:t>&gt;</w:t>
      </w:r>
      <w:r w:rsidRPr="000B01AE">
        <w:t>.</w:t>
      </w:r>
    </w:p>
  </w:footnote>
  <w:footnote w:id="364">
    <w:p w:rsidR="009A4F49" w:rsidRDefault="009A4F49" w:rsidP="00C51DE0">
      <w:pPr>
        <w:pStyle w:val="FootnoteText"/>
      </w:pPr>
      <w:r>
        <w:rPr>
          <w:rStyle w:val="FootnoteReference"/>
        </w:rPr>
        <w:footnoteRef/>
      </w:r>
      <w:r>
        <w:t xml:space="preserve"> </w:t>
      </w:r>
      <w:r>
        <w:tab/>
        <w:t xml:space="preserve">More details of the Digital Continuity 2020 Policy are available on the NAA's website at: </w:t>
      </w:r>
      <w:r>
        <w:rPr>
          <w:lang w:val="en-US"/>
        </w:rPr>
        <w:t>&lt;</w:t>
      </w:r>
      <w:r w:rsidRPr="007D6630">
        <w:rPr>
          <w:lang w:val="en-US"/>
        </w:rPr>
        <w:t>http://www.naa.gov.au/information-management/digital-transition-and-digital-</w:t>
      </w:r>
      <w:r>
        <w:rPr>
          <w:lang w:val="en-US"/>
        </w:rPr>
        <w:t>‌</w:t>
      </w:r>
      <w:r w:rsidRPr="007D6630">
        <w:rPr>
          <w:lang w:val="en-US"/>
        </w:rPr>
        <w:t>continuity/index.aspx</w:t>
      </w:r>
      <w:r>
        <w:rPr>
          <w:lang w:val="en-US"/>
        </w:rPr>
        <w:t xml:space="preserve">&gt;. </w:t>
      </w:r>
    </w:p>
  </w:footnote>
  <w:footnote w:id="365">
    <w:p w:rsidR="009A4F49" w:rsidRDefault="009A4F49" w:rsidP="00850126">
      <w:pPr>
        <w:pStyle w:val="FootnoteText"/>
        <w:spacing w:after="0"/>
      </w:pPr>
      <w:r>
        <w:rPr>
          <w:rStyle w:val="FootnoteReference"/>
        </w:rPr>
        <w:footnoteRef/>
      </w:r>
      <w:r>
        <w:t xml:space="preserve"> </w:t>
      </w:r>
      <w:r>
        <w:tab/>
        <w:t xml:space="preserve">See the role of the NAS on its website at: </w:t>
      </w:r>
    </w:p>
    <w:p w:rsidR="009A4F49" w:rsidRPr="000B01AE" w:rsidRDefault="009A4F49" w:rsidP="00850126">
      <w:pPr>
        <w:pStyle w:val="FootnoteText"/>
        <w:spacing w:after="0"/>
        <w:rPr>
          <w:sz w:val="22"/>
        </w:rPr>
      </w:pPr>
      <w:r>
        <w:tab/>
        <w:t>&lt;</w:t>
      </w:r>
      <w:r w:rsidRPr="007D6630">
        <w:t>http://www.nas.gov.sg/nas/AboutUs/OurRoles.aspx</w:t>
      </w:r>
      <w:r>
        <w:t>&gt;</w:t>
      </w:r>
      <w:r w:rsidRPr="000B01AE">
        <w:t>.</w:t>
      </w:r>
    </w:p>
  </w:footnote>
  <w:footnote w:id="366">
    <w:p w:rsidR="009A4F49" w:rsidRPr="00101146" w:rsidRDefault="009A4F49" w:rsidP="00C51DE0">
      <w:pPr>
        <w:pStyle w:val="FootnoteText"/>
      </w:pPr>
      <w:r>
        <w:rPr>
          <w:rStyle w:val="FootnoteReference"/>
        </w:rPr>
        <w:footnoteRef/>
      </w:r>
      <w:r>
        <w:t xml:space="preserve"> </w:t>
      </w:r>
      <w:r>
        <w:tab/>
      </w:r>
      <w:r w:rsidRPr="00101146">
        <w:t>Para 4.6 of the 2007 Civic Exchange Report.</w:t>
      </w:r>
    </w:p>
  </w:footnote>
  <w:footnote w:id="367">
    <w:p w:rsidR="009A4F49" w:rsidRPr="003533AC" w:rsidRDefault="009A4F49" w:rsidP="00C51DE0">
      <w:pPr>
        <w:pStyle w:val="FootnoteText"/>
      </w:pPr>
      <w:r w:rsidRPr="008D1229">
        <w:rPr>
          <w:rStyle w:val="FootnoteReference"/>
        </w:rPr>
        <w:footnoteRef/>
      </w:r>
      <w:r w:rsidRPr="008D1229">
        <w:t xml:space="preserve"> </w:t>
      </w:r>
      <w:r w:rsidRPr="008D1229">
        <w:tab/>
      </w:r>
      <w:r>
        <w:t xml:space="preserve">See paras 4.1 and 4.6 of the </w:t>
      </w:r>
      <w:r w:rsidRPr="00C50703">
        <w:rPr>
          <w:i/>
        </w:rPr>
        <w:t>2007 Civic Exchange Report</w:t>
      </w:r>
      <w:r w:rsidRPr="00247DF7">
        <w:t xml:space="preserve"> and </w:t>
      </w:r>
      <w:r>
        <w:t xml:space="preserve">para 3.2 of the </w:t>
      </w:r>
      <w:r w:rsidRPr="00C50703">
        <w:rPr>
          <w:i/>
        </w:rPr>
        <w:t>2011 Civic Exchange Report</w:t>
      </w:r>
      <w:r w:rsidRPr="003533AC">
        <w:t>.</w:t>
      </w:r>
    </w:p>
  </w:footnote>
  <w:footnote w:id="368">
    <w:p w:rsidR="009A4F49" w:rsidRPr="008D1229" w:rsidRDefault="009A4F49" w:rsidP="00C51DE0">
      <w:pPr>
        <w:pStyle w:val="FootnoteText"/>
      </w:pPr>
      <w:r w:rsidRPr="008D1229">
        <w:rPr>
          <w:rStyle w:val="FootnoteReference"/>
        </w:rPr>
        <w:footnoteRef/>
      </w:r>
      <w:r w:rsidRPr="008D1229">
        <w:t xml:space="preserve"> </w:t>
      </w:r>
      <w:r w:rsidRPr="008D1229">
        <w:tab/>
        <w:t xml:space="preserve">Definition of </w:t>
      </w:r>
      <w:r>
        <w:t>"</w:t>
      </w:r>
      <w:r w:rsidRPr="003533AC">
        <w:rPr>
          <w:i/>
        </w:rPr>
        <w:t>personal data</w:t>
      </w:r>
      <w:r>
        <w:t>"</w:t>
      </w:r>
      <w:r w:rsidRPr="008D1229">
        <w:t xml:space="preserve"> in s 2 of the PDPO. </w:t>
      </w:r>
    </w:p>
  </w:footnote>
  <w:footnote w:id="369">
    <w:p w:rsidR="009A4F49" w:rsidRPr="00EF713E" w:rsidRDefault="009A4F49" w:rsidP="00C51DE0">
      <w:pPr>
        <w:pStyle w:val="FootnoteText"/>
      </w:pPr>
      <w:r w:rsidRPr="00EF713E">
        <w:rPr>
          <w:rStyle w:val="FootnoteReference"/>
        </w:rPr>
        <w:footnoteRef/>
      </w:r>
      <w:r w:rsidRPr="00EF713E">
        <w:t xml:space="preserve"> </w:t>
      </w:r>
      <w:r w:rsidRPr="00EF713E">
        <w:tab/>
        <w:t>Principle 2, para (2) in Schedule 1 to the PDPO also requires all practicable steps to be taken to ensure that personal data is not kept longer than is necessary for the fulfilment of the purpose (including any directly related purpose) for which the data is to be used.</w:t>
      </w:r>
    </w:p>
  </w:footnote>
  <w:footnote w:id="370">
    <w:p w:rsidR="009A4F49" w:rsidRPr="00EF713E" w:rsidRDefault="009A4F49" w:rsidP="00C51DE0">
      <w:pPr>
        <w:pStyle w:val="FootnoteText"/>
      </w:pPr>
      <w:r w:rsidRPr="00EF713E">
        <w:rPr>
          <w:rStyle w:val="FootnoteReference"/>
        </w:rPr>
        <w:footnoteRef/>
      </w:r>
      <w:r w:rsidRPr="00EF713E">
        <w:t xml:space="preserve"> </w:t>
      </w:r>
      <w:r w:rsidRPr="00EF713E">
        <w:tab/>
        <w:t xml:space="preserve">See definition of the word </w:t>
      </w:r>
      <w:r>
        <w:t>"</w:t>
      </w:r>
      <w:r w:rsidRPr="00EF713E">
        <w:rPr>
          <w:i/>
        </w:rPr>
        <w:t>use</w:t>
      </w:r>
      <w:r>
        <w:t>"</w:t>
      </w:r>
      <w:r w:rsidRPr="00EF713E">
        <w:t xml:space="preserve"> in s 2 of the PDPO.</w:t>
      </w:r>
    </w:p>
  </w:footnote>
  <w:footnote w:id="371">
    <w:p w:rsidR="009A4F49" w:rsidRPr="00EF713E" w:rsidRDefault="009A4F49" w:rsidP="00C51DE0">
      <w:pPr>
        <w:pStyle w:val="FootnoteText"/>
      </w:pPr>
      <w:r w:rsidRPr="00EF713E">
        <w:rPr>
          <w:rStyle w:val="FootnoteReference"/>
        </w:rPr>
        <w:footnoteRef/>
      </w:r>
      <w:r w:rsidRPr="00EF713E">
        <w:t xml:space="preserve"> </w:t>
      </w:r>
      <w:r w:rsidRPr="00EF713E">
        <w:tab/>
      </w:r>
      <w:r>
        <w:t>"</w:t>
      </w:r>
      <w:r w:rsidRPr="00EF713E">
        <w:rPr>
          <w:i/>
        </w:rPr>
        <w:t>New purpose</w:t>
      </w:r>
      <w:r>
        <w:t>"</w:t>
      </w:r>
      <w:r w:rsidRPr="00EF713E">
        <w:t xml:space="preserve"> in this context means any purpose other than the purpose for which the data was to be used at the time of the collection of the data, or a directly related purpose.</w:t>
      </w:r>
    </w:p>
  </w:footnote>
  <w:footnote w:id="372">
    <w:p w:rsidR="009A4F49" w:rsidRDefault="009A4F49" w:rsidP="008B7A52">
      <w:pPr>
        <w:pStyle w:val="FootnoteText"/>
        <w:spacing w:after="0"/>
      </w:pPr>
      <w:r w:rsidRPr="00EF713E">
        <w:rPr>
          <w:rStyle w:val="FootnoteReference"/>
        </w:rPr>
        <w:footnoteRef/>
      </w:r>
      <w:r w:rsidRPr="00EF713E">
        <w:t xml:space="preserve"> </w:t>
      </w:r>
      <w:r w:rsidRPr="00EF713E">
        <w:tab/>
        <w:t xml:space="preserve">See s 63D of the PDPO as inserted by Personal Data </w:t>
      </w:r>
      <w:r>
        <w:t xml:space="preserve">(Privacy) </w:t>
      </w:r>
      <w:r w:rsidRPr="00EF713E">
        <w:t xml:space="preserve">(Amendment) </w:t>
      </w:r>
      <w:r>
        <w:t>Ordinance</w:t>
      </w:r>
      <w:r w:rsidRPr="00EF713E">
        <w:t xml:space="preserve"> 2012 (Ord No</w:t>
      </w:r>
      <w:r>
        <w:rPr>
          <w:lang w:val="en-US"/>
        </w:rPr>
        <w:t> </w:t>
      </w:r>
      <w:r w:rsidRPr="00EF713E">
        <w:t>18 of 2012, at A2225), available at:</w:t>
      </w:r>
    </w:p>
    <w:p w:rsidR="009A4F49" w:rsidRPr="00101146" w:rsidRDefault="009A4F49" w:rsidP="00C51DE0">
      <w:pPr>
        <w:pStyle w:val="FootnoteText"/>
        <w:rPr>
          <w:szCs w:val="18"/>
        </w:rPr>
      </w:pPr>
      <w:r>
        <w:rPr>
          <w:rFonts w:hint="eastAsia"/>
        </w:rPr>
        <w:tab/>
      </w:r>
      <w:r>
        <w:t>&lt;</w:t>
      </w:r>
      <w:r w:rsidRPr="002727AB">
        <w:t>http://www.gld.gov.hk/egazette/pdf/20121627/es12012162718.pdf</w:t>
      </w:r>
      <w:r>
        <w:t>&gt;</w:t>
      </w:r>
      <w:r w:rsidRPr="009507CE">
        <w:t xml:space="preserve">. </w:t>
      </w:r>
    </w:p>
  </w:footnote>
  <w:footnote w:id="373">
    <w:p w:rsidR="009A4F49" w:rsidRPr="00101146" w:rsidRDefault="009A4F49" w:rsidP="00C51DE0">
      <w:pPr>
        <w:pStyle w:val="FootnoteText"/>
        <w:rPr>
          <w:lang w:val="en-US"/>
        </w:rPr>
      </w:pPr>
      <w:r w:rsidRPr="00B54E84">
        <w:rPr>
          <w:rStyle w:val="FootnoteReference"/>
        </w:rPr>
        <w:footnoteRef/>
      </w:r>
      <w:r w:rsidRPr="00B54E84">
        <w:t xml:space="preserve"> </w:t>
      </w:r>
      <w:r w:rsidRPr="00B54E84">
        <w:rPr>
          <w:lang w:val="en-US"/>
        </w:rPr>
        <w:tab/>
      </w:r>
      <w:r w:rsidRPr="00101146">
        <w:rPr>
          <w:lang w:val="en-US"/>
        </w:rPr>
        <w:t xml:space="preserve">See para </w:t>
      </w:r>
      <w:r w:rsidRPr="00B54E84">
        <w:t>4.6 of the 2007 Civic Exchange Report and para 3.2 of the 2011 Civic Exchange Report.</w:t>
      </w:r>
    </w:p>
  </w:footnote>
  <w:footnote w:id="374">
    <w:p w:rsidR="009A4F49" w:rsidRPr="00EF713E" w:rsidRDefault="009A4F49" w:rsidP="00C51DE0">
      <w:pPr>
        <w:pStyle w:val="FootnoteText"/>
      </w:pPr>
      <w:r w:rsidRPr="00EF713E">
        <w:rPr>
          <w:rStyle w:val="FootnoteReference"/>
        </w:rPr>
        <w:footnoteRef/>
      </w:r>
      <w:r w:rsidRPr="00EF713E">
        <w:t xml:space="preserve"> </w:t>
      </w:r>
      <w:r w:rsidRPr="00EF713E">
        <w:tab/>
      </w:r>
      <w:r>
        <w:t>S</w:t>
      </w:r>
      <w:r w:rsidRPr="00EF713E">
        <w:t xml:space="preserve"> 62 of the PDPO.</w:t>
      </w:r>
    </w:p>
  </w:footnote>
  <w:footnote w:id="375">
    <w:p w:rsidR="009A4F49" w:rsidRDefault="009A4F49" w:rsidP="008B7A52">
      <w:pPr>
        <w:pStyle w:val="FootnoteText"/>
        <w:spacing w:after="0"/>
        <w:rPr>
          <w:lang w:eastAsia="zh-HK"/>
        </w:rPr>
      </w:pPr>
      <w:r w:rsidRPr="00EF713E">
        <w:rPr>
          <w:rStyle w:val="FootnoteReference"/>
        </w:rPr>
        <w:footnoteRef/>
      </w:r>
      <w:r w:rsidRPr="00EF713E">
        <w:t xml:space="preserve"> </w:t>
      </w:r>
      <w:r w:rsidRPr="00EF713E">
        <w:tab/>
      </w:r>
      <w:r>
        <w:rPr>
          <w:rFonts w:hint="eastAsia"/>
          <w:lang w:eastAsia="zh-HK"/>
        </w:rPr>
        <w:t>The Undertaking Form for Access to Archival Records Containing Personal Data is available at the GRS</w:t>
      </w:r>
      <w:r>
        <w:rPr>
          <w:lang w:eastAsia="zh-HK"/>
        </w:rPr>
        <w:t>'</w:t>
      </w:r>
      <w:r>
        <w:rPr>
          <w:rFonts w:hint="eastAsia"/>
          <w:lang w:eastAsia="zh-HK"/>
        </w:rPr>
        <w:t xml:space="preserve"> website:</w:t>
      </w:r>
      <w:r>
        <w:rPr>
          <w:lang w:eastAsia="zh-HK"/>
        </w:rPr>
        <w:t xml:space="preserve"> </w:t>
      </w:r>
    </w:p>
    <w:p w:rsidR="009A4F49" w:rsidRPr="008B7A52" w:rsidRDefault="009A4F49" w:rsidP="008B7A52">
      <w:pPr>
        <w:pStyle w:val="FootnoteText"/>
        <w:spacing w:after="0"/>
        <w:rPr>
          <w:rStyle w:val="Hyperlink"/>
          <w:color w:val="auto"/>
          <w:u w:val="none"/>
          <w:lang w:eastAsia="zh-HK"/>
        </w:rPr>
      </w:pPr>
      <w:r>
        <w:rPr>
          <w:lang w:eastAsia="zh-HK"/>
        </w:rPr>
        <w:tab/>
        <w:t>&lt;</w:t>
      </w:r>
      <w:r w:rsidRPr="002727AB">
        <w:rPr>
          <w:lang w:eastAsia="zh-HK"/>
        </w:rPr>
        <w:t>http://www.grs.gov.hk/pdf/PRO_Undertaking_English_2018.pdf</w:t>
      </w:r>
      <w:r>
        <w:rPr>
          <w:lang w:eastAsia="zh-HK"/>
        </w:rPr>
        <w:t>&gt;</w:t>
      </w:r>
      <w:r w:rsidRPr="00FE4015">
        <w:rPr>
          <w:lang w:eastAsia="zh-HK"/>
        </w:rPr>
        <w:t>.</w:t>
      </w:r>
      <w:r>
        <w:rPr>
          <w:rFonts w:hint="eastAsia"/>
          <w:lang w:eastAsia="zh-HK"/>
        </w:rPr>
        <w:t xml:space="preserve">  Moreover, </w:t>
      </w:r>
      <w:r w:rsidRPr="00EF713E">
        <w:t xml:space="preserve">the Photocopy Request Form and Request Form for Using Personal Photographic Device in Search Room, </w:t>
      </w:r>
      <w:r>
        <w:rPr>
          <w:rFonts w:hint="eastAsia"/>
          <w:lang w:eastAsia="zh-HK"/>
        </w:rPr>
        <w:t>with the relevant parts of declaration</w:t>
      </w:r>
      <w:r w:rsidRPr="00EF713E">
        <w:t xml:space="preserve">, </w:t>
      </w:r>
      <w:r>
        <w:rPr>
          <w:rFonts w:hint="eastAsia"/>
          <w:lang w:eastAsia="zh-HK"/>
        </w:rPr>
        <w:t xml:space="preserve">are </w:t>
      </w:r>
      <w:r w:rsidRPr="00EF713E">
        <w:t>available at the GRS</w:t>
      </w:r>
      <w:r>
        <w:t>'</w:t>
      </w:r>
      <w:r w:rsidRPr="00EF713E">
        <w:t xml:space="preserve"> website:</w:t>
      </w:r>
      <w:r>
        <w:t xml:space="preserve"> &lt;</w:t>
      </w:r>
      <w:r w:rsidRPr="002727AB">
        <w:t>http://www.grs.gov.hk/pdf/photocopy.pdf</w:t>
      </w:r>
      <w:r>
        <w:t>&gt;</w:t>
      </w:r>
      <w:r w:rsidRPr="00C928F1">
        <w:rPr>
          <w:rStyle w:val="Hyperlink"/>
          <w:rFonts w:hint="eastAsia"/>
          <w:lang w:eastAsia="zh-HK"/>
        </w:rPr>
        <w:t xml:space="preserve"> </w:t>
      </w:r>
      <w:r w:rsidRPr="008B7A52">
        <w:rPr>
          <w:rStyle w:val="Hyperlink"/>
          <w:color w:val="auto"/>
          <w:u w:val="none"/>
          <w:lang w:eastAsia="zh-HK"/>
        </w:rPr>
        <w:t>and</w:t>
      </w:r>
      <w:r w:rsidRPr="008B7A52">
        <w:rPr>
          <w:rStyle w:val="Hyperlink"/>
          <w:rFonts w:hint="eastAsia"/>
          <w:color w:val="auto"/>
          <w:u w:val="none"/>
          <w:lang w:eastAsia="zh-HK"/>
        </w:rPr>
        <w:t xml:space="preserve"> </w:t>
      </w:r>
    </w:p>
    <w:p w:rsidR="009A4F49" w:rsidRPr="008B7A52" w:rsidRDefault="009A4F49" w:rsidP="00C51DE0">
      <w:pPr>
        <w:pStyle w:val="FootnoteText"/>
        <w:rPr>
          <w:lang w:eastAsia="zh-HK"/>
        </w:rPr>
      </w:pPr>
      <w:r>
        <w:rPr>
          <w:rStyle w:val="Hyperlink"/>
          <w:color w:val="auto"/>
          <w:u w:val="none"/>
          <w:lang w:eastAsia="zh-HK"/>
        </w:rPr>
        <w:tab/>
      </w:r>
      <w:r w:rsidRPr="008B7A52">
        <w:rPr>
          <w:rStyle w:val="Hyperlink"/>
          <w:color w:val="auto"/>
          <w:u w:val="none"/>
          <w:lang w:eastAsia="zh-HK"/>
        </w:rPr>
        <w:t>&lt;</w:t>
      </w:r>
      <w:r w:rsidRPr="002727AB">
        <w:rPr>
          <w:lang w:eastAsia="zh-HK"/>
        </w:rPr>
        <w:t>http://www.grs.gov.hk/pdf/photodev_app.pdf</w:t>
      </w:r>
      <w:r>
        <w:rPr>
          <w:lang w:eastAsia="zh-HK"/>
        </w:rPr>
        <w:t>&gt;</w:t>
      </w:r>
      <w:r w:rsidRPr="008B7A52">
        <w:rPr>
          <w:rStyle w:val="Hyperlink"/>
          <w:color w:val="auto"/>
          <w:u w:val="none"/>
          <w:lang w:eastAsia="zh-HK"/>
        </w:rPr>
        <w:t xml:space="preserve"> respectively</w:t>
      </w:r>
      <w:r w:rsidRPr="008B7A52">
        <w:t>.</w:t>
      </w:r>
      <w:r w:rsidRPr="008B7A52">
        <w:rPr>
          <w:rFonts w:hint="eastAsia"/>
          <w:lang w:eastAsia="zh-HK"/>
        </w:rPr>
        <w:t xml:space="preserve"> </w:t>
      </w:r>
    </w:p>
  </w:footnote>
  <w:footnote w:id="376">
    <w:p w:rsidR="009A4F49" w:rsidRDefault="009A4F49" w:rsidP="008B7A52">
      <w:pPr>
        <w:pStyle w:val="FootnoteText"/>
        <w:spacing w:after="0"/>
      </w:pPr>
      <w:r w:rsidRPr="00EF713E">
        <w:rPr>
          <w:rStyle w:val="FootnoteReference"/>
        </w:rPr>
        <w:footnoteRef/>
      </w:r>
      <w:r w:rsidRPr="00EF713E">
        <w:t xml:space="preserve"> </w:t>
      </w:r>
      <w:r w:rsidRPr="00EF713E">
        <w:tab/>
        <w:t>The APPs are set out in Schedule 1 to the Privacy Act</w:t>
      </w:r>
      <w:r>
        <w:t xml:space="preserve"> 1988</w:t>
      </w:r>
      <w:r w:rsidRPr="00EF713E">
        <w:t xml:space="preserve">.  The Office of the Australian Information Commissioner has also issued guidelines giving detailed advice on the application of the APPs </w:t>
      </w:r>
      <w:r>
        <w:t xml:space="preserve">which are </w:t>
      </w:r>
      <w:r w:rsidRPr="00EF713E">
        <w:t xml:space="preserve">available at: </w:t>
      </w:r>
    </w:p>
    <w:p w:rsidR="009A4F49" w:rsidRPr="00101146" w:rsidRDefault="009A4F49" w:rsidP="008B7A52">
      <w:pPr>
        <w:pStyle w:val="FootnoteText"/>
        <w:spacing w:after="0"/>
        <w:rPr>
          <w:szCs w:val="18"/>
        </w:rPr>
      </w:pPr>
      <w:r>
        <w:tab/>
        <w:t>&lt;</w:t>
      </w:r>
      <w:r w:rsidRPr="002727AB">
        <w:t>https://www.oaic.gov.au/agencies-and-organisations/app-guidelines/</w:t>
      </w:r>
      <w:r>
        <w:t>&gt;</w:t>
      </w:r>
      <w:r w:rsidRPr="009507CE">
        <w:t>.</w:t>
      </w:r>
    </w:p>
  </w:footnote>
  <w:footnote w:id="377">
    <w:p w:rsidR="009A4F49" w:rsidRPr="00EF713E" w:rsidRDefault="009A4F49" w:rsidP="001D224E">
      <w:pPr>
        <w:pStyle w:val="FootnoteText"/>
        <w:spacing w:after="60"/>
      </w:pPr>
      <w:r w:rsidRPr="00EF713E">
        <w:rPr>
          <w:rStyle w:val="FootnoteReference"/>
        </w:rPr>
        <w:footnoteRef/>
      </w:r>
      <w:r w:rsidRPr="00EF713E">
        <w:t xml:space="preserve"> </w:t>
      </w:r>
      <w:r w:rsidRPr="00EF713E">
        <w:tab/>
        <w:t xml:space="preserve">See NAA guidance on </w:t>
      </w:r>
      <w:r>
        <w:t>"</w:t>
      </w:r>
      <w:r w:rsidRPr="00EF713E">
        <w:rPr>
          <w:i/>
        </w:rPr>
        <w:t>Australian Privacy Principles and Commonwealth records</w:t>
      </w:r>
      <w:r>
        <w:t>"</w:t>
      </w:r>
      <w:r w:rsidRPr="00EF713E">
        <w:t xml:space="preserve"> at: </w:t>
      </w:r>
      <w:r>
        <w:t>&lt;</w:t>
      </w:r>
      <w:r w:rsidRPr="00A41D95">
        <w:t>http://naa.gov.au/information-management/information-governance/legislation-standards/records-privacy/index.aspx</w:t>
      </w:r>
      <w:r>
        <w:t>&gt;</w:t>
      </w:r>
      <w:r w:rsidRPr="00EF713E">
        <w:t xml:space="preserve">. </w:t>
      </w:r>
    </w:p>
  </w:footnote>
  <w:footnote w:id="378">
    <w:p w:rsidR="009A4F49" w:rsidRPr="00EF713E" w:rsidRDefault="009A4F49" w:rsidP="001D224E">
      <w:pPr>
        <w:pStyle w:val="FootnoteText"/>
        <w:spacing w:after="60"/>
      </w:pPr>
      <w:r w:rsidRPr="00EF713E">
        <w:rPr>
          <w:rStyle w:val="FootnoteReference"/>
        </w:rPr>
        <w:footnoteRef/>
      </w:r>
      <w:r w:rsidRPr="00EF713E">
        <w:tab/>
        <w:t xml:space="preserve">APP4.3 and APP11.2 ensure that the requirement for agencies to retain such Commonwealth records under s 24 of the 1983 Act will override the destruction and de-identification requirements under the APPs.  </w:t>
      </w:r>
    </w:p>
  </w:footnote>
  <w:footnote w:id="379">
    <w:p w:rsidR="009A4F49" w:rsidRPr="00EF713E" w:rsidRDefault="009A4F49" w:rsidP="001D224E">
      <w:pPr>
        <w:pStyle w:val="FootnoteText"/>
        <w:spacing w:after="60"/>
      </w:pPr>
      <w:r w:rsidRPr="00EF713E">
        <w:rPr>
          <w:rStyle w:val="FootnoteReference"/>
        </w:rPr>
        <w:footnoteRef/>
      </w:r>
      <w:r w:rsidRPr="00EF713E">
        <w:t xml:space="preserve"> </w:t>
      </w:r>
      <w:r w:rsidRPr="00EF713E">
        <w:tab/>
      </w:r>
      <w:r>
        <w:t>S</w:t>
      </w:r>
      <w:r w:rsidRPr="00EF713E">
        <w:t xml:space="preserve"> 6A(3) of the Privacy Act</w:t>
      </w:r>
      <w:r>
        <w:t xml:space="preserve"> 1988</w:t>
      </w:r>
      <w:r w:rsidRPr="00EF713E">
        <w:t xml:space="preserve">. </w:t>
      </w:r>
    </w:p>
  </w:footnote>
  <w:footnote w:id="380">
    <w:p w:rsidR="009A4F49" w:rsidRPr="00101146" w:rsidRDefault="009A4F49" w:rsidP="00C51DE0">
      <w:pPr>
        <w:pStyle w:val="FootnoteText"/>
      </w:pPr>
      <w:r>
        <w:rPr>
          <w:rStyle w:val="FootnoteReference"/>
        </w:rPr>
        <w:footnoteRef/>
      </w:r>
      <w:r>
        <w:t xml:space="preserve"> </w:t>
      </w:r>
      <w:r>
        <w:tab/>
        <w:t>The term "agency" includes a "Minister" and a "Department" (s 6 of the Privacy Act 1988).  The term "</w:t>
      </w:r>
      <w:r w:rsidRPr="000D397E">
        <w:t>organisation</w:t>
      </w:r>
      <w:r>
        <w:t>" includes</w:t>
      </w:r>
      <w:r w:rsidRPr="000D397E">
        <w:t xml:space="preserve"> an individual</w:t>
      </w:r>
      <w:r>
        <w:t>,</w:t>
      </w:r>
      <w:r w:rsidRPr="000D397E">
        <w:t xml:space="preserve"> a body corporate</w:t>
      </w:r>
      <w:r>
        <w:t xml:space="preserve">, a partnership, </w:t>
      </w:r>
      <w:r w:rsidRPr="000D397E">
        <w:t>a trust</w:t>
      </w:r>
      <w:r>
        <w:t>, etc (s 6C of the Privacy Act 1988).</w:t>
      </w:r>
    </w:p>
  </w:footnote>
  <w:footnote w:id="381">
    <w:p w:rsidR="009A4F49" w:rsidRDefault="009A4F49" w:rsidP="001D224E">
      <w:pPr>
        <w:pStyle w:val="FootnoteText"/>
        <w:spacing w:after="0"/>
      </w:pPr>
      <w:r>
        <w:rPr>
          <w:rStyle w:val="FootnoteReference"/>
        </w:rPr>
        <w:footnoteRef/>
      </w:r>
      <w:r>
        <w:t xml:space="preserve"> </w:t>
      </w:r>
      <w:r>
        <w:tab/>
        <w:t>P</w:t>
      </w:r>
      <w:r w:rsidRPr="00101146">
        <w:t>ara 12.32 of the Australia</w:t>
      </w:r>
      <w:r>
        <w:t>n</w:t>
      </w:r>
      <w:r w:rsidRPr="00101146">
        <w:t xml:space="preserve"> Privacy Principles Guidelines available at:</w:t>
      </w:r>
    </w:p>
    <w:p w:rsidR="009A4F49" w:rsidRPr="009507CE" w:rsidRDefault="009A4F49" w:rsidP="00C51DE0">
      <w:pPr>
        <w:pStyle w:val="FootnoteText"/>
        <w:rPr>
          <w:lang w:val="en-US"/>
        </w:rPr>
      </w:pPr>
      <w:r>
        <w:rPr>
          <w:rFonts w:hint="eastAsia"/>
        </w:rPr>
        <w:tab/>
      </w:r>
      <w:r>
        <w:t>&lt;</w:t>
      </w:r>
      <w:r w:rsidRPr="00A41D95">
        <w:t>https://www.oaic.gov.au/agencies-and-organisations/app-guidelines/chapter-12-app-12-access-to-personal-information</w:t>
      </w:r>
      <w:r>
        <w:t>&gt;</w:t>
      </w:r>
      <w:r w:rsidRPr="009507CE">
        <w:t>.</w:t>
      </w:r>
    </w:p>
  </w:footnote>
  <w:footnote w:id="382">
    <w:p w:rsidR="009A4F49" w:rsidRPr="00F233DF" w:rsidRDefault="009A4F49" w:rsidP="00C51DE0">
      <w:pPr>
        <w:pStyle w:val="FootnoteText"/>
      </w:pPr>
      <w:r w:rsidRPr="00F233DF">
        <w:rPr>
          <w:rStyle w:val="FootnoteReference"/>
        </w:rPr>
        <w:footnoteRef/>
      </w:r>
      <w:r w:rsidRPr="00F233DF">
        <w:t xml:space="preserve"> </w:t>
      </w:r>
      <w:r w:rsidRPr="00F233DF">
        <w:tab/>
        <w:t xml:space="preserve">As a </w:t>
      </w:r>
      <w:r w:rsidRPr="00F233DF">
        <w:rPr>
          <w:i/>
        </w:rPr>
        <w:t>regulation</w:t>
      </w:r>
      <w:r w:rsidRPr="00F233DF">
        <w:t xml:space="preserve">, the GDPR is directly applicable in all Member States of the European Union: Article 288 of the Treaty on the Functioning of the European Union. </w:t>
      </w:r>
    </w:p>
  </w:footnote>
  <w:footnote w:id="383">
    <w:p w:rsidR="009A4F49" w:rsidRPr="00F233DF" w:rsidRDefault="009A4F49" w:rsidP="00C51DE0">
      <w:pPr>
        <w:pStyle w:val="FootnoteText"/>
      </w:pPr>
      <w:r w:rsidRPr="00F233DF">
        <w:rPr>
          <w:rStyle w:val="FootnoteReference"/>
        </w:rPr>
        <w:footnoteRef/>
      </w:r>
      <w:r w:rsidRPr="00F233DF">
        <w:t xml:space="preserve"> </w:t>
      </w:r>
      <w:r w:rsidRPr="00F233DF">
        <w:tab/>
        <w:t>“Personal data shall be … processed lawfully, fairly and in a transparent manner in relation to the data subject” – Article 5(1)(a).</w:t>
      </w:r>
    </w:p>
  </w:footnote>
  <w:footnote w:id="384">
    <w:p w:rsidR="009A4F49" w:rsidRPr="00F233DF" w:rsidRDefault="009A4F49" w:rsidP="00C51DE0">
      <w:pPr>
        <w:pStyle w:val="FootnoteText"/>
      </w:pPr>
      <w:r w:rsidRPr="00F233DF">
        <w:rPr>
          <w:rStyle w:val="FootnoteReference"/>
        </w:rPr>
        <w:footnoteRef/>
      </w:r>
      <w:r w:rsidRPr="00F233DF">
        <w:t xml:space="preserve"> </w:t>
      </w:r>
      <w:r w:rsidRPr="00F233DF">
        <w:tab/>
        <w:t>“Personal data shall be … collected for specified, explicit and legitimate purposes and not further processed in a manner that is incompatible with those purposes …” – Article 5(1)(b).</w:t>
      </w:r>
    </w:p>
  </w:footnote>
  <w:footnote w:id="385">
    <w:p w:rsidR="009A4F49" w:rsidRPr="00F233DF" w:rsidRDefault="009A4F49" w:rsidP="00C51DE0">
      <w:pPr>
        <w:pStyle w:val="FootnoteText"/>
      </w:pPr>
      <w:r w:rsidRPr="00F233DF">
        <w:rPr>
          <w:rStyle w:val="FootnoteReference"/>
        </w:rPr>
        <w:footnoteRef/>
      </w:r>
      <w:r w:rsidRPr="00F233DF">
        <w:t xml:space="preserve"> </w:t>
      </w:r>
      <w:r w:rsidRPr="00F233DF">
        <w:tab/>
        <w:t>“Personal data shall be … adequate, relevant and limited to what is necessary in relation to the purposes for which they are processed” – Article 5(1)(c).</w:t>
      </w:r>
    </w:p>
  </w:footnote>
  <w:footnote w:id="386">
    <w:p w:rsidR="009A4F49" w:rsidRPr="00F233DF" w:rsidRDefault="009A4F49" w:rsidP="00C51DE0">
      <w:pPr>
        <w:pStyle w:val="FootnoteText"/>
      </w:pPr>
      <w:r w:rsidRPr="00F233DF">
        <w:rPr>
          <w:rStyle w:val="FootnoteReference"/>
        </w:rPr>
        <w:footnoteRef/>
      </w:r>
      <w:r w:rsidRPr="00F233DF">
        <w:t xml:space="preserve"> </w:t>
      </w:r>
      <w:r w:rsidRPr="00F233DF">
        <w:tab/>
        <w:t>“Personal data shall be … accurate and, where necessary, kept up to date …” – Article 5(1)(d).</w:t>
      </w:r>
    </w:p>
  </w:footnote>
  <w:footnote w:id="387">
    <w:p w:rsidR="009A4F49" w:rsidRPr="00F233DF" w:rsidRDefault="009A4F49" w:rsidP="00C51DE0">
      <w:pPr>
        <w:pStyle w:val="FootnoteText"/>
      </w:pPr>
      <w:r w:rsidRPr="00F233DF">
        <w:rPr>
          <w:rStyle w:val="FootnoteReference"/>
        </w:rPr>
        <w:footnoteRef/>
      </w:r>
      <w:r w:rsidRPr="00F233DF">
        <w:t xml:space="preserve"> </w:t>
      </w:r>
      <w:r w:rsidRPr="00F233DF">
        <w:tab/>
        <w:t>“Personal data shall be … kept in a form which permits identification of data subjects for no longer than is necessary for the purposes for which the personal data are processed …” – Article 5(1)(e).</w:t>
      </w:r>
    </w:p>
  </w:footnote>
  <w:footnote w:id="388">
    <w:p w:rsidR="009A4F49" w:rsidRPr="00F233DF" w:rsidRDefault="009A4F49" w:rsidP="00C51DE0">
      <w:pPr>
        <w:pStyle w:val="FootnoteText"/>
      </w:pPr>
      <w:r w:rsidRPr="00F233DF">
        <w:rPr>
          <w:rStyle w:val="FootnoteReference"/>
        </w:rPr>
        <w:footnoteRef/>
      </w:r>
      <w:r w:rsidRPr="00F233DF">
        <w:t xml:space="preserve"> </w:t>
      </w:r>
      <w:r w:rsidRPr="00F233DF">
        <w:tab/>
        <w:t>“Personal data shall be … processed in a manner that ensures appropriate security of the personal data …” – Article 5(1)(f).</w:t>
      </w:r>
    </w:p>
  </w:footnote>
  <w:footnote w:id="389">
    <w:p w:rsidR="009A4F49" w:rsidRPr="00F233DF" w:rsidRDefault="009A4F49" w:rsidP="00C51DE0">
      <w:pPr>
        <w:pStyle w:val="FootnoteText"/>
      </w:pPr>
      <w:r w:rsidRPr="00F233DF">
        <w:rPr>
          <w:rStyle w:val="FootnoteReference"/>
        </w:rPr>
        <w:footnoteRef/>
      </w:r>
      <w:r w:rsidRPr="00F233DF">
        <w:t xml:space="preserve"> </w:t>
      </w:r>
      <w:r w:rsidRPr="00F233DF">
        <w:tab/>
        <w:t>Article 5(2).</w:t>
      </w:r>
    </w:p>
  </w:footnote>
  <w:footnote w:id="390">
    <w:p w:rsidR="009A4F49" w:rsidRPr="000B7326" w:rsidRDefault="009A4F49" w:rsidP="001D224E">
      <w:pPr>
        <w:pStyle w:val="FootnoteText"/>
        <w:spacing w:after="0"/>
      </w:pPr>
      <w:r w:rsidRPr="00F233DF">
        <w:rPr>
          <w:rStyle w:val="FootnoteReference"/>
        </w:rPr>
        <w:footnoteRef/>
      </w:r>
      <w:r w:rsidRPr="00F233DF">
        <w:t xml:space="preserve">  </w:t>
      </w:r>
      <w:r w:rsidRPr="00F233DF">
        <w:tab/>
        <w:t xml:space="preserve">See: </w:t>
      </w:r>
      <w:r w:rsidRPr="000B7326">
        <w:t xml:space="preserve">&lt;https://ec.europa.eu/commission/priorities/justice-and-fundamental-rights/data-protection/2018-reform-eu-data-protection-rules_en&gt; and </w:t>
      </w:r>
    </w:p>
    <w:p w:rsidR="009A4F49" w:rsidRPr="00CE5987" w:rsidRDefault="009A4F49" w:rsidP="00C51DE0">
      <w:pPr>
        <w:pStyle w:val="FootnoteText"/>
      </w:pPr>
      <w:r w:rsidRPr="000B7326">
        <w:tab/>
        <w:t>&lt;https://ec.europa.eu/commission/sites/beta-political/files/data-protection-factsheet-</w:t>
      </w:r>
      <w:r>
        <w:t>‌</w:t>
      </w:r>
      <w:r w:rsidRPr="000B7326">
        <w:t xml:space="preserve">changes_en.pdf&gt;. </w:t>
      </w:r>
    </w:p>
  </w:footnote>
  <w:footnote w:id="391">
    <w:p w:rsidR="009A4F49" w:rsidRPr="00F233DF" w:rsidRDefault="009A4F49" w:rsidP="00C51DE0">
      <w:pPr>
        <w:pStyle w:val="FootnoteText"/>
      </w:pPr>
      <w:r w:rsidRPr="00F233DF">
        <w:rPr>
          <w:rStyle w:val="FootnoteReference"/>
        </w:rPr>
        <w:footnoteRef/>
      </w:r>
      <w:r w:rsidRPr="00F233DF">
        <w:t xml:space="preserve"> </w:t>
      </w:r>
      <w:r w:rsidRPr="00F233DF">
        <w:tab/>
        <w:t>Article 5(1)(b).</w:t>
      </w:r>
    </w:p>
  </w:footnote>
  <w:footnote w:id="392">
    <w:p w:rsidR="009A4F49" w:rsidRPr="00F233DF" w:rsidRDefault="009A4F49" w:rsidP="00C51DE0">
      <w:pPr>
        <w:pStyle w:val="FootnoteText"/>
      </w:pPr>
      <w:r w:rsidRPr="00F233DF">
        <w:rPr>
          <w:rStyle w:val="FootnoteReference"/>
        </w:rPr>
        <w:footnoteRef/>
      </w:r>
      <w:r w:rsidRPr="00F233DF">
        <w:t xml:space="preserve"> </w:t>
      </w:r>
      <w:r w:rsidRPr="00F233DF">
        <w:tab/>
        <w:t>Article 5(1)(e).</w:t>
      </w:r>
    </w:p>
  </w:footnote>
  <w:footnote w:id="393">
    <w:p w:rsidR="009A4F49" w:rsidRPr="00F233DF" w:rsidRDefault="009A4F49" w:rsidP="00C51DE0">
      <w:pPr>
        <w:pStyle w:val="FootnoteText"/>
      </w:pPr>
      <w:r w:rsidRPr="00F233DF">
        <w:rPr>
          <w:rStyle w:val="FootnoteReference"/>
        </w:rPr>
        <w:footnoteRef/>
      </w:r>
      <w:r w:rsidRPr="00F233DF">
        <w:t xml:space="preserve">  </w:t>
      </w:r>
      <w:r w:rsidRPr="00F233DF">
        <w:tab/>
        <w:t>These Articles respectively concern: Article 15 (right of access by the data subject); Article 16 (right to rectification); Article 18 (right to restriction of processing); Article 19 (notification obligation regarding rectification or erasure of personal data or restriction of processing); Article 20 (right to data portability); and Article 21 (right to object to processing).</w:t>
      </w:r>
    </w:p>
  </w:footnote>
  <w:footnote w:id="394">
    <w:p w:rsidR="009A4F49" w:rsidRPr="00F233DF" w:rsidRDefault="009A4F49" w:rsidP="00C51DE0">
      <w:pPr>
        <w:pStyle w:val="FootnoteText"/>
      </w:pPr>
      <w:r w:rsidRPr="00F233DF">
        <w:rPr>
          <w:rStyle w:val="FootnoteReference"/>
        </w:rPr>
        <w:footnoteRef/>
      </w:r>
      <w:r w:rsidRPr="00F233DF">
        <w:t xml:space="preserve"> </w:t>
      </w:r>
      <w:r w:rsidRPr="00F233DF">
        <w:tab/>
        <w:t>In England, paragraph 28 of Part 6 of Schedule 2 in the Data Protection Act 2018 provides for derogations from rights in Articles 15, 16, 18, 19, 20 and 21 for archiving purposes in the public interest (“to the extent that the application of those provisions would prevent or seriously impair the achievement of those purposes”).</w:t>
      </w:r>
    </w:p>
  </w:footnote>
  <w:footnote w:id="395">
    <w:p w:rsidR="009A4F49" w:rsidRDefault="009A4F49" w:rsidP="002975D2">
      <w:pPr>
        <w:pStyle w:val="FootnoteText"/>
        <w:spacing w:after="0"/>
      </w:pPr>
      <w:r w:rsidRPr="00F233DF">
        <w:rPr>
          <w:rStyle w:val="FootnoteReference"/>
        </w:rPr>
        <w:footnoteRef/>
      </w:r>
      <w:r w:rsidRPr="00F233DF">
        <w:t xml:space="preserve"> </w:t>
      </w:r>
      <w:r>
        <w:tab/>
      </w:r>
      <w:r w:rsidRPr="00F233DF">
        <w:t>The Information Commissioner advises that it is importa</w:t>
      </w:r>
      <w:r>
        <w:t>nt to read the GDPR and the Data</w:t>
      </w:r>
      <w:r w:rsidRPr="00F233DF">
        <w:t xml:space="preserve"> Protection Act 2018 side by side: </w:t>
      </w:r>
    </w:p>
    <w:p w:rsidR="009A4F49" w:rsidRPr="00F233DF" w:rsidRDefault="009A4F49" w:rsidP="00C51DE0">
      <w:pPr>
        <w:pStyle w:val="FootnoteText"/>
      </w:pPr>
      <w:r>
        <w:tab/>
        <w:t>&lt;</w:t>
      </w:r>
      <w:r w:rsidRPr="000B7326">
        <w:t>https://ico.org.uk/for-organisations/data-protection-act-2018/</w:t>
      </w:r>
      <w:r>
        <w:t>&gt;</w:t>
      </w:r>
      <w:r w:rsidRPr="00F233DF">
        <w:t xml:space="preserve">. </w:t>
      </w:r>
    </w:p>
  </w:footnote>
  <w:footnote w:id="396">
    <w:p w:rsidR="009A4F49" w:rsidRPr="00F233DF" w:rsidRDefault="009A4F49" w:rsidP="00C51DE0">
      <w:pPr>
        <w:pStyle w:val="FootnoteText"/>
      </w:pPr>
      <w:r w:rsidRPr="00F233DF">
        <w:rPr>
          <w:rStyle w:val="FootnoteReference"/>
        </w:rPr>
        <w:footnoteRef/>
      </w:r>
      <w:r w:rsidRPr="00F233DF">
        <w:t xml:space="preserve">  </w:t>
      </w:r>
      <w:r w:rsidRPr="00F233DF">
        <w:tab/>
        <w:t>See: Data Protection Act 2018 (Commencement No 1 and Transitional and Saving Provisions) Regulations 2018.</w:t>
      </w:r>
    </w:p>
  </w:footnote>
  <w:footnote w:id="397">
    <w:p w:rsidR="009A4F49" w:rsidRPr="00F233DF" w:rsidRDefault="009A4F49" w:rsidP="00C51DE0">
      <w:pPr>
        <w:pStyle w:val="FootnoteText"/>
      </w:pPr>
      <w:r w:rsidRPr="00F233DF">
        <w:rPr>
          <w:rStyle w:val="FootnoteReference"/>
        </w:rPr>
        <w:footnoteRef/>
      </w:r>
      <w:r w:rsidRPr="00F233DF">
        <w:t xml:space="preserve"> </w:t>
      </w:r>
      <w:r w:rsidRPr="00F233DF">
        <w:tab/>
        <w:t>T</w:t>
      </w:r>
      <w:r>
        <w:t>NA</w:t>
      </w:r>
      <w:r w:rsidRPr="00F233DF">
        <w:t xml:space="preserve">, </w:t>
      </w:r>
      <w:r w:rsidRPr="00F233DF">
        <w:rPr>
          <w:i/>
        </w:rPr>
        <w:t>Guide to Archiving Personal Data</w:t>
      </w:r>
      <w:r w:rsidRPr="00F233DF">
        <w:t xml:space="preserve"> (2018), at para 1.  </w:t>
      </w:r>
      <w:r>
        <w:t>&lt;</w:t>
      </w:r>
      <w:r w:rsidRPr="002444D8">
        <w:t>http://www.nationalarchives.gov.uk/documents/information-management/guide-to-archiving-personal-data.pdf</w:t>
      </w:r>
      <w:r>
        <w:t>&gt;.</w:t>
      </w:r>
    </w:p>
  </w:footnote>
  <w:footnote w:id="398">
    <w:p w:rsidR="009A4F49" w:rsidRPr="00F233DF" w:rsidRDefault="009A4F49" w:rsidP="00C51DE0">
      <w:pPr>
        <w:pStyle w:val="FootnoteText"/>
      </w:pPr>
      <w:r w:rsidRPr="00F233DF">
        <w:rPr>
          <w:rStyle w:val="FootnoteReference"/>
        </w:rPr>
        <w:footnoteRef/>
      </w:r>
      <w:r w:rsidRPr="00F233DF">
        <w:t xml:space="preserve"> </w:t>
      </w:r>
      <w:r w:rsidRPr="00F233DF">
        <w:tab/>
        <w:t>T</w:t>
      </w:r>
      <w:r>
        <w:t>NA</w:t>
      </w:r>
      <w:r w:rsidRPr="00F233DF">
        <w:t>, Guide to Archiving Personal Data (2018), at para 16.</w:t>
      </w:r>
    </w:p>
  </w:footnote>
  <w:footnote w:id="399">
    <w:p w:rsidR="009A4F49" w:rsidRPr="00F233DF" w:rsidRDefault="009A4F49" w:rsidP="00C51DE0">
      <w:pPr>
        <w:pStyle w:val="FootnoteText"/>
      </w:pPr>
      <w:r w:rsidRPr="00F233DF">
        <w:rPr>
          <w:rStyle w:val="FootnoteReference"/>
        </w:rPr>
        <w:footnoteRef/>
      </w:r>
      <w:r w:rsidRPr="00F233DF">
        <w:t xml:space="preserve">  </w:t>
      </w:r>
      <w:r w:rsidRPr="00F233DF">
        <w:tab/>
        <w:t xml:space="preserve">As distinct from law enforcement processing and intelligence services processing, governed separately under Parts 3 and 4 of the Data Protection Act 2018. </w:t>
      </w:r>
    </w:p>
  </w:footnote>
  <w:footnote w:id="400">
    <w:p w:rsidR="009A4F49" w:rsidRPr="00F233DF" w:rsidRDefault="009A4F49" w:rsidP="00C51DE0">
      <w:pPr>
        <w:pStyle w:val="FootnoteText"/>
      </w:pPr>
      <w:r w:rsidRPr="00F233DF">
        <w:rPr>
          <w:rStyle w:val="FootnoteReference"/>
        </w:rPr>
        <w:footnoteRef/>
      </w:r>
      <w:r>
        <w:t xml:space="preserve"> </w:t>
      </w:r>
      <w:r>
        <w:tab/>
      </w:r>
      <w:r w:rsidRPr="00F233DF">
        <w:t>T</w:t>
      </w:r>
      <w:r>
        <w:t>NA</w:t>
      </w:r>
      <w:r w:rsidRPr="00F233DF">
        <w:t>, Guide to Archiving Personal Data (2018), at para 72.</w:t>
      </w:r>
    </w:p>
  </w:footnote>
  <w:footnote w:id="401">
    <w:p w:rsidR="009A4F49" w:rsidRPr="00F233DF" w:rsidRDefault="009A4F49" w:rsidP="00C51DE0">
      <w:pPr>
        <w:pStyle w:val="FootnoteText"/>
      </w:pPr>
      <w:r w:rsidRPr="00F233DF">
        <w:rPr>
          <w:rStyle w:val="FootnoteReference"/>
        </w:rPr>
        <w:footnoteRef/>
      </w:r>
      <w:r w:rsidRPr="00F233DF">
        <w:t xml:space="preserve">  </w:t>
      </w:r>
      <w:r>
        <w:tab/>
      </w:r>
      <w:r w:rsidRPr="00F233DF">
        <w:t>See: Data Protection Act 2018 (Commencement) Order 2018.</w:t>
      </w:r>
    </w:p>
  </w:footnote>
  <w:footnote w:id="402">
    <w:p w:rsidR="009A4F49" w:rsidRPr="0016608E" w:rsidRDefault="009A4F49" w:rsidP="00C51DE0">
      <w:pPr>
        <w:pStyle w:val="FootnoteText"/>
      </w:pPr>
      <w:r w:rsidRPr="0016608E">
        <w:rPr>
          <w:rStyle w:val="FootnoteReference"/>
        </w:rPr>
        <w:footnoteRef/>
      </w:r>
      <w:r w:rsidRPr="0016608E">
        <w:t xml:space="preserve"> </w:t>
      </w:r>
      <w:r w:rsidRPr="0016608E">
        <w:tab/>
      </w:r>
      <w:r>
        <w:t>Privacy</w:t>
      </w:r>
      <w:r w:rsidRPr="0016608E">
        <w:t xml:space="preserve"> Act 1993 No 28.</w:t>
      </w:r>
    </w:p>
  </w:footnote>
  <w:footnote w:id="403">
    <w:p w:rsidR="009A4F49" w:rsidRPr="0016608E" w:rsidRDefault="009A4F49" w:rsidP="00C51DE0">
      <w:pPr>
        <w:pStyle w:val="FootnoteText"/>
      </w:pPr>
      <w:r w:rsidRPr="0016608E">
        <w:rPr>
          <w:rStyle w:val="FootnoteReference"/>
        </w:rPr>
        <w:footnoteRef/>
      </w:r>
      <w:r w:rsidRPr="0016608E">
        <w:t xml:space="preserve"> </w:t>
      </w:r>
      <w:r w:rsidRPr="0016608E">
        <w:tab/>
        <w:t xml:space="preserve">The 12 Information Privacy Principles are: Principle 1 on Purpose of collection of personal information; Principle 2 on Source of personal information; Principle 3 on Collection of information from subject; Principle 4 on Manner of collection of personal information; Principle 5 on Storage and security of personal information; Principle 6 on Access to personal information; Principle 7 on Correction of personal information; Principle 8 on Accuracy, etc, of personal information to be checked before use; Principle 9 on Agency not to keep personal information for longer than necessary; Principle 10 on Limits on use of personal information; Principle 11 on Limits on disclosure of personal information; and Principle 12 on Unique identifiers. </w:t>
      </w:r>
    </w:p>
  </w:footnote>
  <w:footnote w:id="404">
    <w:p w:rsidR="009A4F49" w:rsidRPr="003533AC" w:rsidRDefault="009A4F49" w:rsidP="00C51DE0">
      <w:pPr>
        <w:pStyle w:val="FootnoteText"/>
        <w:rPr>
          <w:lang w:val="en-US"/>
        </w:rPr>
      </w:pPr>
      <w:r w:rsidRPr="0016608E">
        <w:rPr>
          <w:rStyle w:val="FootnoteReference"/>
        </w:rPr>
        <w:footnoteRef/>
      </w:r>
      <w:r w:rsidRPr="0016608E">
        <w:t xml:space="preserve"> </w:t>
      </w:r>
      <w:r w:rsidRPr="0016608E">
        <w:rPr>
          <w:lang w:val="en-US"/>
        </w:rPr>
        <w:tab/>
      </w:r>
      <w:r>
        <w:rPr>
          <w:lang w:val="en-US"/>
        </w:rPr>
        <w:t xml:space="preserve">S </w:t>
      </w:r>
      <w:r w:rsidRPr="0016608E">
        <w:rPr>
          <w:lang w:val="en-US"/>
        </w:rPr>
        <w:t>7(1) of the Privacy Act 1993.</w:t>
      </w:r>
    </w:p>
  </w:footnote>
  <w:footnote w:id="405">
    <w:p w:rsidR="009A4F49" w:rsidRPr="003533AC" w:rsidRDefault="009A4F49" w:rsidP="00C51DE0">
      <w:pPr>
        <w:pStyle w:val="FootnoteText"/>
        <w:rPr>
          <w:lang w:val="en-US"/>
        </w:rPr>
      </w:pPr>
      <w:r w:rsidRPr="0016608E">
        <w:rPr>
          <w:rStyle w:val="FootnoteReference"/>
        </w:rPr>
        <w:footnoteRef/>
      </w:r>
      <w:r w:rsidRPr="0016608E">
        <w:t xml:space="preserve"> </w:t>
      </w:r>
      <w:r w:rsidRPr="0016608E">
        <w:rPr>
          <w:lang w:val="en-US"/>
        </w:rPr>
        <w:tab/>
      </w:r>
      <w:r>
        <w:rPr>
          <w:lang w:val="en-US"/>
        </w:rPr>
        <w:t xml:space="preserve">S </w:t>
      </w:r>
      <w:r w:rsidRPr="0016608E">
        <w:rPr>
          <w:lang w:val="en-US"/>
        </w:rPr>
        <w:t xml:space="preserve">7(4) of the Privacy Act 1993. </w:t>
      </w:r>
    </w:p>
  </w:footnote>
  <w:footnote w:id="406">
    <w:p w:rsidR="009A4F49" w:rsidRPr="003533AC" w:rsidRDefault="009A4F49" w:rsidP="00C51DE0">
      <w:pPr>
        <w:pStyle w:val="FootnoteText"/>
        <w:rPr>
          <w:lang w:val="en-US"/>
        </w:rPr>
      </w:pPr>
      <w:r w:rsidRPr="0016608E">
        <w:rPr>
          <w:rStyle w:val="FootnoteReference"/>
        </w:rPr>
        <w:footnoteRef/>
      </w:r>
      <w:r w:rsidRPr="0016608E">
        <w:t xml:space="preserve"> </w:t>
      </w:r>
      <w:r w:rsidRPr="0016608E">
        <w:rPr>
          <w:lang w:val="en-US"/>
        </w:rPr>
        <w:tab/>
      </w:r>
      <w:r>
        <w:rPr>
          <w:lang w:val="en-US"/>
        </w:rPr>
        <w:t>S</w:t>
      </w:r>
      <w:r w:rsidRPr="0016608E">
        <w:rPr>
          <w:lang w:val="en-US"/>
        </w:rPr>
        <w:t>s</w:t>
      </w:r>
      <w:r>
        <w:rPr>
          <w:lang w:val="en-US"/>
        </w:rPr>
        <w:t xml:space="preserve"> </w:t>
      </w:r>
      <w:r w:rsidRPr="0016608E">
        <w:rPr>
          <w:lang w:val="en-US"/>
        </w:rPr>
        <w:t>25(1)(c), (2)(e) of the 2005 Act.</w:t>
      </w:r>
    </w:p>
  </w:footnote>
  <w:footnote w:id="407">
    <w:p w:rsidR="009A4F49" w:rsidRPr="003533AC" w:rsidRDefault="009A4F49" w:rsidP="00C51DE0">
      <w:pPr>
        <w:pStyle w:val="FootnoteText"/>
        <w:rPr>
          <w:lang w:val="en-US"/>
        </w:rPr>
      </w:pPr>
      <w:r w:rsidRPr="0016608E">
        <w:rPr>
          <w:rStyle w:val="FootnoteReference"/>
        </w:rPr>
        <w:footnoteRef/>
      </w:r>
      <w:r w:rsidRPr="0016608E">
        <w:t xml:space="preserve"> </w:t>
      </w:r>
      <w:r w:rsidRPr="0016608E">
        <w:rPr>
          <w:lang w:val="en-US"/>
        </w:rPr>
        <w:tab/>
      </w:r>
      <w:r>
        <w:rPr>
          <w:lang w:val="en-US"/>
        </w:rPr>
        <w:t xml:space="preserve">S </w:t>
      </w:r>
      <w:r w:rsidRPr="0016608E">
        <w:rPr>
          <w:lang w:val="en-US"/>
        </w:rPr>
        <w:t>44(8) of the 2005 Act.</w:t>
      </w:r>
    </w:p>
  </w:footnote>
  <w:footnote w:id="408">
    <w:p w:rsidR="009A4F49" w:rsidRPr="0016608E" w:rsidRDefault="009A4F49" w:rsidP="00C51DE0">
      <w:pPr>
        <w:pStyle w:val="FootnoteText"/>
      </w:pPr>
      <w:r w:rsidRPr="0016608E">
        <w:rPr>
          <w:rStyle w:val="FootnoteReference"/>
        </w:rPr>
        <w:footnoteRef/>
      </w:r>
      <w:r w:rsidRPr="0016608E">
        <w:t xml:space="preserve"> </w:t>
      </w:r>
      <w:r w:rsidRPr="0016608E">
        <w:tab/>
        <w:t>No 26 of 2012.</w:t>
      </w:r>
    </w:p>
  </w:footnote>
  <w:footnote w:id="409">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t xml:space="preserve">S </w:t>
      </w:r>
      <w:r w:rsidRPr="0016608E">
        <w:t xml:space="preserve">4(6) of the </w:t>
      </w:r>
      <w:r>
        <w:t>Personal Data Protection Act 2012</w:t>
      </w:r>
      <w:r w:rsidRPr="0016608E">
        <w:t xml:space="preserve">. </w:t>
      </w:r>
    </w:p>
  </w:footnote>
  <w:footnote w:id="410">
    <w:p w:rsidR="009A4F49" w:rsidRPr="00386327" w:rsidRDefault="009A4F49" w:rsidP="00C51DE0">
      <w:pPr>
        <w:pStyle w:val="FootnoteText"/>
      </w:pPr>
      <w:r>
        <w:rPr>
          <w:rStyle w:val="FootnoteReference"/>
        </w:rPr>
        <w:footnoteRef/>
      </w:r>
      <w:r>
        <w:t xml:space="preserve"> </w:t>
      </w:r>
      <w:r>
        <w:tab/>
      </w:r>
      <w:r w:rsidRPr="00101146">
        <w:t>The above study includes some</w:t>
      </w:r>
      <w:r w:rsidRPr="003C2617">
        <w:t xml:space="preserve"> discussion about</w:t>
      </w:r>
      <w:r w:rsidRPr="00101146">
        <w:t xml:space="preserve"> access</w:t>
      </w:r>
      <w:r w:rsidRPr="003C2617">
        <w:t>, for the purposes of giving a more complete picture</w:t>
      </w:r>
      <w:r w:rsidRPr="00101146">
        <w:t xml:space="preserve">. </w:t>
      </w:r>
      <w:r w:rsidRPr="003C2617">
        <w:t xml:space="preserve"> </w:t>
      </w:r>
      <w:r w:rsidRPr="00101146">
        <w:t xml:space="preserve">As stated in the Preface, </w:t>
      </w:r>
      <w:r w:rsidRPr="003C2617">
        <w:t xml:space="preserve">the issue of </w:t>
      </w:r>
      <w:r w:rsidRPr="00101146">
        <w:t>access</w:t>
      </w:r>
      <w:r w:rsidRPr="003C2617">
        <w:t xml:space="preserve"> is </w:t>
      </w:r>
      <w:r>
        <w:t>handled</w:t>
      </w:r>
      <w:r w:rsidRPr="003C2617">
        <w:t xml:space="preserve"> by</w:t>
      </w:r>
      <w:r w:rsidRPr="00101146">
        <w:t xml:space="preserve"> the ATI Sub-committee.</w:t>
      </w:r>
    </w:p>
  </w:footnote>
  <w:footnote w:id="411">
    <w:p w:rsidR="009A4F49" w:rsidRPr="00EF713E" w:rsidRDefault="009A4F49" w:rsidP="00C51DE0">
      <w:pPr>
        <w:pStyle w:val="FootnoteText"/>
      </w:pPr>
      <w:r w:rsidRPr="00EF713E">
        <w:rPr>
          <w:rStyle w:val="FootnoteReference"/>
        </w:rPr>
        <w:footnoteRef/>
      </w:r>
      <w:r w:rsidRPr="00EF713E">
        <w:t xml:space="preserve"> </w:t>
      </w:r>
      <w:r w:rsidRPr="00EF713E">
        <w:tab/>
      </w:r>
      <w:r>
        <w:t>S</w:t>
      </w:r>
      <w:r w:rsidRPr="00EF713E">
        <w:t xml:space="preserve">s 9(2)(a)(v), 11(2)(a)(iv) and 11A(2)(a)(iii) of the Census Ordinance.  </w:t>
      </w:r>
    </w:p>
  </w:footnote>
  <w:footnote w:id="412">
    <w:p w:rsidR="009A4F49" w:rsidRPr="00EF713E" w:rsidRDefault="009A4F49" w:rsidP="00C51DE0">
      <w:pPr>
        <w:pStyle w:val="FootnoteText"/>
      </w:pPr>
      <w:r w:rsidRPr="00EF713E">
        <w:rPr>
          <w:rStyle w:val="FootnoteReference"/>
        </w:rPr>
        <w:footnoteRef/>
      </w:r>
      <w:r w:rsidRPr="00EF713E">
        <w:t xml:space="preserve"> </w:t>
      </w:r>
      <w:r w:rsidRPr="00EF713E">
        <w:tab/>
        <w:t>See the orders under Cap</w:t>
      </w:r>
      <w:r w:rsidRPr="00EF713E">
        <w:rPr>
          <w:rFonts w:hint="eastAsia"/>
        </w:rPr>
        <w:t xml:space="preserve"> </w:t>
      </w:r>
      <w:r w:rsidRPr="00EF713E">
        <w:t xml:space="preserve">316A to Y.  </w:t>
      </w:r>
    </w:p>
  </w:footnote>
  <w:footnote w:id="413">
    <w:p w:rsidR="009A4F49" w:rsidRPr="00101146" w:rsidRDefault="009A4F49" w:rsidP="00C51DE0">
      <w:pPr>
        <w:pStyle w:val="FootnoteText"/>
        <w:rPr>
          <w:szCs w:val="18"/>
        </w:rPr>
      </w:pPr>
      <w:r w:rsidRPr="00EF713E">
        <w:rPr>
          <w:rStyle w:val="FootnoteReference"/>
        </w:rPr>
        <w:footnoteRef/>
      </w:r>
      <w:r w:rsidRPr="00EF713E">
        <w:t xml:space="preserve"> </w:t>
      </w:r>
      <w:r w:rsidRPr="00EF713E">
        <w:rPr>
          <w:rFonts w:hint="eastAsia"/>
        </w:rPr>
        <w:tab/>
      </w:r>
      <w:r w:rsidRPr="00EF713E">
        <w:t>Official Report to Proceedings, Hong Kong Legislative Council, meeting of 20 January 1960, p</w:t>
      </w:r>
      <w:r w:rsidRPr="00EF713E">
        <w:rPr>
          <w:lang w:val="en-US"/>
        </w:rPr>
        <w:t> </w:t>
      </w:r>
      <w:r w:rsidRPr="00EF713E">
        <w:t xml:space="preserve">20. </w:t>
      </w:r>
      <w:r w:rsidRPr="00EF713E">
        <w:rPr>
          <w:rFonts w:hint="eastAsia"/>
        </w:rPr>
        <w:t xml:space="preserve"> </w:t>
      </w:r>
      <w:r w:rsidRPr="00EF713E">
        <w:t xml:space="preserve">Available at: </w:t>
      </w:r>
      <w:r>
        <w:t>&lt;</w:t>
      </w:r>
      <w:r w:rsidRPr="002444D8">
        <w:t>http://www.legco.gov.hk/1960/h600120.pdf</w:t>
      </w:r>
      <w:r>
        <w:t>&gt;</w:t>
      </w:r>
      <w:r w:rsidRPr="002444D8">
        <w:rPr>
          <w:rStyle w:val="Hyperlink"/>
          <w:rFonts w:hint="eastAsia"/>
        </w:rPr>
        <w:t>.</w:t>
      </w:r>
    </w:p>
  </w:footnote>
  <w:footnote w:id="414">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t xml:space="preserve">S </w:t>
      </w:r>
      <w:r w:rsidRPr="0016608E">
        <w:t xml:space="preserve">22 of the Census Ordinance.  </w:t>
      </w:r>
    </w:p>
  </w:footnote>
  <w:footnote w:id="415">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rsidRPr="0016608E">
        <w:t>No</w:t>
      </w:r>
      <w:r w:rsidRPr="0016608E">
        <w:rPr>
          <w:rFonts w:hint="eastAsia"/>
        </w:rPr>
        <w:t xml:space="preserve"> </w:t>
      </w:r>
      <w:r w:rsidRPr="0016608E">
        <w:t xml:space="preserve">15 of 1905. </w:t>
      </w:r>
    </w:p>
  </w:footnote>
  <w:footnote w:id="416">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rsidRPr="0016608E">
        <w:t>No</w:t>
      </w:r>
      <w:r w:rsidRPr="0016608E">
        <w:rPr>
          <w:rFonts w:hint="eastAsia"/>
        </w:rPr>
        <w:t xml:space="preserve"> </w:t>
      </w:r>
      <w:r w:rsidRPr="0016608E">
        <w:t xml:space="preserve">60 of 1975.  </w:t>
      </w:r>
    </w:p>
  </w:footnote>
  <w:footnote w:id="417">
    <w:p w:rsidR="009A4F49" w:rsidRPr="00624658" w:rsidRDefault="009A4F49" w:rsidP="00C51DE0">
      <w:pPr>
        <w:pStyle w:val="FootnoteText"/>
      </w:pPr>
      <w:r w:rsidRPr="00624658">
        <w:rPr>
          <w:rStyle w:val="FootnoteReference"/>
        </w:rPr>
        <w:footnoteRef/>
      </w:r>
      <w:r w:rsidRPr="00624658">
        <w:tab/>
        <w:t xml:space="preserve">See the report of the inquiry titled </w:t>
      </w:r>
      <w:r w:rsidRPr="00624658">
        <w:rPr>
          <w:i/>
        </w:rPr>
        <w:t xml:space="preserve">Saving Our Census and Preserving Our History </w:t>
      </w:r>
      <w:r w:rsidRPr="00624658">
        <w:t xml:space="preserve">which was tabled in the House of Representatives on 25 May 1998, available at: </w:t>
      </w:r>
      <w:r>
        <w:t>&lt;</w:t>
      </w:r>
      <w:r w:rsidRPr="002444D8">
        <w:t>http://www.aph.gov.au/parliamentary_Business/Committees/House_of_</w:t>
      </w:r>
      <w:r>
        <w:t>‌</w:t>
      </w:r>
      <w:r w:rsidRPr="002444D8">
        <w:t>Representatives_Committees?url=/laca/inquiryincensus.htm</w:t>
      </w:r>
      <w:r>
        <w:t>&gt;</w:t>
      </w:r>
      <w:r w:rsidRPr="002444D8">
        <w:rPr>
          <w:rStyle w:val="Hyperlink"/>
          <w:rFonts w:hint="eastAsia"/>
        </w:rPr>
        <w:t>.</w:t>
      </w:r>
      <w:r w:rsidRPr="00624658">
        <w:t xml:space="preserve"> </w:t>
      </w:r>
    </w:p>
  </w:footnote>
  <w:footnote w:id="418">
    <w:p w:rsidR="009A4F49" w:rsidRPr="00624658" w:rsidRDefault="009A4F49" w:rsidP="00C51DE0">
      <w:pPr>
        <w:pStyle w:val="FootnoteText"/>
      </w:pPr>
      <w:r w:rsidRPr="00624658">
        <w:rPr>
          <w:rStyle w:val="FootnoteReference"/>
        </w:rPr>
        <w:footnoteRef/>
      </w:r>
      <w:r w:rsidRPr="00624658">
        <w:t xml:space="preserve"> </w:t>
      </w:r>
      <w:r w:rsidRPr="00624658">
        <w:tab/>
        <w:t xml:space="preserve">Para 1.11 of the </w:t>
      </w:r>
      <w:r>
        <w:t xml:space="preserve">above </w:t>
      </w:r>
      <w:r w:rsidRPr="00624658">
        <w:t xml:space="preserve">report.  See also the Introduction.  </w:t>
      </w:r>
    </w:p>
  </w:footnote>
  <w:footnote w:id="419">
    <w:p w:rsidR="009A4F49" w:rsidRPr="00624658" w:rsidRDefault="009A4F49" w:rsidP="00C51DE0">
      <w:pPr>
        <w:pStyle w:val="FootnoteText"/>
      </w:pPr>
      <w:r w:rsidRPr="00624658">
        <w:rPr>
          <w:rStyle w:val="FootnoteReference"/>
        </w:rPr>
        <w:footnoteRef/>
      </w:r>
      <w:r w:rsidRPr="00624658">
        <w:t xml:space="preserve"> </w:t>
      </w:r>
      <w:r w:rsidRPr="00624658">
        <w:tab/>
        <w:t xml:space="preserve">Para 1.13 of the </w:t>
      </w:r>
      <w:r>
        <w:t xml:space="preserve">above </w:t>
      </w:r>
      <w:r w:rsidRPr="00624658">
        <w:t>report.  See also the Introduction.</w:t>
      </w:r>
    </w:p>
  </w:footnote>
  <w:footnote w:id="420">
    <w:p w:rsidR="009A4F49" w:rsidRPr="00624658" w:rsidRDefault="009A4F49" w:rsidP="00C51DE0">
      <w:pPr>
        <w:pStyle w:val="FootnoteText"/>
      </w:pPr>
      <w:r w:rsidRPr="00624658">
        <w:rPr>
          <w:rStyle w:val="FootnoteReference"/>
        </w:rPr>
        <w:footnoteRef/>
      </w:r>
      <w:r w:rsidRPr="00624658">
        <w:t xml:space="preserve"> </w:t>
      </w:r>
      <w:r w:rsidRPr="00624658">
        <w:tab/>
        <w:t xml:space="preserve">Paras 7.3-7.5 of the </w:t>
      </w:r>
      <w:r>
        <w:t xml:space="preserve">above </w:t>
      </w:r>
      <w:r w:rsidRPr="00624658">
        <w:t xml:space="preserve">report. </w:t>
      </w:r>
    </w:p>
  </w:footnote>
  <w:footnote w:id="421">
    <w:p w:rsidR="009A4F49" w:rsidRPr="00624658" w:rsidRDefault="009A4F49" w:rsidP="00C51DE0">
      <w:pPr>
        <w:pStyle w:val="FootnoteText"/>
      </w:pPr>
      <w:r w:rsidRPr="00624658">
        <w:rPr>
          <w:rStyle w:val="FootnoteReference"/>
        </w:rPr>
        <w:footnoteRef/>
      </w:r>
      <w:r w:rsidRPr="00624658">
        <w:t xml:space="preserve"> </w:t>
      </w:r>
      <w:r w:rsidRPr="00624658">
        <w:tab/>
        <w:t xml:space="preserve">Para 7.10 of the </w:t>
      </w:r>
      <w:r>
        <w:t xml:space="preserve">above </w:t>
      </w:r>
      <w:r w:rsidRPr="00624658">
        <w:t>report.</w:t>
      </w:r>
    </w:p>
  </w:footnote>
  <w:footnote w:id="422">
    <w:p w:rsidR="009A4F49" w:rsidRPr="00624658" w:rsidRDefault="009A4F49" w:rsidP="00C51DE0">
      <w:pPr>
        <w:pStyle w:val="FootnoteText"/>
      </w:pPr>
      <w:r w:rsidRPr="00624658">
        <w:rPr>
          <w:rStyle w:val="FootnoteReference"/>
        </w:rPr>
        <w:footnoteRef/>
      </w:r>
      <w:r w:rsidRPr="00624658">
        <w:t xml:space="preserve"> </w:t>
      </w:r>
      <w:r w:rsidRPr="00624658">
        <w:tab/>
        <w:t xml:space="preserve">Para 7.12 of the </w:t>
      </w:r>
      <w:r>
        <w:t xml:space="preserve">above </w:t>
      </w:r>
      <w:r w:rsidRPr="00624658">
        <w:t>report.</w:t>
      </w:r>
    </w:p>
  </w:footnote>
  <w:footnote w:id="423">
    <w:p w:rsidR="009A4F49" w:rsidRPr="00624658" w:rsidRDefault="009A4F49" w:rsidP="00C51DE0">
      <w:pPr>
        <w:pStyle w:val="FootnoteText"/>
      </w:pPr>
      <w:r w:rsidRPr="00624658">
        <w:rPr>
          <w:rStyle w:val="FootnoteReference"/>
        </w:rPr>
        <w:footnoteRef/>
      </w:r>
      <w:r w:rsidRPr="00624658">
        <w:t xml:space="preserve"> </w:t>
      </w:r>
      <w:r w:rsidRPr="00624658">
        <w:tab/>
        <w:t xml:space="preserve">Para 7.35 of the </w:t>
      </w:r>
      <w:r>
        <w:t xml:space="preserve">above </w:t>
      </w:r>
      <w:r w:rsidRPr="00624658">
        <w:t xml:space="preserve">report and Recommendation 1. </w:t>
      </w:r>
    </w:p>
  </w:footnote>
  <w:footnote w:id="424">
    <w:p w:rsidR="009A4F49" w:rsidRPr="00624658" w:rsidRDefault="009A4F49" w:rsidP="00C51DE0">
      <w:pPr>
        <w:pStyle w:val="FootnoteText"/>
      </w:pPr>
      <w:r w:rsidRPr="00624658">
        <w:rPr>
          <w:rStyle w:val="FootnoteReference"/>
        </w:rPr>
        <w:footnoteRef/>
      </w:r>
      <w:r w:rsidRPr="00624658">
        <w:t xml:space="preserve"> </w:t>
      </w:r>
      <w:r w:rsidRPr="00624658">
        <w:tab/>
        <w:t>Recommendation 2</w:t>
      </w:r>
      <w:r>
        <w:t xml:space="preserve"> of the above report</w:t>
      </w:r>
      <w:r w:rsidRPr="00624658">
        <w:t>.</w:t>
      </w:r>
    </w:p>
  </w:footnote>
  <w:footnote w:id="425">
    <w:p w:rsidR="009A4F49" w:rsidRPr="00624658" w:rsidRDefault="009A4F49" w:rsidP="00C51DE0">
      <w:pPr>
        <w:pStyle w:val="FootnoteText"/>
      </w:pPr>
      <w:r w:rsidRPr="00624658">
        <w:rPr>
          <w:rStyle w:val="FootnoteReference"/>
        </w:rPr>
        <w:footnoteRef/>
      </w:r>
      <w:r w:rsidRPr="00624658">
        <w:t xml:space="preserve"> </w:t>
      </w:r>
      <w:r w:rsidRPr="00624658">
        <w:tab/>
        <w:t>Recommendations 1 and 2</w:t>
      </w:r>
      <w:r>
        <w:t xml:space="preserve"> of the above report</w:t>
      </w:r>
      <w:r w:rsidRPr="00624658">
        <w:t>.</w:t>
      </w:r>
    </w:p>
  </w:footnote>
  <w:footnote w:id="426">
    <w:p w:rsidR="009A4F49" w:rsidRPr="00624658" w:rsidRDefault="009A4F49" w:rsidP="00C51DE0">
      <w:pPr>
        <w:pStyle w:val="FootnoteText"/>
      </w:pPr>
      <w:r w:rsidRPr="00624658">
        <w:rPr>
          <w:rStyle w:val="FootnoteReference"/>
        </w:rPr>
        <w:footnoteRef/>
      </w:r>
      <w:r w:rsidRPr="00624658">
        <w:t xml:space="preserve"> </w:t>
      </w:r>
      <w:r w:rsidRPr="00624658">
        <w:tab/>
        <w:t>See, for example, the speech made by the Minister for Financial Services and Regulation during the Bill</w:t>
      </w:r>
      <w:r>
        <w:t>'</w:t>
      </w:r>
      <w:r w:rsidRPr="00624658">
        <w:t xml:space="preserve">s Second Reading on 17 February 2000, available at: </w:t>
      </w:r>
      <w:r>
        <w:t>&lt;</w:t>
      </w:r>
      <w:r w:rsidRPr="00F86AAC">
        <w:t>http://parlinfo.aph.gov.au/parlInfo/search/display/display.w3p;query=Id%3A%22</w:t>
      </w:r>
      <w:r>
        <w:t>‌</w:t>
      </w:r>
      <w:r w:rsidRPr="00F86AAC">
        <w:t>chamber%2Fhansardr%2F2000-02-17%2F0009%22</w:t>
      </w:r>
      <w:r>
        <w:t>&gt;</w:t>
      </w:r>
      <w:r>
        <w:rPr>
          <w:rFonts w:hint="eastAsia"/>
        </w:rPr>
        <w:t>.</w:t>
      </w:r>
      <w:r w:rsidRPr="00624658">
        <w:t xml:space="preserve"> </w:t>
      </w:r>
    </w:p>
  </w:footnote>
  <w:footnote w:id="427">
    <w:p w:rsidR="009A4F49" w:rsidRPr="00624658" w:rsidRDefault="009A4F49" w:rsidP="002975D2">
      <w:pPr>
        <w:pStyle w:val="FootnoteText"/>
        <w:spacing w:after="0"/>
      </w:pPr>
      <w:r w:rsidRPr="00624658">
        <w:rPr>
          <w:rStyle w:val="FootnoteReference"/>
        </w:rPr>
        <w:footnoteRef/>
      </w:r>
      <w:r w:rsidRPr="00624658">
        <w:t xml:space="preserve"> </w:t>
      </w:r>
      <w:r w:rsidRPr="00624658">
        <w:rPr>
          <w:rFonts w:hint="eastAsia"/>
        </w:rPr>
        <w:tab/>
      </w:r>
      <w:r w:rsidRPr="00624658">
        <w:t>The census form for the latest census in 2016 (question 60) is available at:</w:t>
      </w:r>
    </w:p>
    <w:p w:rsidR="009A4F49" w:rsidRPr="00733425" w:rsidRDefault="009A4F49" w:rsidP="00C51DE0">
      <w:pPr>
        <w:pStyle w:val="FootnoteText"/>
      </w:pPr>
      <w:r w:rsidRPr="00624658">
        <w:rPr>
          <w:rFonts w:hint="eastAsia"/>
        </w:rPr>
        <w:tab/>
      </w:r>
      <w:r>
        <w:t>&lt;</w:t>
      </w:r>
      <w:r w:rsidRPr="00F86AAC">
        <w:t>http://www.abs.gov.au/ausstats/abs@.nsf/Lookup/2901.0Main%20Features802016/</w:t>
      </w:r>
      <w:r>
        <w:t>‌</w:t>
      </w:r>
      <w:r w:rsidRPr="00F86AAC">
        <w:t>$FILE/2016%20Census%20Sample%20Household%20Form.pdf</w:t>
      </w:r>
      <w:r>
        <w:t>&gt;</w:t>
      </w:r>
      <w:r w:rsidRPr="00733425">
        <w:t xml:space="preserve">. </w:t>
      </w:r>
    </w:p>
  </w:footnote>
  <w:footnote w:id="428">
    <w:p w:rsidR="009A4F49" w:rsidRPr="00624658" w:rsidRDefault="009A4F49" w:rsidP="00C51DE0">
      <w:pPr>
        <w:pStyle w:val="FootnoteText"/>
        <w:rPr>
          <w:lang w:val="en-US"/>
        </w:rPr>
      </w:pPr>
      <w:r w:rsidRPr="00624658">
        <w:rPr>
          <w:rStyle w:val="FootnoteReference"/>
        </w:rPr>
        <w:footnoteRef/>
      </w:r>
      <w:r w:rsidRPr="00624658">
        <w:t xml:space="preserve"> </w:t>
      </w:r>
      <w:r w:rsidRPr="00624658">
        <w:rPr>
          <w:lang w:val="en-US"/>
        </w:rPr>
        <w:tab/>
      </w:r>
      <w:r>
        <w:rPr>
          <w:lang w:val="en-US"/>
        </w:rPr>
        <w:t>S</w:t>
      </w:r>
      <w:r w:rsidRPr="00624658">
        <w:rPr>
          <w:lang w:val="en-US"/>
        </w:rPr>
        <w:t xml:space="preserve"> 22B of the 1983 Act. The open access period is 99 years from the census day.</w:t>
      </w:r>
    </w:p>
  </w:footnote>
  <w:footnote w:id="429">
    <w:p w:rsidR="009A4F49" w:rsidRPr="00624658" w:rsidRDefault="009A4F49" w:rsidP="00ED4865">
      <w:pPr>
        <w:pStyle w:val="FootnoteText"/>
        <w:spacing w:after="0"/>
      </w:pPr>
      <w:r w:rsidRPr="00624658">
        <w:rPr>
          <w:rStyle w:val="FootnoteReference"/>
        </w:rPr>
        <w:footnoteRef/>
      </w:r>
      <w:r w:rsidRPr="00624658">
        <w:t xml:space="preserve"> </w:t>
      </w:r>
      <w:r w:rsidRPr="00624658">
        <w:rPr>
          <w:rFonts w:hint="eastAsia"/>
        </w:rPr>
        <w:tab/>
      </w:r>
      <w:r>
        <w:t>S</w:t>
      </w:r>
      <w:r w:rsidRPr="00624658">
        <w:t xml:space="preserve"> 39 of the SRSA.  Under ss 39(2),(3),  </w:t>
      </w:r>
      <w:r>
        <w:t>"</w:t>
      </w:r>
      <w:r w:rsidRPr="00624658">
        <w:rPr>
          <w:i/>
        </w:rPr>
        <w:t>personal information</w:t>
      </w:r>
      <w:r>
        <w:rPr>
          <w:i/>
        </w:rPr>
        <w:t>"</w:t>
      </w:r>
      <w:r w:rsidRPr="00624658">
        <w:t xml:space="preserve"> in this regard means information which relates to and identifies a particular person in that the identity of that person –</w:t>
      </w:r>
    </w:p>
    <w:p w:rsidR="009A4F49" w:rsidRPr="00624658" w:rsidRDefault="009A4F49" w:rsidP="00ED4865">
      <w:pPr>
        <w:pStyle w:val="FootnoteText"/>
        <w:spacing w:after="0"/>
        <w:ind w:left="1685"/>
      </w:pPr>
      <w:r>
        <w:t>"</w:t>
      </w:r>
      <w:r w:rsidRPr="00624658">
        <w:t>(a)</w:t>
      </w:r>
      <w:r w:rsidRPr="00624658">
        <w:tab/>
        <w:t>is specified in the information,</w:t>
      </w:r>
    </w:p>
    <w:p w:rsidR="009A4F49" w:rsidRPr="00624658" w:rsidRDefault="009A4F49" w:rsidP="00ED4865">
      <w:pPr>
        <w:pStyle w:val="FootnoteText"/>
        <w:spacing w:after="0"/>
        <w:ind w:left="1685"/>
      </w:pPr>
      <w:r w:rsidRPr="00624658">
        <w:t>(b)</w:t>
      </w:r>
      <w:r w:rsidRPr="00624658">
        <w:tab/>
        <w:t>can be deduced from the information, or</w:t>
      </w:r>
    </w:p>
    <w:p w:rsidR="009A4F49" w:rsidRPr="00624658" w:rsidRDefault="009A4F49" w:rsidP="00ED4865">
      <w:pPr>
        <w:pStyle w:val="FootnoteText"/>
        <w:ind w:left="1685"/>
      </w:pPr>
      <w:r w:rsidRPr="00624658">
        <w:t>(c)</w:t>
      </w:r>
      <w:r w:rsidRPr="00624658">
        <w:tab/>
        <w:t>can be deduced from the information taken together with any other published information.</w:t>
      </w:r>
      <w:r>
        <w:t>"</w:t>
      </w:r>
    </w:p>
  </w:footnote>
  <w:footnote w:id="430">
    <w:p w:rsidR="009A4F49" w:rsidRDefault="009A4F49" w:rsidP="00ED4865">
      <w:pPr>
        <w:pStyle w:val="FootnoteText"/>
        <w:spacing w:after="0"/>
      </w:pPr>
      <w:r w:rsidRPr="0016608E">
        <w:rPr>
          <w:rStyle w:val="FootnoteReference"/>
        </w:rPr>
        <w:footnoteRef/>
      </w:r>
      <w:r w:rsidRPr="0016608E">
        <w:t xml:space="preserve"> </w:t>
      </w:r>
      <w:r w:rsidRPr="0016608E">
        <w:tab/>
        <w:t xml:space="preserve">The latest questionnaire for the 2011 census is available at: </w:t>
      </w:r>
    </w:p>
    <w:p w:rsidR="009A4F49" w:rsidRPr="0016608E" w:rsidRDefault="009A4F49" w:rsidP="00C51DE0">
      <w:pPr>
        <w:pStyle w:val="FootnoteText"/>
      </w:pPr>
      <w:r>
        <w:tab/>
        <w:t>&lt;</w:t>
      </w:r>
      <w:r w:rsidRPr="00F86AAC">
        <w:t>http://webarchive.nationalarchives.gov.uk/20160105160709/http://ons.gov.uk/ons/guide-method/census/2011/how-our-census-works/how-we-took-the-2011-census/how-we-</w:t>
      </w:r>
      <w:r>
        <w:t>‌</w:t>
      </w:r>
      <w:r w:rsidRPr="00F86AAC">
        <w:t>collected-the-information/questionnaires--delivery--completion-and-return/index.html</w:t>
      </w:r>
      <w:r>
        <w:t>&gt;</w:t>
      </w:r>
      <w:r w:rsidRPr="00733425">
        <w:t xml:space="preserve">. </w:t>
      </w:r>
    </w:p>
  </w:footnote>
  <w:footnote w:id="431">
    <w:p w:rsidR="009A4F49" w:rsidRPr="008D7192" w:rsidRDefault="009A4F49" w:rsidP="00ED4865">
      <w:pPr>
        <w:ind w:left="720" w:hanging="720"/>
        <w:rPr>
          <w:rFonts w:cs="Arial"/>
          <w:sz w:val="20"/>
        </w:rPr>
      </w:pPr>
      <w:r w:rsidRPr="008D7192">
        <w:rPr>
          <w:rStyle w:val="FootnoteReference"/>
          <w:rFonts w:cs="Arial"/>
          <w:sz w:val="20"/>
        </w:rPr>
        <w:footnoteRef/>
      </w:r>
      <w:r w:rsidRPr="008D7192">
        <w:rPr>
          <w:rFonts w:cs="Arial"/>
          <w:sz w:val="20"/>
        </w:rPr>
        <w:t xml:space="preserve"> </w:t>
      </w:r>
      <w:r w:rsidRPr="008D7192">
        <w:rPr>
          <w:rFonts w:cs="Arial"/>
          <w:sz w:val="20"/>
        </w:rPr>
        <w:tab/>
        <w:t xml:space="preserve">TNA, </w:t>
      </w:r>
      <w:r w:rsidRPr="008D7192">
        <w:rPr>
          <w:rFonts w:cs="Arial"/>
          <w:i/>
          <w:sz w:val="20"/>
        </w:rPr>
        <w:t>Guide to Archiving Personal Data</w:t>
      </w:r>
      <w:r w:rsidRPr="008D7192">
        <w:rPr>
          <w:rFonts w:cs="Arial"/>
          <w:sz w:val="20"/>
        </w:rPr>
        <w:t xml:space="preserve"> (2018), at para 73.  </w:t>
      </w:r>
    </w:p>
  </w:footnote>
  <w:footnote w:id="432">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t>S</w:t>
      </w:r>
      <w:r w:rsidRPr="0016608E">
        <w:t xml:space="preserve">s 32, 33 and 38 of the </w:t>
      </w:r>
      <w:r w:rsidRPr="00050940">
        <w:t>Statistics Act</w:t>
      </w:r>
      <w:r w:rsidRPr="0016608E">
        <w:t xml:space="preserve">. </w:t>
      </w:r>
    </w:p>
  </w:footnote>
  <w:footnote w:id="433">
    <w:p w:rsidR="009A4F49" w:rsidRPr="0016608E" w:rsidRDefault="009A4F49" w:rsidP="00C51DE0">
      <w:pPr>
        <w:pStyle w:val="FootnoteText"/>
      </w:pPr>
      <w:r w:rsidRPr="0016608E">
        <w:rPr>
          <w:rStyle w:val="FootnoteReference"/>
        </w:rPr>
        <w:footnoteRef/>
      </w:r>
      <w:r w:rsidRPr="0016608E">
        <w:t xml:space="preserve"> </w:t>
      </w:r>
      <w:r w:rsidRPr="0016608E">
        <w:tab/>
      </w:r>
      <w:r>
        <w:t>S</w:t>
      </w:r>
      <w:r w:rsidRPr="0016608E">
        <w:t xml:space="preserve"> 35 of the Statistics Act. </w:t>
      </w:r>
    </w:p>
  </w:footnote>
  <w:footnote w:id="434">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rsidRPr="0016608E">
        <w:t xml:space="preserve">See the page on census information in the official website of the NAI at </w:t>
      </w:r>
      <w:r>
        <w:t>&lt;</w:t>
      </w:r>
      <w:r w:rsidRPr="00F86AAC">
        <w:t>http://www.census.nationalarchives.ie/</w:t>
      </w:r>
      <w:r>
        <w:t>&gt;</w:t>
      </w:r>
      <w:r w:rsidRPr="00733425">
        <w:t>.</w:t>
      </w:r>
    </w:p>
    <w:p w:rsidR="009A4F49" w:rsidRPr="0016608E" w:rsidRDefault="009A4F49" w:rsidP="00C51DE0">
      <w:pPr>
        <w:pStyle w:val="FootnoteText"/>
      </w:pPr>
      <w:r w:rsidRPr="0016608E">
        <w:tab/>
        <w:t>During the passage of the Bill, the importance of, on one hand, ensuring confidentiality of the particulars provided by people while they were living, and, on the other hand, allowing timely access to census information given their values for genealogical and social research</w:t>
      </w:r>
      <w:r>
        <w:t xml:space="preserve"> was considered.  It</w:t>
      </w:r>
      <w:r w:rsidRPr="0016608E">
        <w:t xml:space="preserve"> was suggest</w:t>
      </w:r>
      <w:r>
        <w:t>ed</w:t>
      </w:r>
      <w:r w:rsidRPr="0016608E">
        <w:t xml:space="preserve"> that 100 years might be too restrictive and hence</w:t>
      </w:r>
      <w:r>
        <w:t xml:space="preserve"> there was a</w:t>
      </w:r>
      <w:r w:rsidRPr="0016608E">
        <w:t xml:space="preserve"> proposal to reduce it to 50 years (see: Seanad debates on 17</w:t>
      </w:r>
      <w:r>
        <w:rPr>
          <w:lang w:val="en-US"/>
        </w:rPr>
        <w:t> </w:t>
      </w:r>
      <w:r w:rsidRPr="0016608E">
        <w:t xml:space="preserve">June 1993; Dail debates on 22 June 1993). </w:t>
      </w:r>
      <w:r>
        <w:rPr>
          <w:rFonts w:hint="eastAsia"/>
        </w:rPr>
        <w:t xml:space="preserve"> </w:t>
      </w:r>
      <w:r w:rsidRPr="0016608E">
        <w:t xml:space="preserve">There did not appear to be any discussion as to whether individuals should be given a choice to consent to their particulars </w:t>
      </w:r>
      <w:r>
        <w:t>to be</w:t>
      </w:r>
      <w:r w:rsidRPr="0016608E">
        <w:t xml:space="preserve"> made available, if at all.    </w:t>
      </w:r>
    </w:p>
  </w:footnote>
  <w:footnote w:id="435">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t>S</w:t>
      </w:r>
      <w:r w:rsidRPr="0016608E">
        <w:t>s 37 to 38 and 45A, 46 of the 1975 Act.</w:t>
      </w:r>
    </w:p>
  </w:footnote>
  <w:footnote w:id="436">
    <w:p w:rsidR="009A4F49" w:rsidRPr="0016608E" w:rsidRDefault="009A4F49" w:rsidP="00C51DE0">
      <w:pPr>
        <w:pStyle w:val="FootnoteText"/>
      </w:pPr>
      <w:r w:rsidRPr="0016608E">
        <w:rPr>
          <w:rStyle w:val="FootnoteReference"/>
        </w:rPr>
        <w:footnoteRef/>
      </w:r>
      <w:r w:rsidRPr="0016608E">
        <w:t xml:space="preserve"> </w:t>
      </w:r>
      <w:r w:rsidRPr="0016608E">
        <w:tab/>
        <w:t xml:space="preserve">There does not appear to be any discussion in the legislative process over whether to give individuals the choice to consent to making </w:t>
      </w:r>
      <w:r>
        <w:t>his</w:t>
      </w:r>
      <w:r w:rsidRPr="0016608E">
        <w:t xml:space="preserve"> particulars publicly available after the passage of</w:t>
      </w:r>
      <w:r>
        <w:t xml:space="preserve"> time, say, </w:t>
      </w:r>
      <w:r w:rsidRPr="0016608E">
        <w:t>100 years.</w:t>
      </w:r>
    </w:p>
  </w:footnote>
  <w:footnote w:id="437">
    <w:p w:rsidR="009A4F49" w:rsidRPr="0016608E" w:rsidRDefault="009A4F49" w:rsidP="00C51DE0">
      <w:pPr>
        <w:pStyle w:val="FootnoteText"/>
      </w:pPr>
      <w:r w:rsidRPr="0016608E">
        <w:rPr>
          <w:rStyle w:val="FootnoteReference"/>
        </w:rPr>
        <w:footnoteRef/>
      </w:r>
      <w:r w:rsidRPr="0016608E">
        <w:t xml:space="preserve"> </w:t>
      </w:r>
      <w:r w:rsidRPr="0016608E">
        <w:tab/>
      </w:r>
      <w:r>
        <w:t xml:space="preserve">S </w:t>
      </w:r>
      <w:r w:rsidRPr="0016608E">
        <w:t>22(3)(a) of the 2005 Act.</w:t>
      </w:r>
    </w:p>
  </w:footnote>
  <w:footnote w:id="438">
    <w:p w:rsidR="009A4F49" w:rsidRPr="0016608E" w:rsidRDefault="009A4F49" w:rsidP="00C51DE0">
      <w:pPr>
        <w:pStyle w:val="FootnoteText"/>
      </w:pPr>
      <w:r w:rsidRPr="0016608E">
        <w:rPr>
          <w:rStyle w:val="FootnoteReference"/>
        </w:rPr>
        <w:footnoteRef/>
      </w:r>
      <w:r w:rsidRPr="0016608E">
        <w:t xml:space="preserve"> </w:t>
      </w:r>
      <w:r w:rsidRPr="0016608E">
        <w:rPr>
          <w:rFonts w:hint="eastAsia"/>
        </w:rPr>
        <w:tab/>
      </w:r>
      <w:r>
        <w:t>S</w:t>
      </w:r>
      <w:r w:rsidRPr="0016608E">
        <w:t xml:space="preserve"> 37DA of the 1975 Act.  </w:t>
      </w:r>
    </w:p>
  </w:footnote>
  <w:footnote w:id="439">
    <w:p w:rsidR="009A4F49" w:rsidRPr="0016608E" w:rsidRDefault="009A4F49" w:rsidP="00C51DE0">
      <w:pPr>
        <w:pStyle w:val="FootnoteText"/>
      </w:pPr>
      <w:r w:rsidRPr="0016608E">
        <w:rPr>
          <w:rStyle w:val="FootnoteReference"/>
        </w:rPr>
        <w:footnoteRef/>
      </w:r>
      <w:r w:rsidRPr="0016608E">
        <w:t xml:space="preserve"> </w:t>
      </w:r>
      <w:r w:rsidRPr="0016608E">
        <w:tab/>
      </w:r>
      <w:r>
        <w:t>Ss</w:t>
      </w:r>
      <w:r w:rsidRPr="0016608E">
        <w:t xml:space="preserve"> 17</w:t>
      </w:r>
      <w:r>
        <w:t xml:space="preserve"> and </w:t>
      </w:r>
      <w:r w:rsidRPr="0016608E">
        <w:t xml:space="preserve">18 of the Census Act </w:t>
      </w:r>
      <w:r>
        <w:t xml:space="preserve">(Cap 35) </w:t>
      </w:r>
      <w:r w:rsidRPr="0016608E">
        <w:t>and s7 of the Statistics Act</w:t>
      </w:r>
      <w:r>
        <w:t xml:space="preserve"> (Cap 317)</w:t>
      </w:r>
      <w:r w:rsidRPr="0016608E">
        <w:t>.</w:t>
      </w:r>
    </w:p>
  </w:footnote>
  <w:footnote w:id="440">
    <w:p w:rsidR="009A4F49" w:rsidRPr="0016608E" w:rsidRDefault="009A4F49" w:rsidP="00C51DE0">
      <w:pPr>
        <w:pStyle w:val="FootnoteText"/>
      </w:pPr>
      <w:r w:rsidRPr="0016608E">
        <w:rPr>
          <w:rStyle w:val="FootnoteReference"/>
        </w:rPr>
        <w:footnoteRef/>
      </w:r>
      <w:r w:rsidRPr="0016608E">
        <w:t xml:space="preserve"> </w:t>
      </w:r>
      <w:r w:rsidRPr="0016608E">
        <w:tab/>
      </w:r>
      <w:r>
        <w:t>Ss</w:t>
      </w:r>
      <w:r w:rsidRPr="0016608E">
        <w:t xml:space="preserve"> 18(4),</w:t>
      </w:r>
      <w:r>
        <w:rPr>
          <w:rFonts w:hint="eastAsia"/>
        </w:rPr>
        <w:t xml:space="preserve"> </w:t>
      </w:r>
      <w:r w:rsidRPr="0016608E">
        <w:t>19(e)</w:t>
      </w:r>
      <w:r>
        <w:t xml:space="preserve"> and</w:t>
      </w:r>
      <w:r w:rsidRPr="0016608E">
        <w:t xml:space="preserve"> 20(e) of the Census Act </w:t>
      </w:r>
      <w:r>
        <w:t xml:space="preserve">(Cap 35) </w:t>
      </w:r>
      <w:r w:rsidRPr="0016608E">
        <w:t>and s7(4) of the Statistics Act</w:t>
      </w:r>
      <w:r>
        <w:t xml:space="preserve"> (Cap 317)</w:t>
      </w:r>
      <w:r w:rsidRPr="0016608E">
        <w:t xml:space="preserve">.  </w:t>
      </w:r>
    </w:p>
  </w:footnote>
  <w:footnote w:id="441">
    <w:p w:rsidR="009A4F49" w:rsidRPr="00CE0276" w:rsidRDefault="009A4F49" w:rsidP="00C51DE0">
      <w:pPr>
        <w:pStyle w:val="FootnoteText"/>
      </w:pPr>
      <w:r w:rsidRPr="00885D59">
        <w:rPr>
          <w:rStyle w:val="FootnoteReference"/>
        </w:rPr>
        <w:footnoteRef/>
      </w:r>
      <w:r w:rsidRPr="00885D59">
        <w:t xml:space="preserve"> </w:t>
      </w:r>
      <w:r w:rsidRPr="00885D59">
        <w:rPr>
          <w:rFonts w:hint="eastAsia"/>
        </w:rPr>
        <w:tab/>
      </w:r>
      <w:r>
        <w:t>P</w:t>
      </w:r>
      <w:r w:rsidRPr="00CE0276">
        <w:t>ara</w:t>
      </w:r>
      <w:r>
        <w:t>s 7.23,</w:t>
      </w:r>
      <w:r w:rsidRPr="00CE0276">
        <w:t xml:space="preserve"> 7.25</w:t>
      </w:r>
      <w:r>
        <w:t xml:space="preserve"> and</w:t>
      </w:r>
      <w:r w:rsidRPr="00CE0276">
        <w:t xml:space="preserve"> 7.27</w:t>
      </w:r>
      <w:r>
        <w:t xml:space="preserve"> of </w:t>
      </w:r>
      <w:r w:rsidRPr="00E41BFB">
        <w:rPr>
          <w:i/>
        </w:rPr>
        <w:t>The</w:t>
      </w:r>
      <w:r>
        <w:t xml:space="preserve"> </w:t>
      </w:r>
      <w:r>
        <w:rPr>
          <w:i/>
        </w:rPr>
        <w:t>Ombudsman's Report</w:t>
      </w:r>
      <w:r w:rsidRPr="00CE0276">
        <w:t>.</w:t>
      </w:r>
    </w:p>
  </w:footnote>
  <w:footnote w:id="442">
    <w:p w:rsidR="009A4F49" w:rsidRPr="00CC27F8" w:rsidRDefault="009A4F49" w:rsidP="00C51DE0">
      <w:pPr>
        <w:pStyle w:val="FootnoteText"/>
      </w:pPr>
      <w:r w:rsidRPr="00CC27F8">
        <w:rPr>
          <w:rStyle w:val="FootnoteReference"/>
        </w:rPr>
        <w:footnoteRef/>
      </w:r>
      <w:r w:rsidRPr="00CC27F8">
        <w:t xml:space="preserve"> </w:t>
      </w:r>
      <w:r w:rsidRPr="00CC27F8">
        <w:rPr>
          <w:rFonts w:hint="eastAsia"/>
        </w:rPr>
        <w:tab/>
      </w:r>
      <w:r w:rsidRPr="00CC27F8">
        <w:t>Rule 7(1) of the PRAR.</w:t>
      </w:r>
    </w:p>
  </w:footnote>
  <w:footnote w:id="443">
    <w:p w:rsidR="009A4F49" w:rsidRPr="00CC27F8" w:rsidRDefault="009A4F49" w:rsidP="00C51DE0">
      <w:pPr>
        <w:pStyle w:val="FootnoteText"/>
      </w:pPr>
      <w:r w:rsidRPr="00CC27F8">
        <w:rPr>
          <w:rStyle w:val="FootnoteReference"/>
        </w:rPr>
        <w:footnoteRef/>
      </w:r>
      <w:r w:rsidRPr="00CC27F8">
        <w:t xml:space="preserve"> </w:t>
      </w:r>
      <w:r w:rsidRPr="00CC27F8">
        <w:rPr>
          <w:rFonts w:hint="eastAsia"/>
        </w:rPr>
        <w:tab/>
      </w:r>
      <w:r w:rsidRPr="00CC27F8">
        <w:t>Rule 6 of the PRAR.</w:t>
      </w:r>
    </w:p>
  </w:footnote>
  <w:footnote w:id="444">
    <w:p w:rsidR="009A4F49" w:rsidRPr="00A37B63" w:rsidRDefault="009A4F49" w:rsidP="00C51DE0">
      <w:pPr>
        <w:pStyle w:val="FootnoteText"/>
      </w:pPr>
      <w:r w:rsidRPr="00A37B63">
        <w:rPr>
          <w:rStyle w:val="FootnoteReference"/>
        </w:rPr>
        <w:footnoteRef/>
      </w:r>
      <w:r w:rsidRPr="00A37B63">
        <w:t xml:space="preserve"> </w:t>
      </w:r>
      <w:r w:rsidRPr="00A37B63">
        <w:tab/>
        <w:t>Paras 625 and 626 of the RMM.</w:t>
      </w:r>
    </w:p>
  </w:footnote>
  <w:footnote w:id="445">
    <w:p w:rsidR="009A4F49" w:rsidRPr="00A37B63" w:rsidRDefault="009A4F49" w:rsidP="00B82FC4">
      <w:pPr>
        <w:pStyle w:val="FootnoteText"/>
        <w:spacing w:after="0"/>
      </w:pPr>
      <w:r w:rsidRPr="00A37B63">
        <w:rPr>
          <w:rStyle w:val="FootnoteReference"/>
        </w:rPr>
        <w:footnoteRef/>
      </w:r>
      <w:r w:rsidRPr="00A37B63">
        <w:t xml:space="preserve"> </w:t>
      </w:r>
      <w:r w:rsidRPr="00A37B63">
        <w:tab/>
        <w:t xml:space="preserve">See the guide entitled </w:t>
      </w:r>
      <w:r>
        <w:t>"</w:t>
      </w:r>
      <w:r w:rsidRPr="00A37B63">
        <w:rPr>
          <w:i/>
        </w:rPr>
        <w:t>Closure Periods</w:t>
      </w:r>
      <w:r>
        <w:t>"</w:t>
      </w:r>
      <w:r w:rsidRPr="00A37B63">
        <w:t xml:space="preserve"> (Feb 2016): </w:t>
      </w:r>
    </w:p>
    <w:p w:rsidR="009A4F49" w:rsidRPr="001B1C4F" w:rsidRDefault="009A4F49" w:rsidP="00B82FC4">
      <w:pPr>
        <w:pStyle w:val="FootnoteText"/>
        <w:spacing w:after="0"/>
      </w:pPr>
      <w:r w:rsidRPr="00A37B63">
        <w:tab/>
      </w:r>
      <w:r>
        <w:t>&lt;</w:t>
      </w:r>
      <w:r w:rsidRPr="00B1030A">
        <w:t>https://www.nationalarchives.gov.uk/documents/information-management/closure-</w:t>
      </w:r>
      <w:r>
        <w:t>‌</w:t>
      </w:r>
      <w:r w:rsidRPr="00B1030A">
        <w:t>periods.pdf</w:t>
      </w:r>
      <w:r>
        <w:t>&gt;</w:t>
      </w:r>
      <w:r w:rsidRPr="00B1030A">
        <w:rPr>
          <w:rStyle w:val="Hyperlink"/>
          <w:rFonts w:hint="eastAsia"/>
        </w:rPr>
        <w:t>.</w:t>
      </w:r>
      <w:r w:rsidRPr="00B1030A">
        <w:t xml:space="preserve"> </w:t>
      </w:r>
    </w:p>
  </w:footnote>
  <w:footnote w:id="446">
    <w:p w:rsidR="009A4F49" w:rsidRPr="00A37B63" w:rsidRDefault="009A4F49" w:rsidP="00B82FC4">
      <w:pPr>
        <w:pStyle w:val="FootnoteText"/>
        <w:spacing w:after="60"/>
      </w:pPr>
      <w:r w:rsidRPr="00A37B63">
        <w:rPr>
          <w:rStyle w:val="FootnoteReference"/>
        </w:rPr>
        <w:footnoteRef/>
      </w:r>
      <w:r w:rsidRPr="00A37B63">
        <w:t xml:space="preserve"> </w:t>
      </w:r>
      <w:r w:rsidRPr="00A37B63">
        <w:tab/>
        <w:t>S 29 of the 1983 Act.</w:t>
      </w:r>
    </w:p>
  </w:footnote>
  <w:footnote w:id="447">
    <w:p w:rsidR="009A4F49" w:rsidRPr="00A37B63" w:rsidRDefault="009A4F49" w:rsidP="00B82FC4">
      <w:pPr>
        <w:pStyle w:val="FootnoteText"/>
        <w:spacing w:after="60"/>
      </w:pPr>
      <w:r w:rsidRPr="00A37B63">
        <w:rPr>
          <w:rStyle w:val="FootnoteReference"/>
        </w:rPr>
        <w:footnoteRef/>
      </w:r>
      <w:r w:rsidRPr="00A37B63">
        <w:t xml:space="preserve"> </w:t>
      </w:r>
      <w:r w:rsidRPr="00A37B63">
        <w:rPr>
          <w:rFonts w:hint="eastAsia"/>
        </w:rPr>
        <w:tab/>
      </w:r>
      <w:r w:rsidRPr="00A37B63">
        <w:t>Namely, Commonwealth records that are required to be readily available for the purposes of a Commonwealth institution other than purposes under the 1983 Act – s 3 of the 1983 Act.</w:t>
      </w:r>
    </w:p>
  </w:footnote>
  <w:footnote w:id="448">
    <w:p w:rsidR="009A4F49" w:rsidRPr="00A37B63" w:rsidRDefault="009A4F49" w:rsidP="00B82FC4">
      <w:pPr>
        <w:pStyle w:val="FootnoteText"/>
        <w:spacing w:after="60"/>
      </w:pPr>
      <w:r w:rsidRPr="00A37B63">
        <w:rPr>
          <w:rStyle w:val="FootnoteReference"/>
        </w:rPr>
        <w:footnoteRef/>
      </w:r>
      <w:r w:rsidRPr="00A37B63">
        <w:t xml:space="preserve"> </w:t>
      </w:r>
      <w:r w:rsidRPr="00A37B63">
        <w:rPr>
          <w:rFonts w:hint="eastAsia"/>
        </w:rPr>
        <w:tab/>
      </w:r>
      <w:r w:rsidRPr="00A37B63">
        <w:t xml:space="preserve">S 27 of the 1983 Act.  </w:t>
      </w:r>
    </w:p>
  </w:footnote>
  <w:footnote w:id="449">
    <w:p w:rsidR="009A4F49" w:rsidRPr="00E41BFB" w:rsidRDefault="009A4F49" w:rsidP="00B82FC4">
      <w:pPr>
        <w:pStyle w:val="FootnoteText"/>
        <w:spacing w:after="60"/>
      </w:pPr>
      <w:r>
        <w:rPr>
          <w:rStyle w:val="FootnoteReference"/>
        </w:rPr>
        <w:footnoteRef/>
      </w:r>
      <w:r>
        <w:t xml:space="preserve"> </w:t>
      </w:r>
      <w:r>
        <w:tab/>
      </w:r>
      <w:r w:rsidRPr="00E41BFB">
        <w:t>Schedule 3 to the Freedom of Information Amendment (Reform) Act 2010.</w:t>
      </w:r>
    </w:p>
  </w:footnote>
  <w:footnote w:id="450">
    <w:p w:rsidR="009A4F49" w:rsidRPr="00A37B63" w:rsidRDefault="009A4F49" w:rsidP="00B82FC4">
      <w:pPr>
        <w:pStyle w:val="FootnoteText"/>
        <w:spacing w:after="60"/>
      </w:pPr>
      <w:r w:rsidRPr="00A37B63">
        <w:rPr>
          <w:rStyle w:val="FootnoteReference"/>
        </w:rPr>
        <w:footnoteRef/>
      </w:r>
      <w:r w:rsidRPr="00A37B63">
        <w:t xml:space="preserve"> </w:t>
      </w:r>
      <w:r w:rsidRPr="00A37B63">
        <w:rPr>
          <w:rFonts w:hint="eastAsia"/>
        </w:rPr>
        <w:tab/>
      </w:r>
      <w:r w:rsidRPr="00A37B63">
        <w:t>Ss 31(1A) and (1) of the 1983 Act.</w:t>
      </w:r>
    </w:p>
  </w:footnote>
  <w:footnote w:id="451">
    <w:p w:rsidR="009A4F49" w:rsidRPr="00A37B63" w:rsidRDefault="009A4F49" w:rsidP="00B82FC4">
      <w:pPr>
        <w:pStyle w:val="FootnoteText"/>
        <w:spacing w:after="60"/>
      </w:pPr>
      <w:r w:rsidRPr="00A37B63">
        <w:rPr>
          <w:rStyle w:val="FootnoteReference"/>
        </w:rPr>
        <w:footnoteRef/>
      </w:r>
      <w:r w:rsidRPr="00A37B63">
        <w:t xml:space="preserve"> </w:t>
      </w:r>
      <w:r w:rsidRPr="00A37B63">
        <w:rPr>
          <w:rFonts w:hint="eastAsia"/>
        </w:rPr>
        <w:tab/>
      </w:r>
      <w:r w:rsidRPr="00A37B63">
        <w:t>S 35(2) of the 1983 Act.</w:t>
      </w:r>
    </w:p>
  </w:footnote>
  <w:footnote w:id="452">
    <w:p w:rsidR="009A4F49" w:rsidRPr="00A37B63" w:rsidRDefault="009A4F49" w:rsidP="00B82FC4">
      <w:pPr>
        <w:pStyle w:val="FootnoteText"/>
        <w:spacing w:after="0"/>
      </w:pPr>
      <w:r w:rsidRPr="00A37B63">
        <w:rPr>
          <w:rStyle w:val="FootnoteReference"/>
        </w:rPr>
        <w:footnoteRef/>
      </w:r>
      <w:r w:rsidRPr="00A37B63">
        <w:t xml:space="preserve"> </w:t>
      </w:r>
      <w:r w:rsidRPr="00A37B63">
        <w:tab/>
        <w:t>Under ss 22A and 22B of the 1983 Act, different open access periods exist for Cabinet notebooks and records containing Census information. For the former, it is being</w:t>
      </w:r>
      <w:r w:rsidRPr="00CC27F8">
        <w:t xml:space="preserve"> </w:t>
      </w:r>
      <w:r w:rsidRPr="00A37B63">
        <w:t>reduced from 50 years to 30 years over a transitional period between 2011 and 2021.  For the latter, it is 99</w:t>
      </w:r>
      <w:r w:rsidRPr="00A37B63">
        <w:rPr>
          <w:lang w:val="en-US"/>
        </w:rPr>
        <w:t> </w:t>
      </w:r>
      <w:r w:rsidRPr="00A37B63">
        <w:t xml:space="preserve">years.  </w:t>
      </w:r>
    </w:p>
  </w:footnote>
  <w:footnote w:id="453">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Ss 31(1A)(b),(1) of the 1983 Act.</w:t>
      </w:r>
    </w:p>
  </w:footnote>
  <w:footnote w:id="454">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 31(2) of the 1983 Act.</w:t>
      </w:r>
    </w:p>
  </w:footnote>
  <w:footnote w:id="455">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 56 of the 1983 Act.</w:t>
      </w:r>
    </w:p>
  </w:footnote>
  <w:footnote w:id="456">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 xml:space="preserve">S 33 of the 1983 Act. </w:t>
      </w:r>
    </w:p>
  </w:footnote>
  <w:footnote w:id="457">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 3(4) of the 1958 Act (as enacted).</w:t>
      </w:r>
    </w:p>
  </w:footnote>
  <w:footnote w:id="458">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 5(1) of the 1958 Act (as enacted).</w:t>
      </w:r>
    </w:p>
  </w:footnote>
  <w:footnote w:id="459">
    <w:p w:rsidR="009A4F49" w:rsidRPr="00A37B63" w:rsidRDefault="009A4F49" w:rsidP="001705B2">
      <w:pPr>
        <w:pStyle w:val="FootnoteText"/>
        <w:spacing w:after="0"/>
      </w:pPr>
      <w:r w:rsidRPr="00A37B63">
        <w:rPr>
          <w:rStyle w:val="FootnoteReference"/>
        </w:rPr>
        <w:footnoteRef/>
      </w:r>
      <w:r w:rsidRPr="00A37B63">
        <w:t xml:space="preserve"> </w:t>
      </w:r>
      <w:r w:rsidRPr="00A37B63">
        <w:rPr>
          <w:rFonts w:hint="eastAsia"/>
        </w:rPr>
        <w:tab/>
      </w:r>
      <w:r w:rsidRPr="00A37B63">
        <w:t xml:space="preserve">See generally, </w:t>
      </w:r>
      <w:r>
        <w:t>&lt;</w:t>
      </w:r>
      <w:r w:rsidRPr="00B1030A">
        <w:t>http://www.nationalarchives.gov.uk/information-management/</w:t>
      </w:r>
      <w:r w:rsidRPr="00B1030A">
        <w:rPr>
          <w:rFonts w:hint="eastAsia"/>
        </w:rPr>
        <w:t xml:space="preserve"> </w:t>
      </w:r>
      <w:r w:rsidRPr="00B1030A">
        <w:t>legislation/public-record</w:t>
      </w:r>
      <w:r w:rsidRPr="00B1030A">
        <w:rPr>
          <w:rFonts w:hint="eastAsia"/>
        </w:rPr>
        <w:t xml:space="preserve"> </w:t>
      </w:r>
      <w:r w:rsidRPr="00B1030A">
        <w:t>s-act/public-records-system/</w:t>
      </w:r>
      <w:r>
        <w:t>&gt;</w:t>
      </w:r>
      <w:r w:rsidRPr="00B1030A">
        <w:rPr>
          <w:rStyle w:val="Hyperlink"/>
          <w:rFonts w:hint="eastAsia"/>
        </w:rPr>
        <w:t>.</w:t>
      </w:r>
      <w:r w:rsidRPr="00A37B63">
        <w:t xml:space="preserve"> </w:t>
      </w:r>
    </w:p>
  </w:footnote>
  <w:footnote w:id="460">
    <w:p w:rsidR="009A4F49" w:rsidRPr="00A37B63" w:rsidRDefault="009A4F49" w:rsidP="00E647F3">
      <w:pPr>
        <w:pStyle w:val="FootnoteText"/>
        <w:spacing w:after="80"/>
      </w:pPr>
      <w:r w:rsidRPr="00A37B63">
        <w:rPr>
          <w:rStyle w:val="FootnoteReference"/>
        </w:rPr>
        <w:footnoteRef/>
      </w:r>
      <w:r w:rsidRPr="00A37B63">
        <w:t xml:space="preserve"> </w:t>
      </w:r>
      <w:r w:rsidRPr="00A37B63">
        <w:rPr>
          <w:rFonts w:hint="eastAsia"/>
        </w:rPr>
        <w:tab/>
      </w:r>
      <w:r w:rsidRPr="00A37B63">
        <w:rPr>
          <w:i/>
        </w:rPr>
        <w:t xml:space="preserve">Review of the 30 Year Rule: Final Report </w:t>
      </w:r>
      <w:r w:rsidRPr="00A37B63">
        <w:t xml:space="preserve">(Jan 2009) at para 2.12, available at: </w:t>
      </w:r>
      <w:r>
        <w:t>&lt;</w:t>
      </w:r>
      <w:r w:rsidRPr="00B1030A">
        <w:t>http://webarchive.nationalarchives.gov.uk/20090516124151/http://www2.nationalarchives.gov.uk/30yrr/30-year-rule-report.pdf</w:t>
      </w:r>
      <w:r>
        <w:t>&gt;</w:t>
      </w:r>
      <w:r w:rsidRPr="001B1C4F">
        <w:rPr>
          <w:rFonts w:hint="eastAsia"/>
        </w:rPr>
        <w:t>.</w:t>
      </w:r>
    </w:p>
  </w:footnote>
  <w:footnote w:id="461">
    <w:p w:rsidR="009A4F49" w:rsidRPr="00E41BFB" w:rsidRDefault="009A4F49" w:rsidP="00E647F3">
      <w:pPr>
        <w:pStyle w:val="FootnoteText"/>
        <w:spacing w:after="80"/>
        <w:rPr>
          <w:szCs w:val="18"/>
        </w:rPr>
      </w:pPr>
      <w:r w:rsidRPr="00A37B63">
        <w:rPr>
          <w:rStyle w:val="FootnoteReference"/>
        </w:rPr>
        <w:footnoteRef/>
      </w:r>
      <w:r w:rsidRPr="00A37B63">
        <w:t xml:space="preserve"> </w:t>
      </w:r>
      <w:r w:rsidRPr="00A37B63">
        <w:tab/>
      </w:r>
      <w:r w:rsidRPr="00A37B63">
        <w:rPr>
          <w:i/>
        </w:rPr>
        <w:t xml:space="preserve">Review of the 30 Year Rule: Final Report </w:t>
      </w:r>
      <w:r w:rsidRPr="00A37B63">
        <w:t xml:space="preserve">(Jan 2009) at para 7.6, available at: </w:t>
      </w:r>
      <w:r w:rsidRPr="001705B2">
        <w:t>&lt;</w:t>
      </w:r>
      <w:r w:rsidRPr="001705B2">
        <w:rPr>
          <w:rStyle w:val="Hyperlink"/>
          <w:color w:val="auto"/>
          <w:u w:val="none"/>
        </w:rPr>
        <w:t>http://webarchive.nationalarchives.gov.uk/20090516124151/http://www2.nationalarchives.gov.uk/30yrr/30-year-rule-report.pdf&gt;</w:t>
      </w:r>
      <w:r w:rsidRPr="001705B2">
        <w:rPr>
          <w:rStyle w:val="Hyperlink"/>
          <w:rFonts w:hint="eastAsia"/>
          <w:color w:val="auto"/>
          <w:u w:val="none"/>
        </w:rPr>
        <w:t>.</w:t>
      </w:r>
    </w:p>
  </w:footnote>
  <w:footnote w:id="462">
    <w:p w:rsidR="009A4F49" w:rsidRPr="00A37B63" w:rsidRDefault="009A4F49" w:rsidP="001705B2">
      <w:pPr>
        <w:pStyle w:val="FootnoteText"/>
        <w:spacing w:after="80"/>
      </w:pPr>
      <w:r w:rsidRPr="00A37B63">
        <w:rPr>
          <w:rStyle w:val="FootnoteReference"/>
        </w:rPr>
        <w:footnoteRef/>
      </w:r>
      <w:r w:rsidRPr="00A37B63">
        <w:t xml:space="preserve"> </w:t>
      </w:r>
      <w:r w:rsidRPr="00A37B63">
        <w:tab/>
        <w:t>The transition for some records is phased between 2013 and 2022; others between 2015 and 2024. For the former arrangement, see:  The Constitutional Reform and Governance Act 2010 (Commencement No 7) Order 2012 (SI 2012/3001) and The Public Records (Transfer to the Public Record Office)</w:t>
      </w:r>
      <w:r>
        <w:rPr>
          <w:rFonts w:hint="eastAsia"/>
        </w:rPr>
        <w:t xml:space="preserve"> </w:t>
      </w:r>
      <w:r w:rsidRPr="00A37B63">
        <w:t xml:space="preserve">(Transitional and Saving Provisions) Order 2012 (SI 2012/3028). </w:t>
      </w:r>
      <w:r>
        <w:rPr>
          <w:rFonts w:hint="eastAsia"/>
        </w:rPr>
        <w:t xml:space="preserve"> </w:t>
      </w:r>
      <w:r w:rsidRPr="00A37B63">
        <w:t>For the latter arrangement, see: The Constitutional Reform and Governance Act 2010 (Commencement No 9) Order 2014 (SI 2014/3245) and The Public Records (Transfer to the Public Record Office)</w:t>
      </w:r>
      <w:r>
        <w:rPr>
          <w:rFonts w:hint="eastAsia"/>
        </w:rPr>
        <w:t xml:space="preserve"> </w:t>
      </w:r>
      <w:r w:rsidRPr="00A37B63">
        <w:t>(Transitional and Saving Provisions) Order 2014 (SI 2014/3249).</w:t>
      </w:r>
    </w:p>
  </w:footnote>
  <w:footnote w:id="463">
    <w:p w:rsidR="009A4F49" w:rsidRPr="00A37B63" w:rsidRDefault="009A4F49" w:rsidP="001705B2">
      <w:pPr>
        <w:pStyle w:val="FootnoteText"/>
        <w:spacing w:after="0"/>
      </w:pPr>
      <w:r w:rsidRPr="00A37B63">
        <w:rPr>
          <w:rStyle w:val="FootnoteReference"/>
        </w:rPr>
        <w:footnoteRef/>
      </w:r>
      <w:r w:rsidRPr="00A37B63">
        <w:t xml:space="preserve"> </w:t>
      </w:r>
      <w:r w:rsidRPr="00A37B63">
        <w:rPr>
          <w:rFonts w:hint="eastAsia"/>
        </w:rPr>
        <w:tab/>
      </w:r>
      <w:r w:rsidRPr="00A37B63">
        <w:t xml:space="preserve">Guidance on sensitivity review of selected records can be found at: </w:t>
      </w:r>
    </w:p>
    <w:p w:rsidR="009A4F49" w:rsidRPr="0050639F" w:rsidRDefault="009A4F49" w:rsidP="00E647F3">
      <w:pPr>
        <w:pStyle w:val="FootnoteText"/>
        <w:spacing w:after="80"/>
      </w:pPr>
      <w:r w:rsidRPr="00A37B63">
        <w:rPr>
          <w:lang w:val="en-US"/>
        </w:rPr>
        <w:tab/>
      </w:r>
      <w:r>
        <w:rPr>
          <w:lang w:val="en-US"/>
        </w:rPr>
        <w:t>&lt;</w:t>
      </w:r>
      <w:r w:rsidRPr="0050639F">
        <w:rPr>
          <w:lang w:val="en-US"/>
        </w:rPr>
        <w:t>http://www.nationalarchives.gov.uk/information-management/manage-information/</w:t>
      </w:r>
      <w:r>
        <w:rPr>
          <w:lang w:val="en-US"/>
        </w:rPr>
        <w:t>‌</w:t>
      </w:r>
      <w:r w:rsidRPr="0050639F">
        <w:rPr>
          <w:lang w:val="en-US"/>
        </w:rPr>
        <w:t>selection-and-transfer/sensitivity-reviews-on-selected-records</w:t>
      </w:r>
      <w:r>
        <w:rPr>
          <w:lang w:val="en-US"/>
        </w:rPr>
        <w:t>/&gt;</w:t>
      </w:r>
      <w:r w:rsidRPr="00E647F3">
        <w:rPr>
          <w:rStyle w:val="Hyperlink"/>
          <w:rFonts w:hint="eastAsia"/>
          <w:color w:val="auto"/>
          <w:u w:val="none"/>
          <w:lang w:val="en-US"/>
        </w:rPr>
        <w:t>.</w:t>
      </w:r>
    </w:p>
  </w:footnote>
  <w:footnote w:id="464">
    <w:p w:rsidR="009A4F49" w:rsidRPr="00A37B63" w:rsidRDefault="009A4F49" w:rsidP="001705B2">
      <w:pPr>
        <w:pStyle w:val="FootnoteText"/>
        <w:spacing w:after="0"/>
      </w:pPr>
      <w:r w:rsidRPr="00A37B63">
        <w:rPr>
          <w:rStyle w:val="FootnoteReference"/>
        </w:rPr>
        <w:footnoteRef/>
      </w:r>
      <w:r w:rsidRPr="00A37B63">
        <w:t xml:space="preserve"> </w:t>
      </w:r>
      <w:r w:rsidRPr="00A37B63">
        <w:rPr>
          <w:rFonts w:hint="eastAsia"/>
        </w:rPr>
        <w:tab/>
      </w:r>
      <w:r w:rsidRPr="00A37B63">
        <w:t>See generally:</w:t>
      </w:r>
    </w:p>
    <w:p w:rsidR="009A4F49" w:rsidRPr="001B1C4F" w:rsidRDefault="009A4F49" w:rsidP="001705B2">
      <w:pPr>
        <w:pStyle w:val="FootnoteText"/>
        <w:spacing w:after="0"/>
      </w:pPr>
      <w:r w:rsidRPr="00A37B63">
        <w:rPr>
          <w:rFonts w:hint="eastAsia"/>
        </w:rPr>
        <w:tab/>
      </w:r>
      <w:r>
        <w:t>&lt;</w:t>
      </w:r>
      <w:r w:rsidRPr="0050639F">
        <w:t>http://www.nationalarchives.gov.uk/information-management/legislation/public-records-act/public-records-system/</w:t>
      </w:r>
      <w:r>
        <w:t>&gt;.</w:t>
      </w:r>
    </w:p>
  </w:footnote>
  <w:footnote w:id="465">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rPr>
          <w:i/>
        </w:rPr>
        <w:t xml:space="preserve">Review of the 30 Year Rule: Final Report </w:t>
      </w:r>
      <w:r w:rsidRPr="00A37B63">
        <w:t xml:space="preserve">(Jan 2009) at para 2.18, available at: </w:t>
      </w:r>
      <w:r w:rsidRPr="00725DBC">
        <w:t xml:space="preserve"> </w:t>
      </w:r>
      <w:r>
        <w:t>&lt;</w:t>
      </w:r>
      <w:r w:rsidRPr="0050639F">
        <w:t>http://webarchive.nationalarchives.gov.uk/20090516124151/http://www2.nationalarchives.gov.uk/30yrr/30-year-rule-report.pdf</w:t>
      </w:r>
      <w:r>
        <w:t>&gt;</w:t>
      </w:r>
      <w:r w:rsidRPr="0050639F">
        <w:rPr>
          <w:rStyle w:val="Hyperlink"/>
          <w:rFonts w:hint="eastAsia"/>
        </w:rPr>
        <w:t>.</w:t>
      </w:r>
      <w:r w:rsidRPr="0050639F">
        <w:rPr>
          <w:rStyle w:val="Hyperlink"/>
        </w:rPr>
        <w:t xml:space="preserve"> </w:t>
      </w:r>
    </w:p>
  </w:footnote>
  <w:footnote w:id="466">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 62(1) of the FOIA 2000.</w:t>
      </w:r>
    </w:p>
  </w:footnote>
  <w:footnote w:id="467">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See generally, Part VI of the FOIA 2000.</w:t>
      </w:r>
    </w:p>
  </w:footnote>
  <w:footnote w:id="468">
    <w:p w:rsidR="009A4F49" w:rsidRPr="00566E6B" w:rsidRDefault="009A4F49" w:rsidP="00C51DE0">
      <w:pPr>
        <w:pStyle w:val="FootnoteText"/>
      </w:pPr>
      <w:r>
        <w:rPr>
          <w:rStyle w:val="FootnoteReference"/>
        </w:rPr>
        <w:footnoteRef/>
      </w:r>
      <w:r>
        <w:t xml:space="preserve"> </w:t>
      </w:r>
      <w:r>
        <w:tab/>
      </w:r>
      <w:r w:rsidRPr="00566E6B">
        <w:t>We note that the National Archives (Amendment) Act 2018 was enacted in July 2018 but has not yet come into force.  Its main purpose, according to the Explanatory Memorandum of the Bill, is to provide for the phased implementation of a “20 Year Rule” for the transfer of Departmental records to the NAI by amending the 1986 Act.</w:t>
      </w:r>
    </w:p>
  </w:footnote>
  <w:footnote w:id="469">
    <w:p w:rsidR="009A4F49" w:rsidRPr="00CC27F8" w:rsidRDefault="009A4F49" w:rsidP="00C51DE0">
      <w:pPr>
        <w:pStyle w:val="FootnoteText"/>
      </w:pPr>
      <w:r w:rsidRPr="00CC27F8">
        <w:rPr>
          <w:rStyle w:val="FootnoteReference"/>
        </w:rPr>
        <w:footnoteRef/>
      </w:r>
      <w:r w:rsidRPr="00CC27F8">
        <w:t xml:space="preserve"> </w:t>
      </w:r>
      <w:r w:rsidRPr="00CC27F8">
        <w:rPr>
          <w:rFonts w:hint="eastAsia"/>
        </w:rPr>
        <w:tab/>
      </w:r>
      <w:r w:rsidRPr="00CC27F8">
        <w:t>Ss 8(2) and 8(5) of the 1986 Act.</w:t>
      </w:r>
    </w:p>
  </w:footnote>
  <w:footnote w:id="470">
    <w:p w:rsidR="009A4F49" w:rsidRPr="00CC27F8" w:rsidRDefault="009A4F49" w:rsidP="00C51DE0">
      <w:pPr>
        <w:pStyle w:val="FootnoteText"/>
      </w:pPr>
      <w:r w:rsidRPr="00CC27F8">
        <w:rPr>
          <w:rStyle w:val="FootnoteReference"/>
        </w:rPr>
        <w:footnoteRef/>
      </w:r>
      <w:r w:rsidRPr="00CC27F8">
        <w:t xml:space="preserve"> </w:t>
      </w:r>
      <w:r w:rsidRPr="00CC27F8">
        <w:rPr>
          <w:rFonts w:hint="eastAsia"/>
        </w:rPr>
        <w:tab/>
      </w:r>
      <w:r w:rsidRPr="00CC27F8">
        <w:t>S 8(1) of the 1986 Act.</w:t>
      </w:r>
    </w:p>
  </w:footnote>
  <w:footnote w:id="471">
    <w:p w:rsidR="009A4F49" w:rsidRPr="007D3B56" w:rsidRDefault="009A4F49" w:rsidP="00E647F3">
      <w:pPr>
        <w:pStyle w:val="FootnoteText"/>
        <w:spacing w:after="0"/>
      </w:pPr>
      <w:r>
        <w:rPr>
          <w:rStyle w:val="FootnoteReference"/>
        </w:rPr>
        <w:footnoteRef/>
      </w:r>
      <w:r>
        <w:t xml:space="preserve"> </w:t>
      </w:r>
      <w:r>
        <w:tab/>
      </w:r>
      <w:r w:rsidRPr="00427220">
        <w:t>S</w:t>
      </w:r>
      <w:r>
        <w:t xml:space="preserve"> </w:t>
      </w:r>
      <w:r w:rsidRPr="00427220">
        <w:t>14 of the 1986 Act.</w:t>
      </w:r>
    </w:p>
  </w:footnote>
  <w:footnote w:id="472">
    <w:p w:rsidR="009A4F49" w:rsidRPr="00CC27F8" w:rsidRDefault="009A4F49" w:rsidP="00C51DE0">
      <w:pPr>
        <w:pStyle w:val="FootnoteText"/>
      </w:pPr>
      <w:r w:rsidRPr="00CC27F8">
        <w:rPr>
          <w:rStyle w:val="FootnoteReference"/>
        </w:rPr>
        <w:footnoteRef/>
      </w:r>
      <w:r w:rsidRPr="00CC27F8">
        <w:t xml:space="preserve"> </w:t>
      </w:r>
      <w:r w:rsidRPr="00CC27F8">
        <w:rPr>
          <w:rFonts w:hint="eastAsia"/>
        </w:rPr>
        <w:tab/>
      </w:r>
      <w:r w:rsidRPr="00CC27F8">
        <w:t>Ss 10(1) and 8(4) of the 1986 Act.</w:t>
      </w:r>
    </w:p>
  </w:footnote>
  <w:footnote w:id="473">
    <w:p w:rsidR="009A4F49" w:rsidRPr="00B36568" w:rsidRDefault="009A4F49" w:rsidP="00C51DE0">
      <w:pPr>
        <w:pStyle w:val="FootnoteText"/>
      </w:pPr>
      <w:r w:rsidRPr="00B36568">
        <w:rPr>
          <w:rStyle w:val="FootnoteReference"/>
        </w:rPr>
        <w:footnoteRef/>
      </w:r>
      <w:r w:rsidRPr="00B36568">
        <w:t xml:space="preserve"> </w:t>
      </w:r>
      <w:r w:rsidRPr="00B36568">
        <w:rPr>
          <w:rFonts w:hint="eastAsia"/>
        </w:rPr>
        <w:tab/>
      </w:r>
      <w:r w:rsidRPr="00B36568">
        <w:t>S 10(6) of the 1986 Act.</w:t>
      </w:r>
    </w:p>
  </w:footnote>
  <w:footnote w:id="474">
    <w:p w:rsidR="009A4F49" w:rsidRPr="00A37B63" w:rsidRDefault="009A4F49" w:rsidP="00E647F3">
      <w:pPr>
        <w:pStyle w:val="FootnoteText"/>
        <w:spacing w:after="0"/>
      </w:pPr>
      <w:r w:rsidRPr="00A37B63">
        <w:rPr>
          <w:rStyle w:val="FootnoteReference"/>
        </w:rPr>
        <w:footnoteRef/>
      </w:r>
      <w:r w:rsidRPr="00A37B63">
        <w:t xml:space="preserve"> </w:t>
      </w:r>
      <w:r w:rsidRPr="00A37B63">
        <w:rPr>
          <w:rFonts w:hint="eastAsia"/>
        </w:rPr>
        <w:tab/>
      </w:r>
      <w:r w:rsidRPr="00A37B63">
        <w:t xml:space="preserve">Ss 21(1), (2)(b) and 22 of the 2005 Act. </w:t>
      </w:r>
    </w:p>
  </w:footnote>
  <w:footnote w:id="475">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S 43 of the 2005 Act.</w:t>
      </w:r>
    </w:p>
  </w:footnote>
  <w:footnote w:id="476">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 xml:space="preserve">S 44(2) of the 2005 Act. </w:t>
      </w:r>
    </w:p>
  </w:footnote>
  <w:footnote w:id="477">
    <w:p w:rsidR="009A4F49" w:rsidRPr="00A37B63" w:rsidRDefault="009A4F49" w:rsidP="00C51DE0">
      <w:pPr>
        <w:pStyle w:val="FootnoteText"/>
      </w:pPr>
      <w:r w:rsidRPr="00A37B63">
        <w:rPr>
          <w:rStyle w:val="FootnoteReference"/>
        </w:rPr>
        <w:footnoteRef/>
      </w:r>
      <w:r w:rsidRPr="00A37B63">
        <w:t xml:space="preserve"> </w:t>
      </w:r>
      <w:r w:rsidRPr="00A37B63">
        <w:rPr>
          <w:rFonts w:hint="eastAsia"/>
        </w:rPr>
        <w:tab/>
      </w:r>
      <w:r w:rsidRPr="00A37B63">
        <w:t xml:space="preserve">S 47 of the 2005 Act. </w:t>
      </w:r>
    </w:p>
  </w:footnote>
  <w:footnote w:id="478">
    <w:p w:rsidR="009A4F49" w:rsidRPr="00B36568" w:rsidRDefault="009A4F49" w:rsidP="00E647F3">
      <w:pPr>
        <w:pStyle w:val="FootnoteText"/>
        <w:spacing w:after="0"/>
      </w:pPr>
      <w:r w:rsidRPr="00B36568">
        <w:rPr>
          <w:rStyle w:val="FootnoteReference"/>
        </w:rPr>
        <w:footnoteRef/>
      </w:r>
      <w:r w:rsidRPr="00B36568">
        <w:t xml:space="preserve"> </w:t>
      </w:r>
      <w:r w:rsidRPr="00B36568">
        <w:tab/>
      </w:r>
      <w:r>
        <w:t>&lt;</w:t>
      </w:r>
      <w:r w:rsidRPr="0050639F">
        <w:t>http://www.nas.gov.sg/About-Us/Mandate</w:t>
      </w:r>
      <w:r>
        <w:t>&gt;</w:t>
      </w:r>
      <w:r w:rsidRPr="0050639F">
        <w:rPr>
          <w:rStyle w:val="Hyperlink"/>
          <w:rFonts w:hint="eastAsia"/>
        </w:rPr>
        <w:t>.</w:t>
      </w:r>
      <w:r w:rsidRPr="0050639F">
        <w:t xml:space="preserve"> </w:t>
      </w:r>
    </w:p>
  </w:footnote>
  <w:footnote w:id="479">
    <w:p w:rsidR="009A4F49" w:rsidRPr="00B36568" w:rsidRDefault="009A4F49" w:rsidP="00E647F3">
      <w:pPr>
        <w:pStyle w:val="FootnoteText"/>
        <w:spacing w:after="0"/>
      </w:pPr>
      <w:r w:rsidRPr="00B36568">
        <w:rPr>
          <w:rStyle w:val="FootnoteReference"/>
        </w:rPr>
        <w:footnoteRef/>
      </w:r>
      <w:r w:rsidRPr="00B36568">
        <w:t xml:space="preserve"> </w:t>
      </w:r>
      <w:r w:rsidRPr="00B36568">
        <w:rPr>
          <w:rFonts w:hint="eastAsia"/>
        </w:rPr>
        <w:tab/>
      </w:r>
      <w:r w:rsidRPr="00B36568">
        <w:t>S 14E(2) of the NLBA.</w:t>
      </w:r>
    </w:p>
  </w:footnote>
  <w:footnote w:id="480">
    <w:p w:rsidR="009A4F49" w:rsidRDefault="009A4F49" w:rsidP="00E647F3">
      <w:pPr>
        <w:pStyle w:val="FootnoteText"/>
        <w:spacing w:after="0"/>
        <w:rPr>
          <w:lang w:val="en-US"/>
        </w:rPr>
      </w:pPr>
      <w:r>
        <w:rPr>
          <w:rStyle w:val="FootnoteReference"/>
        </w:rPr>
        <w:footnoteRef/>
      </w:r>
      <w:r>
        <w:t xml:space="preserve"> </w:t>
      </w:r>
      <w:r>
        <w:rPr>
          <w:lang w:val="en-US"/>
        </w:rPr>
        <w:tab/>
        <w:t xml:space="preserve">2007 Civic Exchange Report, at 29. </w:t>
      </w:r>
    </w:p>
  </w:footnote>
  <w:footnote w:id="481">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Reply by the then Chief Secretary for Administration in LegCo motion debate on "Enacting an archives law", Hong Kong Hansard, 16 November 2011, pages 2195; press release "Government will co-operate with The Ombudsman", 4 January 2013 (&lt;</w:t>
      </w:r>
      <w:r w:rsidRPr="008F35FB">
        <w:rPr>
          <w:rFonts w:cs="Arial"/>
          <w:sz w:val="20"/>
        </w:rPr>
        <w:t>http://www.cmab.gov.hk/en/press/press_3101.htm</w:t>
      </w:r>
      <w:r>
        <w:rPr>
          <w:rFonts w:cs="Arial"/>
          <w:sz w:val="20"/>
        </w:rPr>
        <w:t>&gt;); press release of written reply by the then Chief Secretary for Administration to the LegCo on "Government records management", 23 January 2013 (&lt;</w:t>
      </w:r>
      <w:r w:rsidRPr="008F35FB">
        <w:rPr>
          <w:rFonts w:cs="Arial"/>
          <w:sz w:val="20"/>
        </w:rPr>
        <w:t>http://www.info.gov.hk/gia/general/201301/23/ P201301230319.htm</w:t>
      </w:r>
      <w:r>
        <w:rPr>
          <w:rFonts w:cs="Arial"/>
          <w:sz w:val="20"/>
        </w:rPr>
        <w:t>&gt;); the Government minute in response to The Annual Report of The Ombudsman 2014 by the then Chief Secretary for Administration in the Legislative Council, Hong Kong Hansard, 10 December 2014, pp 3386 to 3387 (&lt;</w:t>
      </w:r>
      <w:r w:rsidRPr="008F35FB">
        <w:rPr>
          <w:rFonts w:cs="Arial"/>
          <w:sz w:val="20"/>
        </w:rPr>
        <w:t>http://www.legco.gov.hk/yr14-15/english/counmtg/hansard/cm20141210-translate-e.pdf#nameddest=add01</w:t>
      </w:r>
      <w:r>
        <w:rPr>
          <w:rFonts w:cs="Arial"/>
          <w:sz w:val="20"/>
        </w:rPr>
        <w:t>&gt;);</w:t>
      </w:r>
      <w:r w:rsidRPr="005B2FE5">
        <w:t xml:space="preserve"> </w:t>
      </w:r>
      <w:r w:rsidRPr="005B2FE5">
        <w:rPr>
          <w:rFonts w:cs="Arial"/>
          <w:sz w:val="20"/>
        </w:rPr>
        <w:t xml:space="preserve">press release of written reply by the then Chief Secretary for Administration to the LegCo on </w:t>
      </w:r>
      <w:r>
        <w:rPr>
          <w:rFonts w:cs="Arial"/>
          <w:sz w:val="20"/>
        </w:rPr>
        <w:t>"</w:t>
      </w:r>
      <w:r w:rsidRPr="005B2FE5">
        <w:rPr>
          <w:rFonts w:cs="Arial"/>
          <w:sz w:val="20"/>
        </w:rPr>
        <w:t>Management of public records</w:t>
      </w:r>
      <w:r>
        <w:rPr>
          <w:rFonts w:cs="Arial"/>
          <w:sz w:val="20"/>
        </w:rPr>
        <w:t>"</w:t>
      </w:r>
      <w:r w:rsidRPr="005B2FE5">
        <w:rPr>
          <w:rFonts w:cs="Arial"/>
          <w:sz w:val="20"/>
        </w:rPr>
        <w:t>, 23 November 2016 (</w:t>
      </w:r>
      <w:r>
        <w:rPr>
          <w:rFonts w:cs="Arial"/>
          <w:sz w:val="20"/>
        </w:rPr>
        <w:t>&lt;</w:t>
      </w:r>
      <w:r w:rsidRPr="008F35FB">
        <w:rPr>
          <w:rFonts w:cs="Arial"/>
          <w:sz w:val="20"/>
        </w:rPr>
        <w:t>http://www.info.gov.hk/gia/general/201611/23/P2016112300555.htm</w:t>
      </w:r>
      <w:r>
        <w:rPr>
          <w:rFonts w:cs="Arial"/>
          <w:sz w:val="20"/>
        </w:rPr>
        <w:t xml:space="preserve">&gt;).  </w:t>
      </w:r>
    </w:p>
  </w:footnote>
  <w:footnote w:id="482">
    <w:p w:rsidR="009A4F49" w:rsidRDefault="009A4F49" w:rsidP="00E647F3">
      <w:pPr>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Including: (a) General Circulars and Circular Memorandum issued: – GC09, GC12, Administration Wing of the Chief Secretary for Administration's Office Circular Memorandum No 3/2011 entitled "</w:t>
      </w:r>
      <w:r>
        <w:rPr>
          <w:rFonts w:cs="Arial"/>
          <w:i/>
          <w:sz w:val="20"/>
        </w:rPr>
        <w:t>Sharing Good Records Management Practices with Government-owned or Funded Statutory Bodies</w:t>
      </w:r>
      <w:r>
        <w:rPr>
          <w:rFonts w:cs="Arial"/>
          <w:sz w:val="20"/>
        </w:rPr>
        <w:t>", GCCR and EDRMP; (b)</w:t>
      </w:r>
      <w:r>
        <w:rPr>
          <w:rFonts w:cs="Arial"/>
          <w:sz w:val="20"/>
          <w:lang w:val="en-US"/>
        </w:rPr>
        <w:t> </w:t>
      </w:r>
      <w:r>
        <w:rPr>
          <w:rFonts w:cs="Arial"/>
          <w:sz w:val="20"/>
        </w:rPr>
        <w:t xml:space="preserve">Publications revised and updated: – GARDS; (c) New publications – DOR, FRERKS, HPER, </w:t>
      </w:r>
      <w:r>
        <w:rPr>
          <w:rFonts w:cs="Arial"/>
          <w:i/>
          <w:sz w:val="20"/>
        </w:rPr>
        <w:t>Recordkeeping Metadata Standard for the Government of the Hong Kong SAR: Implementation Guidelines</w:t>
      </w:r>
      <w:r>
        <w:rPr>
          <w:rFonts w:cs="Arial"/>
          <w:sz w:val="20"/>
        </w:rPr>
        <w:t xml:space="preserve">, </w:t>
      </w:r>
      <w:r>
        <w:rPr>
          <w:rFonts w:cs="Arial"/>
          <w:i/>
          <w:sz w:val="20"/>
        </w:rPr>
        <w:t>Guidelines on Implementation of an Electronic Recordkeeping System: Key Considerations and Preparation Work Required</w:t>
      </w:r>
      <w:r>
        <w:rPr>
          <w:rFonts w:cs="Arial"/>
          <w:sz w:val="20"/>
        </w:rPr>
        <w:t xml:space="preserve">, </w:t>
      </w:r>
      <w:r>
        <w:rPr>
          <w:rFonts w:cs="Arial"/>
          <w:i/>
          <w:sz w:val="20"/>
        </w:rPr>
        <w:t>Guidelines on mapping out Implementation of an Electronic Recordkeeping System  in the Context of Developing Organisational Electronic Information Management Strategies</w:t>
      </w:r>
      <w:r>
        <w:rPr>
          <w:rFonts w:cs="Arial"/>
          <w:sz w:val="20"/>
        </w:rPr>
        <w:t xml:space="preserve">, </w:t>
      </w:r>
      <w:r>
        <w:rPr>
          <w:rFonts w:cs="Arial"/>
          <w:i/>
          <w:sz w:val="20"/>
        </w:rPr>
        <w:t>A Handbook on Records Management Practices and Guidelines for an Electronic Recordkeeping System</w:t>
      </w:r>
      <w:r>
        <w:rPr>
          <w:rFonts w:cs="Arial"/>
          <w:sz w:val="20"/>
        </w:rPr>
        <w:t xml:space="preserve">, </w:t>
      </w:r>
      <w:r>
        <w:rPr>
          <w:rFonts w:cs="Arial"/>
          <w:i/>
          <w:sz w:val="20"/>
        </w:rPr>
        <w:t>Manual on Evaluation of an Electronic Recordkeeping System</w:t>
      </w:r>
      <w:r>
        <w:rPr>
          <w:rFonts w:cs="Arial"/>
          <w:sz w:val="20"/>
        </w:rPr>
        <w:t xml:space="preserve">.  </w:t>
      </w:r>
    </w:p>
  </w:footnote>
  <w:footnote w:id="483">
    <w:p w:rsidR="009A4F49" w:rsidRDefault="009A4F49" w:rsidP="00C51DE0">
      <w:pPr>
        <w:pStyle w:val="FootnoteText"/>
      </w:pPr>
      <w:r>
        <w:rPr>
          <w:rStyle w:val="FootnoteReference"/>
        </w:rPr>
        <w:footnoteRef/>
      </w:r>
      <w:r>
        <w:t xml:space="preserve"> </w:t>
      </w:r>
      <w:r>
        <w:tab/>
        <w:t xml:space="preserve">See </w:t>
      </w:r>
      <w:r w:rsidRPr="003636F5">
        <w:t>Annex I where</w:t>
      </w:r>
      <w:r>
        <w:t xml:space="preserve"> the mandatory requirements are underlined for easy reference.</w:t>
      </w:r>
    </w:p>
  </w:footnote>
  <w:footnote w:id="484">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 xml:space="preserve">The memorandum of conditions of service is not a published document, but the terms of appointment of public servants in Hong Kong had been considered by the Court of Final Appeal in the case of </w:t>
      </w:r>
      <w:r>
        <w:rPr>
          <w:rFonts w:cs="Arial"/>
          <w:i/>
          <w:sz w:val="20"/>
        </w:rPr>
        <w:t>Secretary for Justice v Lau Kwok Fai &amp; Another</w:t>
      </w:r>
      <w:r>
        <w:rPr>
          <w:rFonts w:cs="Arial"/>
          <w:b/>
          <w:i/>
          <w:sz w:val="20"/>
        </w:rPr>
        <w:t xml:space="preserve"> </w:t>
      </w:r>
      <w:r>
        <w:rPr>
          <w:rFonts w:cs="Arial"/>
          <w:sz w:val="20"/>
        </w:rPr>
        <w:t>(2005) 8 HKCFAR 304 at para 20-21:-</w:t>
      </w:r>
    </w:p>
    <w:p w:rsidR="009A4F49" w:rsidRDefault="009A4F49" w:rsidP="00DF3CF7">
      <w:pPr>
        <w:spacing w:after="120"/>
        <w:ind w:left="1440" w:right="720" w:hanging="1440"/>
        <w:rPr>
          <w:rFonts w:cs="Arial"/>
          <w:sz w:val="20"/>
        </w:rPr>
      </w:pPr>
      <w:r>
        <w:rPr>
          <w:rFonts w:cs="Arial" w:hint="eastAsia"/>
          <w:sz w:val="20"/>
        </w:rPr>
        <w:tab/>
      </w:r>
      <w:r>
        <w:rPr>
          <w:rFonts w:cs="Arial"/>
          <w:sz w:val="20"/>
        </w:rPr>
        <w:t>"</w:t>
      </w:r>
      <w:r>
        <w:rPr>
          <w:rFonts w:cs="Arial"/>
          <w:i/>
          <w:sz w:val="20"/>
        </w:rPr>
        <w:t>…</w:t>
      </w:r>
      <w:r>
        <w:rPr>
          <w:rFonts w:cs="Arial" w:hint="eastAsia"/>
          <w:i/>
          <w:sz w:val="20"/>
        </w:rPr>
        <w:t xml:space="preserve"> </w:t>
      </w:r>
      <w:r>
        <w:rPr>
          <w:rFonts w:cs="Arial"/>
          <w:i/>
          <w:sz w:val="20"/>
        </w:rPr>
        <w:t xml:space="preserve">the employment of public officers in Hong </w:t>
      </w:r>
      <w:r>
        <w:rPr>
          <w:rFonts w:cs="Arial"/>
          <w:i/>
          <w:sz w:val="20"/>
          <w:lang w:eastAsia="zh-HK"/>
        </w:rPr>
        <w:t>Kong</w:t>
      </w:r>
      <w:r>
        <w:rPr>
          <w:rFonts w:cs="Arial"/>
          <w:i/>
          <w:sz w:val="20"/>
        </w:rPr>
        <w:t xml:space="preserve"> has </w:t>
      </w:r>
      <w:r>
        <w:rPr>
          <w:rFonts w:cs="Arial"/>
          <w:i/>
          <w:sz w:val="20"/>
          <w:lang w:eastAsia="zh-HK"/>
        </w:rPr>
        <w:t>at</w:t>
      </w:r>
      <w:r>
        <w:rPr>
          <w:rFonts w:cs="Arial"/>
          <w:i/>
          <w:sz w:val="20"/>
        </w:rPr>
        <w:t xml:space="preserve"> all time</w:t>
      </w:r>
      <w:r>
        <w:rPr>
          <w:rFonts w:cs="Arial"/>
          <w:i/>
          <w:sz w:val="20"/>
          <w:lang w:eastAsia="zh-HK"/>
        </w:rPr>
        <w:t>s</w:t>
      </w:r>
      <w:r>
        <w:rPr>
          <w:rFonts w:cs="Arial"/>
          <w:i/>
          <w:sz w:val="20"/>
        </w:rPr>
        <w:t xml:space="preserve"> been governed by provisions contained in a letter of appointment and an accompanying memorandum of conditions of service. …</w:t>
      </w:r>
      <w:r>
        <w:rPr>
          <w:rFonts w:cs="Arial"/>
          <w:sz w:val="20"/>
          <w:lang w:eastAsia="zh-HK"/>
        </w:rPr>
        <w:t>"</w:t>
      </w:r>
    </w:p>
  </w:footnote>
  <w:footnote w:id="485">
    <w:p w:rsidR="009A4F49" w:rsidRDefault="009A4F49" w:rsidP="00DF3CF7">
      <w:pPr>
        <w:spacing w:after="120"/>
        <w:ind w:left="720" w:hanging="720"/>
        <w:jc w:val="left"/>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Para 5 of the PAC Information Note available at: &lt;</w:t>
      </w:r>
      <w:r w:rsidRPr="008F35FB">
        <w:rPr>
          <w:rFonts w:cs="Arial"/>
          <w:sz w:val="20"/>
        </w:rPr>
        <w:t>http://www.grs.gov.hk/pdf/Information_note_E.pdf</w:t>
      </w:r>
      <w:r>
        <w:rPr>
          <w:rFonts w:cs="Arial"/>
          <w:sz w:val="20"/>
        </w:rPr>
        <w:t>&gt;</w:t>
      </w:r>
      <w:r w:rsidRPr="00F11F6A">
        <w:rPr>
          <w:rFonts w:cs="Arial"/>
          <w:sz w:val="20"/>
        </w:rPr>
        <w:t>.</w:t>
      </w:r>
      <w:r>
        <w:rPr>
          <w:rFonts w:cs="Arial"/>
          <w:sz w:val="20"/>
        </w:rPr>
        <w:t xml:space="preserve">  </w:t>
      </w:r>
    </w:p>
  </w:footnote>
  <w:footnote w:id="486">
    <w:p w:rsidR="009A4F49" w:rsidRDefault="009A4F49" w:rsidP="00C51DE0">
      <w:pPr>
        <w:pStyle w:val="FootnoteText"/>
      </w:pPr>
      <w:r>
        <w:rPr>
          <w:rStyle w:val="FootnoteReference"/>
        </w:rPr>
        <w:footnoteRef/>
      </w:r>
      <w:r>
        <w:t xml:space="preserve"> </w:t>
      </w:r>
      <w:r>
        <w:tab/>
        <w:t>S 27 of the 1983 Act.</w:t>
      </w:r>
    </w:p>
  </w:footnote>
  <w:footnote w:id="487">
    <w:p w:rsidR="009A4F49" w:rsidRPr="00D24406" w:rsidRDefault="009A4F49" w:rsidP="00C51DE0">
      <w:pPr>
        <w:pStyle w:val="FootnoteText"/>
      </w:pPr>
      <w:r w:rsidRPr="00D24406">
        <w:rPr>
          <w:rStyle w:val="FootnoteReference"/>
        </w:rPr>
        <w:footnoteRef/>
      </w:r>
      <w:r w:rsidRPr="00D24406">
        <w:rPr>
          <w:rStyle w:val="FootnoteReference"/>
        </w:rPr>
        <w:t xml:space="preserve"> </w:t>
      </w:r>
      <w:r>
        <w:rPr>
          <w:lang w:val="en-US"/>
        </w:rPr>
        <w:tab/>
      </w:r>
      <w:r w:rsidRPr="00D24406">
        <w:t>Reg 11(a) of the Archives Regulation 2018.</w:t>
      </w:r>
    </w:p>
  </w:footnote>
  <w:footnote w:id="488">
    <w:p w:rsidR="009A4F49" w:rsidRDefault="009A4F49" w:rsidP="00C51DE0">
      <w:pPr>
        <w:pStyle w:val="FootnoteText"/>
      </w:pPr>
      <w:r>
        <w:rPr>
          <w:rStyle w:val="FootnoteReference"/>
        </w:rPr>
        <w:footnoteRef/>
      </w:r>
      <w:r>
        <w:t xml:space="preserve"> </w:t>
      </w:r>
      <w:r>
        <w:tab/>
        <w:t xml:space="preserve">See ss 24(1) and (2) of the 1983 Act.  For the purpose of these offences, strict liability applies to the physical element of circumstance of the offence, that the record is a Commonwealth record.  </w:t>
      </w:r>
    </w:p>
  </w:footnote>
  <w:footnote w:id="489">
    <w:p w:rsidR="009A4F49" w:rsidRDefault="009A4F49" w:rsidP="00C51DE0">
      <w:pPr>
        <w:pStyle w:val="FootnoteText"/>
      </w:pPr>
      <w:r>
        <w:rPr>
          <w:rStyle w:val="FootnoteReference"/>
        </w:rPr>
        <w:footnoteRef/>
      </w:r>
      <w:r>
        <w:t xml:space="preserve"> </w:t>
      </w:r>
      <w:r>
        <w:tab/>
        <w:t xml:space="preserve">See s 26 of the 1983 Act.  Section 26(1A) provides that strict liability applies to s26(1)(a) (ie a Commonwealth record has been in existence for more than 15 years).  The penalty for the offences under ss 24 and 26 is both 20 penalty units.  </w:t>
      </w:r>
      <w:r>
        <w:rPr>
          <w:lang w:val="en-US"/>
        </w:rPr>
        <w:t xml:space="preserve">Under s 4AA of the Crimes Act 1914, </w:t>
      </w:r>
      <w:r>
        <w:t>a penalty unit means the amount of AU$210</w:t>
      </w:r>
      <w:r>
        <w:rPr>
          <w:rFonts w:hint="eastAsia"/>
        </w:rPr>
        <w:t>.</w:t>
      </w:r>
    </w:p>
  </w:footnote>
  <w:footnote w:id="490">
    <w:p w:rsidR="009A4F49" w:rsidRDefault="009A4F49" w:rsidP="00C51DE0">
      <w:pPr>
        <w:pStyle w:val="FootnoteText"/>
      </w:pPr>
      <w:r>
        <w:rPr>
          <w:rStyle w:val="FootnoteReference"/>
        </w:rPr>
        <w:footnoteRef/>
      </w:r>
      <w:r>
        <w:t xml:space="preserve"> </w:t>
      </w:r>
      <w:r>
        <w:tab/>
        <w:t>S 56 of the 1983 Act.</w:t>
      </w:r>
    </w:p>
  </w:footnote>
  <w:footnote w:id="491">
    <w:p w:rsidR="009A4F49" w:rsidRPr="00445491" w:rsidRDefault="009A4F49" w:rsidP="00C51DE0">
      <w:pPr>
        <w:pStyle w:val="FootnoteText"/>
        <w:rPr>
          <w:szCs w:val="18"/>
          <w:lang w:val="en-US"/>
        </w:rPr>
      </w:pPr>
      <w:r>
        <w:rPr>
          <w:rStyle w:val="FootnoteReference"/>
        </w:rPr>
        <w:footnoteRef/>
      </w:r>
      <w:r>
        <w:t xml:space="preserve"> </w:t>
      </w:r>
      <w:r>
        <w:rPr>
          <w:lang w:val="en-US"/>
        </w:rPr>
        <w:tab/>
        <w:t>Ss 5, 6 of the 1983 Act.</w:t>
      </w:r>
    </w:p>
  </w:footnote>
  <w:footnote w:id="492">
    <w:p w:rsidR="009A4F49" w:rsidRDefault="009A4F49" w:rsidP="00C51DE0">
      <w:pPr>
        <w:pStyle w:val="FootnoteText"/>
        <w:rPr>
          <w:lang w:val="en-US"/>
        </w:rPr>
      </w:pPr>
      <w:r w:rsidRPr="00445491">
        <w:rPr>
          <w:rStyle w:val="FootnoteReference"/>
          <w:szCs w:val="18"/>
        </w:rPr>
        <w:footnoteRef/>
      </w:r>
      <w:r w:rsidRPr="00445491">
        <w:rPr>
          <w:szCs w:val="18"/>
        </w:rPr>
        <w:t xml:space="preserve"> </w:t>
      </w:r>
      <w:r w:rsidRPr="00445491">
        <w:rPr>
          <w:szCs w:val="18"/>
          <w:lang w:val="en-US"/>
        </w:rPr>
        <w:tab/>
      </w:r>
      <w:r w:rsidRPr="007300C9">
        <w:rPr>
          <w:lang w:val="en-US"/>
        </w:rPr>
        <w:t>See generally:</w:t>
      </w:r>
      <w:r w:rsidRPr="00445491">
        <w:rPr>
          <w:szCs w:val="18"/>
          <w:lang w:val="en-US"/>
        </w:rPr>
        <w:t xml:space="preserve"> </w:t>
      </w:r>
      <w:r>
        <w:rPr>
          <w:szCs w:val="18"/>
          <w:lang w:val="en-US"/>
        </w:rPr>
        <w:t>&lt;</w:t>
      </w:r>
      <w:r w:rsidRPr="008F35FB">
        <w:rPr>
          <w:lang w:val="en-US"/>
        </w:rPr>
        <w:t>http://www.naa.gov.au/information-management/index.aspx</w:t>
      </w:r>
      <w:r>
        <w:rPr>
          <w:lang w:val="en-US"/>
        </w:rPr>
        <w:t xml:space="preserve">&gt;. </w:t>
      </w:r>
    </w:p>
  </w:footnote>
  <w:footnote w:id="493">
    <w:p w:rsidR="009A4F49" w:rsidRDefault="009A4F49" w:rsidP="00DF3CF7">
      <w:pPr>
        <w:spacing w:after="120"/>
        <w:ind w:left="720" w:hanging="720"/>
        <w:rPr>
          <w:rFonts w:cs="Arial"/>
          <w:sz w:val="20"/>
          <w:lang w:eastAsia="zh-HK"/>
        </w:rPr>
      </w:pPr>
      <w:r>
        <w:rPr>
          <w:rStyle w:val="FootnoteReference"/>
          <w:sz w:val="20"/>
        </w:rPr>
        <w:footnoteRef/>
      </w:r>
      <w:r>
        <w:rPr>
          <w:sz w:val="20"/>
        </w:rPr>
        <w:t xml:space="preserve"> </w:t>
      </w:r>
      <w:r>
        <w:rPr>
          <w:sz w:val="20"/>
        </w:rPr>
        <w:tab/>
      </w:r>
      <w:r>
        <w:rPr>
          <w:rFonts w:cs="Arial"/>
          <w:sz w:val="20"/>
        </w:rPr>
        <w:t xml:space="preserve">In its Report on the review of the 1983 Act, the Australian Law Reform Commission recommended that the NAA be given power to make, as legislative instruments, mandatory standards in relation to the creation, maintenance, disposal and preservation of Commonwealth records (Recommendation 36).  See Australian Law Reform Commission Report No 85, </w:t>
      </w:r>
      <w:r>
        <w:rPr>
          <w:rFonts w:cs="Arial"/>
          <w:i/>
          <w:sz w:val="20"/>
        </w:rPr>
        <w:t>Australia's Federal Record: A review of Archives Act 1983</w:t>
      </w:r>
      <w:r>
        <w:rPr>
          <w:rFonts w:cs="Arial"/>
          <w:sz w:val="20"/>
        </w:rPr>
        <w:t xml:space="preserve"> (1998) available at:</w:t>
      </w:r>
      <w:r w:rsidRPr="00F11F6A">
        <w:rPr>
          <w:rFonts w:cs="Arial"/>
          <w:sz w:val="20"/>
        </w:rPr>
        <w:t xml:space="preserve"> </w:t>
      </w:r>
      <w:r>
        <w:rPr>
          <w:rFonts w:cs="Arial"/>
          <w:sz w:val="20"/>
        </w:rPr>
        <w:t>&lt;</w:t>
      </w:r>
      <w:r w:rsidRPr="008F35FB">
        <w:rPr>
          <w:rFonts w:cs="Arial"/>
          <w:sz w:val="20"/>
        </w:rPr>
        <w:t>http://www.austlii.edu.au/au/other</w:t>
      </w:r>
      <w:r>
        <w:rPr>
          <w:rFonts w:cs="Arial"/>
          <w:sz w:val="20"/>
        </w:rPr>
        <w:t>‌</w:t>
      </w:r>
      <w:r w:rsidRPr="008F35FB">
        <w:rPr>
          <w:rFonts w:cs="Arial"/>
          <w:sz w:val="20"/>
        </w:rPr>
        <w:t>/lawreform/ALRC/1998/85.html</w:t>
      </w:r>
      <w:r>
        <w:rPr>
          <w:rFonts w:cs="Arial"/>
          <w:sz w:val="20"/>
        </w:rPr>
        <w:t xml:space="preserve">&gt;.  To date, this recommendation has not been taken up. </w:t>
      </w:r>
    </w:p>
  </w:footnote>
  <w:footnote w:id="494">
    <w:p w:rsidR="009A4F49" w:rsidRDefault="009A4F49" w:rsidP="00C51DE0">
      <w:pPr>
        <w:pStyle w:val="FootnoteText"/>
        <w:rPr>
          <w:lang w:val="en-US"/>
        </w:rPr>
      </w:pPr>
      <w:r>
        <w:rPr>
          <w:rStyle w:val="FootnoteReference"/>
        </w:rPr>
        <w:footnoteRef/>
      </w:r>
      <w:r>
        <w:t xml:space="preserve"> </w:t>
      </w:r>
      <w:r>
        <w:tab/>
        <w:t>S 68 of the 1983 Act</w:t>
      </w:r>
      <w:r>
        <w:rPr>
          <w:lang w:val="en-US"/>
        </w:rPr>
        <w:t xml:space="preserve">. </w:t>
      </w:r>
    </w:p>
  </w:footnote>
  <w:footnote w:id="495">
    <w:p w:rsidR="009A4F49" w:rsidRDefault="009A4F49" w:rsidP="00C51DE0">
      <w:pPr>
        <w:pStyle w:val="FootnoteText"/>
      </w:pPr>
      <w:r>
        <w:rPr>
          <w:rStyle w:val="FootnoteReference"/>
        </w:rPr>
        <w:footnoteRef/>
      </w:r>
      <w:r>
        <w:t xml:space="preserve"> </w:t>
      </w:r>
      <w:r>
        <w:tab/>
        <w:t>S 3 of the 1958 Act.</w:t>
      </w:r>
    </w:p>
  </w:footnote>
  <w:footnote w:id="496">
    <w:p w:rsidR="009A4F49" w:rsidRDefault="009A4F49" w:rsidP="00C51DE0">
      <w:pPr>
        <w:pStyle w:val="FootnoteText"/>
      </w:pPr>
      <w:r>
        <w:rPr>
          <w:rStyle w:val="FootnoteReference"/>
        </w:rPr>
        <w:footnoteRef/>
      </w:r>
      <w:r>
        <w:t xml:space="preserve"> </w:t>
      </w:r>
      <w:r>
        <w:tab/>
        <w:t>S 1(3) of the 1958 Act.</w:t>
      </w:r>
    </w:p>
  </w:footnote>
  <w:footnote w:id="497">
    <w:p w:rsidR="009A4F49" w:rsidRDefault="009A4F49" w:rsidP="00C51DE0">
      <w:pPr>
        <w:pStyle w:val="FootnoteText"/>
      </w:pPr>
      <w:r>
        <w:rPr>
          <w:rStyle w:val="FootnoteReference"/>
        </w:rPr>
        <w:footnoteRef/>
      </w:r>
      <w:r>
        <w:t xml:space="preserve"> </w:t>
      </w:r>
      <w:r>
        <w:tab/>
        <w:t>The functions of the Lord Chancellor under s 46 of the FOIA 2000 have been transferred to the Secretary of State with effect from 9 December 2015 by virtue of s</w:t>
      </w:r>
      <w:r>
        <w:rPr>
          <w:lang w:val="en-US"/>
        </w:rPr>
        <w:t> </w:t>
      </w:r>
      <w:r>
        <w:t>6(3)(a) of the Transfer of Functions (Information and Public Records) Order 2015/1897.</w:t>
      </w:r>
    </w:p>
  </w:footnote>
  <w:footnote w:id="498">
    <w:p w:rsidR="009A4F49" w:rsidRDefault="009A4F49" w:rsidP="00E647F3">
      <w:pPr>
        <w:pStyle w:val="FootnoteText"/>
        <w:spacing w:after="60"/>
      </w:pPr>
      <w:r>
        <w:rPr>
          <w:rStyle w:val="FootnoteReference"/>
        </w:rPr>
        <w:footnoteRef/>
      </w:r>
      <w:r>
        <w:t xml:space="preserve"> </w:t>
      </w:r>
      <w:r>
        <w:tab/>
        <w:t>Foreword to the Lord Chancellor's Code, para (viii).</w:t>
      </w:r>
    </w:p>
  </w:footnote>
  <w:footnote w:id="499">
    <w:p w:rsidR="009A4F49" w:rsidRDefault="009A4F49" w:rsidP="00E647F3">
      <w:pPr>
        <w:pStyle w:val="FootnoteText"/>
        <w:spacing w:after="60"/>
      </w:pPr>
      <w:r>
        <w:rPr>
          <w:rStyle w:val="FootnoteReference"/>
        </w:rPr>
        <w:footnoteRef/>
      </w:r>
      <w:r>
        <w:t xml:space="preserve"> </w:t>
      </w:r>
      <w:r>
        <w:rPr>
          <w:rFonts w:hint="eastAsia"/>
        </w:rPr>
        <w:tab/>
      </w:r>
      <w:r>
        <w:t>Ss 47 and 48 of the FOIA 2000.  See also Foreword to the Lord Chancellor's Code, para (x).</w:t>
      </w:r>
    </w:p>
  </w:footnote>
  <w:footnote w:id="500">
    <w:p w:rsidR="009A4F49" w:rsidRDefault="009A4F49" w:rsidP="00E647F3">
      <w:pPr>
        <w:pStyle w:val="FootnoteText"/>
        <w:spacing w:after="60"/>
      </w:pPr>
      <w:r>
        <w:rPr>
          <w:rStyle w:val="FootnoteReference"/>
        </w:rPr>
        <w:footnoteRef/>
      </w:r>
      <w:r>
        <w:t xml:space="preserve"> </w:t>
      </w:r>
      <w:r>
        <w:tab/>
        <w:t>Foreword to the Lord Chancellor's Code, para (x).</w:t>
      </w:r>
    </w:p>
  </w:footnote>
  <w:footnote w:id="501">
    <w:p w:rsidR="009A4F49" w:rsidRPr="002313E9" w:rsidRDefault="009A4F49" w:rsidP="00E647F3">
      <w:pPr>
        <w:pStyle w:val="FootnoteText"/>
        <w:spacing w:after="0"/>
      </w:pPr>
      <w:r>
        <w:rPr>
          <w:rStyle w:val="FootnoteReference"/>
        </w:rPr>
        <w:footnoteRef/>
      </w:r>
      <w:r>
        <w:t xml:space="preserve"> </w:t>
      </w:r>
      <w:r>
        <w:tab/>
      </w:r>
      <w:r w:rsidRPr="00FA096F">
        <w:t xml:space="preserve">S 49 of the FOIA </w:t>
      </w:r>
      <w:r>
        <w:t xml:space="preserve">2000 </w:t>
      </w:r>
      <w:r w:rsidRPr="004C3AE5">
        <w:t>has since May 2018 been repealed, but the Information Commissioner is now under a similar reporting obligation under s 139 of the Data Protection Act 2018.</w:t>
      </w:r>
    </w:p>
  </w:footnote>
  <w:footnote w:id="502">
    <w:p w:rsidR="009A4F49" w:rsidRDefault="009A4F49" w:rsidP="00C51DE0">
      <w:pPr>
        <w:pStyle w:val="FootnoteText"/>
      </w:pPr>
      <w:r w:rsidRPr="002313E9">
        <w:rPr>
          <w:rStyle w:val="FootnoteReference"/>
        </w:rPr>
        <w:footnoteRef/>
      </w:r>
      <w:r w:rsidRPr="002313E9">
        <w:rPr>
          <w:rStyle w:val="FootnoteReference"/>
        </w:rPr>
        <w:t xml:space="preserve"> </w:t>
      </w:r>
      <w:r w:rsidRPr="007A4E17">
        <w:tab/>
        <w:t>Hansard HL,</w:t>
      </w:r>
      <w:r>
        <w:t xml:space="preserve"> vol 617 col 944 (17 October 2000).  </w:t>
      </w:r>
    </w:p>
  </w:footnote>
  <w:footnote w:id="503">
    <w:p w:rsidR="009A4F49" w:rsidRDefault="009A4F49" w:rsidP="00C51DE0">
      <w:pPr>
        <w:pStyle w:val="FootnoteText"/>
      </w:pPr>
      <w:r>
        <w:rPr>
          <w:rStyle w:val="FootnoteReference"/>
        </w:rPr>
        <w:footnoteRef/>
      </w:r>
      <w:r>
        <w:t xml:space="preserve"> </w:t>
      </w:r>
      <w:r>
        <w:tab/>
        <w:t xml:space="preserve">S 56 of the FOIA 2000.  But note also s77 FOIA 2000 which creates an offence for the altering, etc of records with intent to prevent disclosure. </w:t>
      </w:r>
      <w:r>
        <w:rPr>
          <w:rFonts w:hint="eastAsia"/>
        </w:rPr>
        <w:t xml:space="preserve"> </w:t>
      </w:r>
      <w:r>
        <w:t>This, however, falls within the purview of the ATI Sub-committee.</w:t>
      </w:r>
    </w:p>
  </w:footnote>
  <w:footnote w:id="504">
    <w:p w:rsidR="009A4F49" w:rsidRPr="00445491" w:rsidRDefault="009A4F49" w:rsidP="00C51DE0">
      <w:pPr>
        <w:pStyle w:val="FootnoteText"/>
        <w:rPr>
          <w:lang w:val="en-US"/>
        </w:rPr>
      </w:pPr>
      <w:r>
        <w:rPr>
          <w:rStyle w:val="FootnoteReference"/>
        </w:rPr>
        <w:footnoteRef/>
      </w:r>
      <w:r>
        <w:t xml:space="preserve"> </w:t>
      </w:r>
      <w:r>
        <w:rPr>
          <w:lang w:val="en-US"/>
        </w:rPr>
        <w:tab/>
      </w:r>
      <w:r w:rsidRPr="00445491">
        <w:rPr>
          <w:lang w:val="en-US"/>
        </w:rPr>
        <w:t>S 8 of the 1986 Act</w:t>
      </w:r>
      <w:r>
        <w:rPr>
          <w:rFonts w:hint="eastAsia"/>
          <w:lang w:val="en-US"/>
        </w:rPr>
        <w:t>.</w:t>
      </w:r>
    </w:p>
  </w:footnote>
  <w:footnote w:id="505">
    <w:p w:rsidR="009A4F49" w:rsidRPr="00C00290" w:rsidRDefault="009A4F49" w:rsidP="00C51DE0">
      <w:pPr>
        <w:pStyle w:val="FootnoteText"/>
      </w:pPr>
      <w:r>
        <w:rPr>
          <w:rStyle w:val="FootnoteReference"/>
        </w:rPr>
        <w:footnoteRef/>
      </w:r>
      <w:r>
        <w:t xml:space="preserve"> </w:t>
      </w:r>
      <w:r>
        <w:tab/>
        <w:t>S 7 of the 1986 Act</w:t>
      </w:r>
      <w:r>
        <w:rPr>
          <w:rFonts w:hint="eastAsia"/>
        </w:rPr>
        <w:t>.</w:t>
      </w:r>
    </w:p>
  </w:footnote>
  <w:footnote w:id="506">
    <w:p w:rsidR="009A4F49" w:rsidRDefault="009A4F49" w:rsidP="00C51DE0">
      <w:pPr>
        <w:pStyle w:val="FootnoteText"/>
      </w:pPr>
      <w:r>
        <w:rPr>
          <w:rStyle w:val="FootnoteReference"/>
        </w:rPr>
        <w:footnoteRef/>
      </w:r>
      <w:r>
        <w:t xml:space="preserve"> </w:t>
      </w:r>
      <w:r>
        <w:tab/>
        <w:t>S 19(1) of the 1986 Act.</w:t>
      </w:r>
    </w:p>
  </w:footnote>
  <w:footnote w:id="507">
    <w:p w:rsidR="009A4F49" w:rsidRDefault="009A4F49" w:rsidP="00C51DE0">
      <w:pPr>
        <w:pStyle w:val="FootnoteText"/>
      </w:pPr>
      <w:r>
        <w:rPr>
          <w:rStyle w:val="FootnoteReference"/>
        </w:rPr>
        <w:footnoteRef/>
      </w:r>
      <w:r>
        <w:t xml:space="preserve"> </w:t>
      </w:r>
      <w:r>
        <w:tab/>
        <w:t>Under s 18 of the 1986 Act, a maximum fine of £800 or, imprisonment term for not more than 12</w:t>
      </w:r>
      <w:r>
        <w:rPr>
          <w:lang w:val="en-US"/>
        </w:rPr>
        <w:t> </w:t>
      </w:r>
      <w:r>
        <w:t>months or both may be imposed on summary conviction.  On conviction on indictment, the maximum fine is £10,000 or imprisonment term for 2</w:t>
      </w:r>
      <w:r>
        <w:rPr>
          <w:lang w:val="en-US"/>
        </w:rPr>
        <w:t> </w:t>
      </w:r>
      <w:r>
        <w:t xml:space="preserve">years or both. </w:t>
      </w:r>
    </w:p>
  </w:footnote>
  <w:footnote w:id="508">
    <w:p w:rsidR="009A4F49" w:rsidRDefault="009A4F49" w:rsidP="00C51DE0">
      <w:pPr>
        <w:pStyle w:val="FootnoteText"/>
      </w:pPr>
      <w:r>
        <w:rPr>
          <w:rStyle w:val="FootnoteReference"/>
        </w:rPr>
        <w:footnoteRef/>
      </w:r>
      <w:r>
        <w:t xml:space="preserve"> </w:t>
      </w:r>
      <w:r>
        <w:tab/>
        <w:t xml:space="preserve">S 21 of the 1986 Act. </w:t>
      </w:r>
    </w:p>
  </w:footnote>
  <w:footnote w:id="509">
    <w:p w:rsidR="009A4F49" w:rsidRDefault="009A4F49" w:rsidP="00C51DE0">
      <w:pPr>
        <w:pStyle w:val="FootnoteText"/>
      </w:pPr>
      <w:r>
        <w:rPr>
          <w:rStyle w:val="FootnoteReference"/>
        </w:rPr>
        <w:footnoteRef/>
      </w:r>
      <w:r>
        <w:t xml:space="preserve"> </w:t>
      </w:r>
      <w:r>
        <w:tab/>
        <w:t>S 17 of the 2005 Act.</w:t>
      </w:r>
    </w:p>
  </w:footnote>
  <w:footnote w:id="510">
    <w:p w:rsidR="009A4F49" w:rsidRDefault="009A4F49" w:rsidP="00C51DE0">
      <w:pPr>
        <w:pStyle w:val="FootnoteText"/>
      </w:pPr>
      <w:r>
        <w:rPr>
          <w:rStyle w:val="FootnoteReference"/>
        </w:rPr>
        <w:footnoteRef/>
      </w:r>
      <w:r>
        <w:t xml:space="preserve"> </w:t>
      </w:r>
      <w:r>
        <w:rPr>
          <w:rFonts w:hint="eastAsia"/>
        </w:rPr>
        <w:tab/>
      </w:r>
      <w:r>
        <w:t>S 18 of the 2005 Act.</w:t>
      </w:r>
    </w:p>
  </w:footnote>
  <w:footnote w:id="511">
    <w:p w:rsidR="009A4F49" w:rsidRDefault="009A4F49" w:rsidP="00C51DE0">
      <w:pPr>
        <w:pStyle w:val="FootnoteText"/>
        <w:rPr>
          <w:lang w:val="en-US"/>
        </w:rPr>
      </w:pPr>
      <w:r>
        <w:rPr>
          <w:rStyle w:val="FootnoteReference"/>
        </w:rPr>
        <w:footnoteRef/>
      </w:r>
      <w:r>
        <w:t xml:space="preserve"> </w:t>
      </w:r>
      <w:r>
        <w:rPr>
          <w:lang w:val="en-US"/>
        </w:rPr>
        <w:tab/>
        <w:t>S 21 of the 2005 Act.</w:t>
      </w:r>
    </w:p>
  </w:footnote>
  <w:footnote w:id="512">
    <w:p w:rsidR="009A4F49" w:rsidRDefault="009A4F49" w:rsidP="00C51DE0">
      <w:pPr>
        <w:pStyle w:val="FootnoteText"/>
        <w:rPr>
          <w:lang w:val="en-US"/>
        </w:rPr>
      </w:pPr>
      <w:r>
        <w:rPr>
          <w:rStyle w:val="FootnoteReference"/>
        </w:rPr>
        <w:footnoteRef/>
      </w:r>
      <w:r>
        <w:t xml:space="preserve"> </w:t>
      </w:r>
      <w:r>
        <w:rPr>
          <w:lang w:val="en-US"/>
        </w:rPr>
        <w:tab/>
        <w:t>S 61 of the 2005 Act.  Under s 62, the maximum penalty is NZ$5,000 for an individual or NZ$10,000 for every other case.  A person convicted of any of the offences may additionally be prohibited from having access to the ANZ for a period the court thinks fit.</w:t>
      </w:r>
    </w:p>
  </w:footnote>
  <w:footnote w:id="513">
    <w:p w:rsidR="009A4F49" w:rsidRDefault="009A4F49" w:rsidP="0080334E">
      <w:pPr>
        <w:pStyle w:val="FootnoteText"/>
        <w:spacing w:after="0"/>
      </w:pPr>
      <w:r>
        <w:rPr>
          <w:rStyle w:val="FootnoteReference"/>
        </w:rPr>
        <w:footnoteRef/>
      </w:r>
      <w:r>
        <w:t xml:space="preserve"> </w:t>
      </w:r>
      <w:r>
        <w:rPr>
          <w:rFonts w:hint="eastAsia"/>
        </w:rPr>
        <w:tab/>
      </w:r>
      <w:r>
        <w:t>Ss 27</w:t>
      </w:r>
      <w:r>
        <w:rPr>
          <w:rFonts w:hint="eastAsia"/>
          <w:lang w:eastAsia="zh-HK"/>
        </w:rPr>
        <w:t xml:space="preserve"> </w:t>
      </w:r>
      <w:r>
        <w:t>and 28 of the 2005 Act.</w:t>
      </w:r>
    </w:p>
  </w:footnote>
  <w:footnote w:id="514">
    <w:p w:rsidR="009A4F49" w:rsidRDefault="009A4F49" w:rsidP="00C51DE0">
      <w:pPr>
        <w:pStyle w:val="FootnoteText"/>
        <w:rPr>
          <w:lang w:val="en-US"/>
        </w:rPr>
      </w:pPr>
      <w:r>
        <w:rPr>
          <w:rStyle w:val="FootnoteReference"/>
        </w:rPr>
        <w:footnoteRef/>
      </w:r>
      <w:r>
        <w:t xml:space="preserve"> </w:t>
      </w:r>
      <w:r>
        <w:rPr>
          <w:lang w:val="en-US"/>
        </w:rPr>
        <w:tab/>
        <w:t>S 27(2) of the 2005 Act.</w:t>
      </w:r>
    </w:p>
  </w:footnote>
  <w:footnote w:id="515">
    <w:p w:rsidR="009A4F49" w:rsidRDefault="009A4F49" w:rsidP="00C51DE0">
      <w:pPr>
        <w:pStyle w:val="FootnoteText"/>
      </w:pPr>
      <w:r>
        <w:rPr>
          <w:rStyle w:val="FootnoteReference"/>
        </w:rPr>
        <w:footnoteRef/>
      </w:r>
      <w:r>
        <w:t xml:space="preserve"> </w:t>
      </w:r>
      <w:r>
        <w:tab/>
        <w:t>S 32 of the 2005 Act.</w:t>
      </w:r>
    </w:p>
  </w:footnote>
  <w:footnote w:id="516">
    <w:p w:rsidR="009A4F49" w:rsidRDefault="009A4F49" w:rsidP="00C51DE0">
      <w:pPr>
        <w:pStyle w:val="FootnoteText"/>
        <w:rPr>
          <w:lang w:val="en-US"/>
        </w:rPr>
      </w:pPr>
      <w:r>
        <w:rPr>
          <w:rStyle w:val="FootnoteReference"/>
        </w:rPr>
        <w:footnoteRef/>
      </w:r>
      <w:r>
        <w:t xml:space="preserve"> </w:t>
      </w:r>
      <w:r>
        <w:rPr>
          <w:lang w:val="en-US"/>
        </w:rPr>
        <w:tab/>
        <w:t>S 14C of the NLBA.</w:t>
      </w:r>
    </w:p>
  </w:footnote>
  <w:footnote w:id="517">
    <w:p w:rsidR="009A4F49" w:rsidRDefault="009A4F49" w:rsidP="00C51DE0">
      <w:pPr>
        <w:pStyle w:val="FootnoteText"/>
        <w:rPr>
          <w:lang w:val="en-US"/>
        </w:rPr>
      </w:pPr>
      <w:r>
        <w:rPr>
          <w:rStyle w:val="FootnoteReference"/>
        </w:rPr>
        <w:footnoteRef/>
      </w:r>
      <w:r>
        <w:t xml:space="preserve"> </w:t>
      </w:r>
      <w:r>
        <w:rPr>
          <w:lang w:val="en-US"/>
        </w:rPr>
        <w:tab/>
        <w:t>S 14D of the NLBA.</w:t>
      </w:r>
    </w:p>
  </w:footnote>
  <w:footnote w:id="518">
    <w:p w:rsidR="009A4F49" w:rsidRDefault="009A4F49" w:rsidP="00C51DE0">
      <w:pPr>
        <w:pStyle w:val="FootnoteText"/>
        <w:rPr>
          <w:lang w:val="en-US"/>
        </w:rPr>
      </w:pPr>
      <w:r>
        <w:rPr>
          <w:rStyle w:val="FootnoteReference"/>
        </w:rPr>
        <w:footnoteRef/>
      </w:r>
      <w:r>
        <w:t xml:space="preserve"> </w:t>
      </w:r>
      <w:r>
        <w:rPr>
          <w:lang w:val="en-US"/>
        </w:rPr>
        <w:tab/>
        <w:t xml:space="preserve">S 14H of the NLBA.  A person guilty of the offence is liable on conviction to a fine not exceeding SG$5,000 or to imprisonment for a term not exceeding 12 months or to both. </w:t>
      </w:r>
    </w:p>
  </w:footnote>
  <w:footnote w:id="519">
    <w:p w:rsidR="009A4F49" w:rsidRDefault="009A4F49" w:rsidP="00C51DE0">
      <w:pPr>
        <w:pStyle w:val="FootnoteText"/>
        <w:rPr>
          <w:lang w:val="en-US"/>
        </w:rPr>
      </w:pPr>
      <w:r>
        <w:rPr>
          <w:rStyle w:val="FootnoteReference"/>
        </w:rPr>
        <w:footnoteRef/>
      </w:r>
      <w:r>
        <w:t xml:space="preserve"> </w:t>
      </w:r>
      <w:r>
        <w:rPr>
          <w:lang w:val="en-US"/>
        </w:rPr>
        <w:tab/>
        <w:t>S 35(h) of the NLBA.</w:t>
      </w:r>
    </w:p>
  </w:footnote>
  <w:footnote w:id="520">
    <w:p w:rsidR="009A4F49" w:rsidRDefault="009A4F49" w:rsidP="00C51DE0">
      <w:pPr>
        <w:pStyle w:val="FootnoteText"/>
      </w:pPr>
      <w:r>
        <w:rPr>
          <w:rStyle w:val="FootnoteReference"/>
        </w:rPr>
        <w:footnoteRef/>
      </w:r>
      <w:r>
        <w:t xml:space="preserve"> </w:t>
      </w:r>
      <w:r>
        <w:tab/>
      </w:r>
      <w:r w:rsidRPr="00972A1C">
        <w:rPr>
          <w:lang w:val="en-US"/>
        </w:rPr>
        <w:t>S 41 of the Public Sector (Governance) Act 2018</w:t>
      </w:r>
      <w:r>
        <w:t>.</w:t>
      </w:r>
    </w:p>
  </w:footnote>
  <w:footnote w:id="521">
    <w:p w:rsidR="009A4F49" w:rsidRDefault="009A4F49" w:rsidP="00C51DE0">
      <w:pPr>
        <w:pStyle w:val="FootnoteText"/>
      </w:pPr>
      <w:r>
        <w:rPr>
          <w:rStyle w:val="FootnoteReference"/>
        </w:rPr>
        <w:footnoteRef/>
      </w:r>
      <w:r>
        <w:t xml:space="preserve"> </w:t>
      </w:r>
      <w:r>
        <w:tab/>
        <w:t xml:space="preserve">Para 2.6 of </w:t>
      </w:r>
      <w:r w:rsidRPr="00445491">
        <w:t>The</w:t>
      </w:r>
      <w:r>
        <w:t xml:space="preserve"> Ombudsman's Report.</w:t>
      </w:r>
    </w:p>
  </w:footnote>
  <w:footnote w:id="522">
    <w:p w:rsidR="009A4F49" w:rsidRDefault="009A4F49" w:rsidP="00C51DE0">
      <w:pPr>
        <w:pStyle w:val="FootnoteText"/>
      </w:pPr>
      <w:r>
        <w:rPr>
          <w:rStyle w:val="FootnoteReference"/>
        </w:rPr>
        <w:footnoteRef/>
      </w:r>
      <w:r>
        <w:t xml:space="preserve"> </w:t>
      </w:r>
      <w:r>
        <w:tab/>
        <w:t xml:space="preserve">Para 2.12 of </w:t>
      </w:r>
      <w:r w:rsidRPr="00445491">
        <w:t>The</w:t>
      </w:r>
      <w:r>
        <w:t xml:space="preserve"> Ombudsman's Report.</w:t>
      </w:r>
    </w:p>
  </w:footnote>
  <w:footnote w:id="523">
    <w:p w:rsidR="009A4F49" w:rsidRDefault="009A4F49" w:rsidP="00C51DE0">
      <w:pPr>
        <w:pStyle w:val="FootnoteText"/>
      </w:pPr>
      <w:r>
        <w:rPr>
          <w:rStyle w:val="FootnoteReference"/>
        </w:rPr>
        <w:footnoteRef/>
      </w:r>
      <w:r>
        <w:t xml:space="preserve"> </w:t>
      </w:r>
      <w:r>
        <w:tab/>
        <w:t xml:space="preserve">Para 2.12 of </w:t>
      </w:r>
      <w:r w:rsidRPr="00445491">
        <w:t>The</w:t>
      </w:r>
      <w:r>
        <w:t xml:space="preserve"> Ombudsman's Report.</w:t>
      </w:r>
    </w:p>
  </w:footnote>
  <w:footnote w:id="524">
    <w:p w:rsidR="009A4F49" w:rsidRDefault="009A4F49" w:rsidP="0080334E">
      <w:pPr>
        <w:pStyle w:val="FootnoteText"/>
        <w:spacing w:after="0"/>
      </w:pPr>
      <w:r>
        <w:rPr>
          <w:rStyle w:val="FootnoteReference"/>
        </w:rPr>
        <w:footnoteRef/>
      </w:r>
      <w:r>
        <w:t xml:space="preserve"> </w:t>
      </w:r>
      <w:r>
        <w:tab/>
        <w:t xml:space="preserve">Para 2.12 of </w:t>
      </w:r>
      <w:r w:rsidRPr="00445491">
        <w:t>The</w:t>
      </w:r>
      <w:r>
        <w:t xml:space="preserve"> Ombudsman's Report.</w:t>
      </w:r>
    </w:p>
  </w:footnote>
  <w:footnote w:id="525">
    <w:p w:rsidR="009A4F49" w:rsidRDefault="009A4F49" w:rsidP="00C51DE0">
      <w:pPr>
        <w:pStyle w:val="FootnoteText"/>
        <w:rPr>
          <w:lang w:val="en-US"/>
        </w:rPr>
      </w:pPr>
      <w:r>
        <w:rPr>
          <w:rStyle w:val="FootnoteReference"/>
        </w:rPr>
        <w:footnoteRef/>
      </w:r>
      <w:r>
        <w:t xml:space="preserve"> </w:t>
      </w:r>
      <w:r>
        <w:rPr>
          <w:lang w:val="en-US"/>
        </w:rPr>
        <w:tab/>
        <w:t>Para 5.1 of t</w:t>
      </w:r>
      <w:r w:rsidRPr="005D36AA">
        <w:rPr>
          <w:lang w:val="en-US"/>
        </w:rPr>
        <w:t>he</w:t>
      </w:r>
      <w:r>
        <w:rPr>
          <w:lang w:val="en-US"/>
        </w:rPr>
        <w:t xml:space="preserve"> 2011 Civic Exchange Report.</w:t>
      </w:r>
    </w:p>
  </w:footnote>
  <w:footnote w:id="526">
    <w:p w:rsidR="009A4F49" w:rsidRDefault="009A4F49" w:rsidP="00C51DE0">
      <w:pPr>
        <w:pStyle w:val="FootnoteText"/>
        <w:rPr>
          <w:lang w:val="en-US"/>
        </w:rPr>
      </w:pPr>
      <w:r>
        <w:rPr>
          <w:rStyle w:val="FootnoteReference"/>
        </w:rPr>
        <w:footnoteRef/>
      </w:r>
      <w:r>
        <w:t xml:space="preserve"> </w:t>
      </w:r>
      <w:r>
        <w:tab/>
        <w:t xml:space="preserve">Para 7.2.2 of the </w:t>
      </w:r>
      <w:r>
        <w:rPr>
          <w:lang w:val="en-US"/>
        </w:rPr>
        <w:t>2011 Civic Exchange Report.</w:t>
      </w:r>
    </w:p>
  </w:footnote>
  <w:footnote w:id="527">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This is discussed, above, in chapter 2.</w:t>
      </w:r>
      <w:r>
        <w:rPr>
          <w:rFonts w:cs="Arial"/>
          <w:sz w:val="20"/>
          <w:lang w:eastAsia="zh-HK"/>
        </w:rPr>
        <w:t xml:space="preserve"> </w:t>
      </w:r>
    </w:p>
  </w:footnote>
  <w:footnote w:id="528">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Paras 8 to 9 of GC12.</w:t>
      </w:r>
    </w:p>
  </w:footnote>
  <w:footnote w:id="529">
    <w:p w:rsidR="009A4F49" w:rsidRDefault="009A4F49" w:rsidP="00DF3CF7">
      <w:pPr>
        <w:spacing w:after="120"/>
        <w:ind w:left="720" w:hanging="720"/>
        <w:rPr>
          <w:rFonts w:cs="Arial"/>
          <w:sz w:val="20"/>
          <w:lang w:eastAsia="zh-HK"/>
        </w:rPr>
      </w:pPr>
      <w:r>
        <w:rPr>
          <w:rFonts w:cs="Arial"/>
          <w:sz w:val="20"/>
          <w:vertAlign w:val="superscript"/>
        </w:rPr>
        <w:footnoteRef/>
      </w:r>
      <w:r>
        <w:rPr>
          <w:rFonts w:cs="Arial"/>
          <w:sz w:val="20"/>
        </w:rPr>
        <w:t xml:space="preserve"> </w:t>
      </w:r>
      <w:r>
        <w:rPr>
          <w:rFonts w:cs="Arial" w:hint="eastAsia"/>
          <w:sz w:val="20"/>
        </w:rPr>
        <w:tab/>
      </w:r>
      <w:r>
        <w:rPr>
          <w:rFonts w:cs="Arial"/>
          <w:sz w:val="20"/>
        </w:rPr>
        <w:t>Information provided by the GRS to the Sub-committee's meetings on 24 October 2013, 15 November 2013, 12 December 2013, 14 May 2015, 30 June 2015, 3</w:t>
      </w:r>
      <w:r>
        <w:rPr>
          <w:rFonts w:cs="Arial"/>
          <w:sz w:val="20"/>
          <w:lang w:val="en-US"/>
        </w:rPr>
        <w:t> </w:t>
      </w:r>
      <w:r>
        <w:rPr>
          <w:rFonts w:cs="Arial"/>
          <w:sz w:val="20"/>
        </w:rPr>
        <w:t xml:space="preserve">December 2015 and 16 June 2016.  </w:t>
      </w:r>
    </w:p>
  </w:footnote>
  <w:footnote w:id="530">
    <w:p w:rsidR="009A4F49" w:rsidRDefault="009A4F49" w:rsidP="00DF3CF7">
      <w:pPr>
        <w:spacing w:after="120"/>
        <w:ind w:left="720" w:hanging="720"/>
        <w:rPr>
          <w:rFonts w:cs="Arial"/>
          <w:sz w:val="20"/>
          <w:lang w:eastAsia="zh-HK"/>
        </w:rPr>
      </w:pPr>
      <w:r>
        <w:rPr>
          <w:rFonts w:cs="Arial"/>
          <w:sz w:val="20"/>
          <w:vertAlign w:val="superscript"/>
        </w:rPr>
        <w:footnoteRef/>
      </w:r>
      <w:r>
        <w:rPr>
          <w:rFonts w:cs="Arial"/>
          <w:sz w:val="20"/>
        </w:rPr>
        <w:t xml:space="preserve"> </w:t>
      </w:r>
      <w:r>
        <w:rPr>
          <w:rFonts w:cs="Arial" w:hint="eastAsia"/>
          <w:sz w:val="20"/>
        </w:rPr>
        <w:tab/>
      </w:r>
      <w:r>
        <w:rPr>
          <w:rFonts w:cs="Arial"/>
          <w:sz w:val="20"/>
        </w:rPr>
        <w:t xml:space="preserve">Information provided by the GRS for the Sub-committee's meeting on 14 May 2015. </w:t>
      </w:r>
    </w:p>
  </w:footnote>
  <w:footnote w:id="531">
    <w:p w:rsidR="009A4F49" w:rsidRDefault="009A4F49" w:rsidP="00DF3CF7">
      <w:pPr>
        <w:spacing w:after="120"/>
        <w:ind w:left="720" w:hanging="720"/>
        <w:rPr>
          <w:rFonts w:cs="Arial"/>
          <w:sz w:val="20"/>
          <w:highlight w:val="green"/>
          <w:lang w:eastAsia="zh-HK"/>
        </w:rPr>
      </w:pPr>
      <w:r>
        <w:rPr>
          <w:rFonts w:cs="Arial"/>
          <w:sz w:val="20"/>
          <w:vertAlign w:val="superscript"/>
        </w:rPr>
        <w:footnoteRef/>
      </w:r>
      <w:r>
        <w:rPr>
          <w:rFonts w:cs="Arial"/>
          <w:sz w:val="20"/>
        </w:rPr>
        <w:t xml:space="preserve"> </w:t>
      </w:r>
      <w:r>
        <w:rPr>
          <w:rFonts w:cs="Arial" w:hint="eastAsia"/>
          <w:sz w:val="20"/>
        </w:rPr>
        <w:tab/>
      </w:r>
      <w:r>
        <w:rPr>
          <w:rFonts w:cs="Arial"/>
          <w:sz w:val="20"/>
        </w:rPr>
        <w:t xml:space="preserve">As an </w:t>
      </w:r>
      <w:r>
        <w:rPr>
          <w:rFonts w:cs="Arial"/>
          <w:sz w:val="20"/>
          <w:lang w:eastAsia="zh-HK"/>
        </w:rPr>
        <w:t>administrative arrangement, requests by the GRS for B/Ds to provide half-yearly reports has been put in practice since the first departmental records management review in 2012.</w:t>
      </w:r>
    </w:p>
  </w:footnote>
  <w:footnote w:id="532">
    <w:p w:rsidR="009A4F49" w:rsidRDefault="009A4F49" w:rsidP="00DF3CF7">
      <w:pPr>
        <w:spacing w:after="120"/>
        <w:ind w:left="720" w:hanging="720"/>
        <w:rPr>
          <w:rFonts w:cs="Arial"/>
          <w:sz w:val="20"/>
          <w:lang w:eastAsia="zh-HK"/>
        </w:rPr>
      </w:pPr>
      <w:r>
        <w:rPr>
          <w:rFonts w:cs="Arial"/>
          <w:sz w:val="20"/>
          <w:vertAlign w:val="superscript"/>
        </w:rPr>
        <w:footnoteRef/>
      </w:r>
      <w:r>
        <w:rPr>
          <w:rFonts w:cs="Arial"/>
          <w:sz w:val="20"/>
          <w:vertAlign w:val="superscript"/>
        </w:rPr>
        <w:t xml:space="preserve"> </w:t>
      </w:r>
      <w:r>
        <w:rPr>
          <w:rFonts w:cs="Arial" w:hint="eastAsia"/>
          <w:sz w:val="20"/>
        </w:rPr>
        <w:tab/>
      </w:r>
      <w:r>
        <w:rPr>
          <w:rFonts w:cs="Arial"/>
          <w:sz w:val="20"/>
        </w:rPr>
        <w:t>Para 10 of GC12.</w:t>
      </w:r>
    </w:p>
  </w:footnote>
  <w:footnote w:id="533">
    <w:p w:rsidR="009A4F49" w:rsidRDefault="009A4F49" w:rsidP="00C51DE0">
      <w:pPr>
        <w:pStyle w:val="FootnoteText"/>
      </w:pPr>
      <w:r>
        <w:rPr>
          <w:rStyle w:val="FootnoteReference"/>
        </w:rPr>
        <w:footnoteRef/>
      </w:r>
      <w:r>
        <w:t xml:space="preserve"> </w:t>
      </w:r>
      <w:r>
        <w:tab/>
        <w:t>Para 11 of GC12.</w:t>
      </w:r>
    </w:p>
  </w:footnote>
  <w:footnote w:id="534">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Para 11 of GC12.</w:t>
      </w:r>
    </w:p>
  </w:footnote>
  <w:footnote w:id="535">
    <w:p w:rsidR="009A4F49" w:rsidRPr="00445491" w:rsidRDefault="009A4F49" w:rsidP="00C51DE0">
      <w:pPr>
        <w:pStyle w:val="FootnoteText"/>
        <w:rPr>
          <w:lang w:val="en-US"/>
        </w:rPr>
      </w:pPr>
      <w:r>
        <w:rPr>
          <w:rStyle w:val="FootnoteReference"/>
        </w:rPr>
        <w:footnoteRef/>
      </w:r>
      <w:r>
        <w:t xml:space="preserve"> </w:t>
      </w:r>
      <w:r>
        <w:rPr>
          <w:lang w:val="en-US"/>
        </w:rPr>
        <w:tab/>
      </w:r>
      <w:r w:rsidRPr="00445491">
        <w:rPr>
          <w:snapToGrid/>
        </w:rPr>
        <w:t>The ten B/Ds were the Civil Engineering and Development Department, Legal Aid Department, Office of the Communications Authority, Census and Statistics Department, Hong Kong Observatory, Home Affairs Bureau, Buildings Department, Social Welfare Department, Water Supplies Department, and Labour and Welfare Bureau.</w:t>
      </w:r>
    </w:p>
  </w:footnote>
  <w:footnote w:id="536">
    <w:p w:rsidR="009A4F49" w:rsidRPr="00E04BAA" w:rsidRDefault="009A4F49" w:rsidP="0080334E">
      <w:pPr>
        <w:pStyle w:val="FootnoteText"/>
        <w:spacing w:after="0"/>
      </w:pPr>
      <w:r>
        <w:rPr>
          <w:rStyle w:val="FootnoteReference"/>
        </w:rPr>
        <w:footnoteRef/>
      </w:r>
      <w:r>
        <w:t xml:space="preserve"> </w:t>
      </w:r>
      <w:r>
        <w:tab/>
      </w:r>
      <w:r w:rsidRPr="00445491">
        <w:rPr>
          <w:snapToGrid/>
        </w:rPr>
        <w:t>The B/Ds concerned are: the Intellectual Property Department (review underway), Transport Department (review underway) and Home Affairs Department (review to be conducted).</w:t>
      </w:r>
    </w:p>
  </w:footnote>
  <w:footnote w:id="537">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sz w:val="20"/>
        </w:rPr>
        <w:tab/>
        <w:t xml:space="preserve">Paras 900 - 917 of the RMM. </w:t>
      </w:r>
    </w:p>
  </w:footnote>
  <w:footnote w:id="538">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sz w:val="20"/>
        </w:rPr>
        <w:tab/>
        <w:t>Paras 25 - 26 of GC09.</w:t>
      </w:r>
    </w:p>
  </w:footnote>
  <w:footnote w:id="539">
    <w:p w:rsidR="009A4F49" w:rsidRDefault="009A4F49" w:rsidP="00C51DE0">
      <w:pPr>
        <w:pStyle w:val="FootnoteText"/>
        <w:rPr>
          <w:lang w:val="en-US"/>
        </w:rPr>
      </w:pPr>
      <w:r>
        <w:rPr>
          <w:rStyle w:val="FootnoteReference"/>
        </w:rPr>
        <w:footnoteRef/>
      </w:r>
      <w:r>
        <w:t xml:space="preserve"> </w:t>
      </w:r>
      <w:r>
        <w:rPr>
          <w:lang w:val="en-US"/>
        </w:rPr>
        <w:tab/>
        <w:t>Paras 15 - 16 of GC09.</w:t>
      </w:r>
    </w:p>
  </w:footnote>
  <w:footnote w:id="540">
    <w:p w:rsidR="009A4F49" w:rsidRDefault="009A4F49" w:rsidP="00C51DE0">
      <w:pPr>
        <w:pStyle w:val="FootnoteText"/>
        <w:rPr>
          <w:lang w:val="en-US"/>
        </w:rPr>
      </w:pPr>
      <w:r>
        <w:rPr>
          <w:rStyle w:val="FootnoteReference"/>
        </w:rPr>
        <w:footnoteRef/>
      </w:r>
      <w:r>
        <w:t xml:space="preserve"> </w:t>
      </w:r>
      <w:r>
        <w:rPr>
          <w:lang w:val="en-US"/>
        </w:rPr>
        <w:tab/>
        <w:t>Paras 16 - 17 of GC09.</w:t>
      </w:r>
    </w:p>
  </w:footnote>
  <w:footnote w:id="541">
    <w:p w:rsidR="009A4F49" w:rsidRDefault="009A4F49" w:rsidP="00C51DE0">
      <w:pPr>
        <w:pStyle w:val="FootnoteText"/>
        <w:rPr>
          <w:lang w:eastAsia="zh-HK"/>
        </w:rPr>
      </w:pPr>
      <w:r>
        <w:rPr>
          <w:rStyle w:val="FootnoteReference"/>
        </w:rPr>
        <w:footnoteRef/>
      </w:r>
      <w:r>
        <w:t xml:space="preserve"> </w:t>
      </w:r>
      <w:r>
        <w:tab/>
        <w:t>Para 637 of the RMM.</w:t>
      </w:r>
    </w:p>
  </w:footnote>
  <w:footnote w:id="542">
    <w:p w:rsidR="009A4F49" w:rsidRDefault="009A4F49" w:rsidP="0080334E">
      <w:pPr>
        <w:pStyle w:val="FootnoteText"/>
        <w:spacing w:after="0"/>
      </w:pPr>
      <w:r>
        <w:rPr>
          <w:rStyle w:val="FootnoteReference"/>
        </w:rPr>
        <w:footnoteRef/>
      </w:r>
      <w:r>
        <w:t xml:space="preserve"> </w:t>
      </w:r>
      <w:r>
        <w:tab/>
        <w:t>Letter dated 21 March 2014 from the Director of Administration to all Permanent Secretaries and Heads of Departments, para 3(d).</w:t>
      </w:r>
    </w:p>
  </w:footnote>
  <w:footnote w:id="543">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sz w:val="20"/>
        </w:rPr>
        <w:tab/>
        <w:t>Ss 28, 29 of the 1983 Act.</w:t>
      </w:r>
    </w:p>
  </w:footnote>
  <w:footnote w:id="544">
    <w:p w:rsidR="009A4F49" w:rsidRDefault="009A4F49" w:rsidP="00C51DE0">
      <w:pPr>
        <w:pStyle w:val="FootnoteText"/>
      </w:pPr>
      <w:r>
        <w:rPr>
          <w:rStyle w:val="FootnoteReference"/>
        </w:rPr>
        <w:footnoteRef/>
      </w:r>
      <w:r>
        <w:t xml:space="preserve"> </w:t>
      </w:r>
      <w:r>
        <w:tab/>
        <w:t xml:space="preserve">In its Report on review of the 1983 Act, the Australian Law Reform Commission recommended that the primary responsibility for auditing compliance with the standards promulgated should lie with the Auditor-General (as opposed to the NAA given the conflict of interests between the roles of standards setter and auditor) (Recommendation 38).  That said, it took the view that the NAA should retain a right of entry to the premises of other Commonwealth institutions to ensure proper creation and management of records on their part in accordance with the legislation and standards issued (Recommendation 39).  See Australian Law Reform Commission Report No 85, </w:t>
      </w:r>
      <w:r>
        <w:rPr>
          <w:i/>
        </w:rPr>
        <w:t>Australia's Federal Record: A review of Archives Act 1983</w:t>
      </w:r>
      <w:r>
        <w:t xml:space="preserve"> (1998) available at &lt;</w:t>
      </w:r>
      <w:r w:rsidRPr="00891280">
        <w:t>http://www.austlii.edu.au/au/other/lawreform/ALRC/1998/85.html</w:t>
      </w:r>
      <w:r>
        <w:t>&gt;.  To date, these recommendations are yet to be implemented.</w:t>
      </w:r>
    </w:p>
  </w:footnote>
  <w:footnote w:id="545">
    <w:p w:rsidR="009A4F49" w:rsidRDefault="009A4F49" w:rsidP="00C51DE0">
      <w:pPr>
        <w:pStyle w:val="FootnoteText"/>
      </w:pPr>
      <w:r>
        <w:rPr>
          <w:rStyle w:val="FootnoteReference"/>
        </w:rPr>
        <w:footnoteRef/>
      </w:r>
      <w:r>
        <w:t xml:space="preserve"> </w:t>
      </w:r>
      <w:r>
        <w:tab/>
        <w:t>S 6(1)(b) of the 1983 Act.</w:t>
      </w:r>
    </w:p>
  </w:footnote>
  <w:footnote w:id="546">
    <w:p w:rsidR="009A4F49" w:rsidRDefault="009A4F49" w:rsidP="0080334E">
      <w:pPr>
        <w:pStyle w:val="FootnoteText"/>
        <w:spacing w:after="0"/>
      </w:pPr>
      <w:r>
        <w:rPr>
          <w:rStyle w:val="FootnoteReference"/>
        </w:rPr>
        <w:footnoteRef/>
      </w:r>
      <w:r>
        <w:t xml:space="preserve"> </w:t>
      </w:r>
      <w:r>
        <w:tab/>
      </w:r>
      <w:r w:rsidRPr="00676113">
        <w:t>We note that the mode of surveys has been replaced by a new online survey tool “Check-up PLUS” from July 2018:</w:t>
      </w:r>
    </w:p>
    <w:p w:rsidR="009A4F49" w:rsidRPr="008D3410" w:rsidRDefault="009A4F49" w:rsidP="00C51DE0">
      <w:pPr>
        <w:pStyle w:val="FootnoteText"/>
      </w:pPr>
      <w:r>
        <w:rPr>
          <w:lang w:val="en-US"/>
        </w:rPr>
        <w:tab/>
        <w:t>&lt;</w:t>
      </w:r>
      <w:r w:rsidRPr="00891280">
        <w:rPr>
          <w:lang w:val="en-US"/>
        </w:rPr>
        <w:t>http://www.naa.gov.au/information-management/check-up/index.aspx</w:t>
      </w:r>
      <w:r>
        <w:rPr>
          <w:lang w:val="en-US"/>
        </w:rPr>
        <w:t>&gt;</w:t>
      </w:r>
      <w:r w:rsidRPr="008D3410">
        <w:rPr>
          <w:lang w:val="en-US"/>
        </w:rPr>
        <w:t>.</w:t>
      </w:r>
    </w:p>
  </w:footnote>
  <w:footnote w:id="547">
    <w:p w:rsidR="009A4F49" w:rsidRDefault="009A4F49" w:rsidP="0080334E">
      <w:pPr>
        <w:pStyle w:val="FootnoteText"/>
        <w:spacing w:after="0"/>
        <w:rPr>
          <w:lang w:val="en-US"/>
        </w:rPr>
      </w:pPr>
      <w:r>
        <w:rPr>
          <w:rStyle w:val="FootnoteReference"/>
        </w:rPr>
        <w:footnoteRef/>
      </w:r>
      <w:r>
        <w:t xml:space="preserve"> </w:t>
      </w:r>
      <w:r>
        <w:rPr>
          <w:lang w:val="en-US"/>
        </w:rPr>
        <w:tab/>
        <w:t xml:space="preserve">Report of the findings of the latest survey dated August 2016 is available at: </w:t>
      </w:r>
    </w:p>
    <w:p w:rsidR="009A4F49" w:rsidRDefault="009A4F49" w:rsidP="0080334E">
      <w:pPr>
        <w:pStyle w:val="FootnoteText"/>
        <w:spacing w:after="0"/>
        <w:rPr>
          <w:lang w:val="en-US"/>
        </w:rPr>
      </w:pPr>
      <w:r>
        <w:rPr>
          <w:lang w:val="en-US"/>
        </w:rPr>
        <w:tab/>
        <w:t>&lt;</w:t>
      </w:r>
      <w:r w:rsidRPr="00891280">
        <w:rPr>
          <w:lang w:val="en-US"/>
        </w:rPr>
        <w:t>http://www.naa.gov.au/naaresources/documents/2016Survey-Findings.pdf</w:t>
      </w:r>
      <w:r>
        <w:rPr>
          <w:lang w:val="en-US"/>
        </w:rPr>
        <w:t>&gt;</w:t>
      </w:r>
      <w:r>
        <w:rPr>
          <w:rFonts w:hint="eastAsia"/>
          <w:lang w:val="en-US"/>
        </w:rPr>
        <w:t>.</w:t>
      </w:r>
    </w:p>
  </w:footnote>
  <w:footnote w:id="548">
    <w:p w:rsidR="009A4F49" w:rsidRDefault="009A4F49" w:rsidP="00C51DE0">
      <w:pPr>
        <w:pStyle w:val="FootnoteText"/>
        <w:rPr>
          <w:lang w:val="en-US"/>
        </w:rPr>
      </w:pPr>
      <w:r>
        <w:rPr>
          <w:rStyle w:val="FootnoteReference"/>
        </w:rPr>
        <w:footnoteRef/>
      </w:r>
      <w:r>
        <w:t xml:space="preserve"> </w:t>
      </w:r>
      <w:r>
        <w:rPr>
          <w:lang w:val="en-US"/>
        </w:rPr>
        <w:tab/>
        <w:t>S 47(1) of the FOIA 2000.</w:t>
      </w:r>
    </w:p>
  </w:footnote>
  <w:footnote w:id="549">
    <w:p w:rsidR="009A4F49" w:rsidRDefault="009A4F49" w:rsidP="00C51DE0">
      <w:pPr>
        <w:pStyle w:val="FootnoteText"/>
        <w:rPr>
          <w:lang w:val="en-US"/>
        </w:rPr>
      </w:pPr>
      <w:r>
        <w:rPr>
          <w:rStyle w:val="FootnoteReference"/>
        </w:rPr>
        <w:footnoteRef/>
      </w:r>
      <w:r>
        <w:t xml:space="preserve"> </w:t>
      </w:r>
      <w:r>
        <w:rPr>
          <w:lang w:val="en-US"/>
        </w:rPr>
        <w:tab/>
        <w:t>S 47(1) of the FOIA 2000.</w:t>
      </w:r>
    </w:p>
  </w:footnote>
  <w:footnote w:id="550">
    <w:p w:rsidR="009A4F49" w:rsidRDefault="009A4F49" w:rsidP="00C51DE0">
      <w:pPr>
        <w:pStyle w:val="FootnoteText"/>
      </w:pPr>
      <w:r>
        <w:rPr>
          <w:rStyle w:val="FootnoteReference"/>
        </w:rPr>
        <w:footnoteRef/>
      </w:r>
      <w:r>
        <w:t xml:space="preserve"> </w:t>
      </w:r>
      <w:r>
        <w:tab/>
        <w:t>S 51 of the FOIA 2000.</w:t>
      </w:r>
    </w:p>
  </w:footnote>
  <w:footnote w:id="551">
    <w:p w:rsidR="009A4F49" w:rsidRDefault="009A4F49" w:rsidP="0080334E">
      <w:pPr>
        <w:pStyle w:val="FootnoteText"/>
        <w:spacing w:after="0"/>
      </w:pPr>
      <w:r>
        <w:rPr>
          <w:rStyle w:val="FootnoteReference"/>
        </w:rPr>
        <w:footnoteRef/>
      </w:r>
      <w:r>
        <w:t xml:space="preserve"> </w:t>
      </w:r>
      <w:r>
        <w:tab/>
        <w:t>S 54 of the FOIA 2000</w:t>
      </w:r>
      <w:r>
        <w:rPr>
          <w:lang w:val="en-US"/>
        </w:rPr>
        <w:t xml:space="preserve">.  In the first five years of the implementation of the FOIA 2000 from January 2005 to June 2010, the Information Commissioner's Office issued 109 information notices to a wide range of authorities but raised the prospect of contempt proceedings in only one of these cases.  See </w:t>
      </w:r>
      <w:r>
        <w:t>Judy Goodall and Oonagh Gay, "</w:t>
      </w:r>
      <w:r>
        <w:rPr>
          <w:i/>
        </w:rPr>
        <w:t>Freedom of Information: the first five years</w:t>
      </w:r>
      <w:r>
        <w:t>", Library Standard Note SN/PC/05666 (last updated on 28 July 2010) av</w:t>
      </w:r>
      <w:r w:rsidRPr="00C23FCE">
        <w:t>ailable at</w:t>
      </w:r>
      <w:r>
        <w:t>:</w:t>
      </w:r>
      <w:r w:rsidRPr="00C23FCE">
        <w:t xml:space="preserve"> </w:t>
      </w:r>
    </w:p>
    <w:p w:rsidR="009A4F49" w:rsidRDefault="009A4F49" w:rsidP="00C51DE0">
      <w:pPr>
        <w:pStyle w:val="FootnoteText"/>
      </w:pPr>
      <w:r>
        <w:tab/>
        <w:t>&lt;</w:t>
      </w:r>
      <w:r w:rsidRPr="00891280">
        <w:t>http://researchbriefings.files.parliament.uk/documents/SN05666/SN05666.pdf</w:t>
      </w:r>
      <w:r>
        <w:t>&gt;,item 5.2.</w:t>
      </w:r>
    </w:p>
  </w:footnote>
  <w:footnote w:id="552">
    <w:p w:rsidR="009A4F49" w:rsidRDefault="009A4F49" w:rsidP="00C51DE0">
      <w:pPr>
        <w:pStyle w:val="FootnoteText"/>
        <w:rPr>
          <w:lang w:val="en-US"/>
        </w:rPr>
      </w:pPr>
      <w:r>
        <w:rPr>
          <w:rStyle w:val="FootnoteReference"/>
        </w:rPr>
        <w:footnoteRef/>
      </w:r>
      <w:r>
        <w:t xml:space="preserve"> </w:t>
      </w:r>
      <w:r>
        <w:rPr>
          <w:lang w:val="en-US"/>
        </w:rPr>
        <w:tab/>
        <w:t>S 47(3) of the FOIA 2000.</w:t>
      </w:r>
    </w:p>
  </w:footnote>
  <w:footnote w:id="553">
    <w:p w:rsidR="009A4F49" w:rsidRPr="00C23FCE" w:rsidRDefault="009A4F49" w:rsidP="0080334E">
      <w:pPr>
        <w:pStyle w:val="FootnoteText"/>
        <w:jc w:val="left"/>
      </w:pPr>
      <w:r>
        <w:rPr>
          <w:rStyle w:val="FootnoteReference"/>
        </w:rPr>
        <w:footnoteRef/>
      </w:r>
      <w:r>
        <w:t xml:space="preserve"> </w:t>
      </w:r>
      <w:r>
        <w:tab/>
        <w:t>See generally: &lt;</w:t>
      </w:r>
      <w:r w:rsidRPr="00891280">
        <w:t>http://www.nationalarchives.gov.uk/information-management/manage-</w:t>
      </w:r>
      <w:r w:rsidRPr="00891280">
        <w:rPr>
          <w:rFonts w:hint="eastAsia"/>
        </w:rPr>
        <w:t xml:space="preserve"> </w:t>
      </w:r>
      <w:r w:rsidRPr="00891280">
        <w:t>information/ima/</w:t>
      </w:r>
      <w:r>
        <w:t>&gt;</w:t>
      </w:r>
      <w:r w:rsidRPr="00C23FCE">
        <w:t xml:space="preserve"> </w:t>
      </w:r>
      <w:r>
        <w:t xml:space="preserve">and the </w:t>
      </w:r>
      <w:r>
        <w:rPr>
          <w:i/>
        </w:rPr>
        <w:t>Information Management Assessment programme strategy 2015-19</w:t>
      </w:r>
      <w:r>
        <w:t>, revised up to August 2016, available at:</w:t>
      </w:r>
      <w:r>
        <w:rPr>
          <w:rFonts w:hint="eastAsia"/>
        </w:rPr>
        <w:t xml:space="preserve"> </w:t>
      </w:r>
      <w:r>
        <w:t>&lt;</w:t>
      </w:r>
      <w:r w:rsidRPr="00891280">
        <w:t>http://www.nationalarchives.gov.uk/documents/information-management/information-management-assessment-programme-strategy.pdf</w:t>
      </w:r>
      <w:r>
        <w:t>&gt;</w:t>
      </w:r>
      <w:r>
        <w:rPr>
          <w:rFonts w:hint="eastAsia"/>
        </w:rPr>
        <w:t>.</w:t>
      </w:r>
      <w:r w:rsidRPr="00C23FCE">
        <w:t xml:space="preserve">  </w:t>
      </w:r>
    </w:p>
  </w:footnote>
  <w:footnote w:id="554">
    <w:p w:rsidR="009A4F49" w:rsidRDefault="009A4F49" w:rsidP="00C51DE0">
      <w:pPr>
        <w:pStyle w:val="FootnoteText"/>
      </w:pPr>
      <w:r>
        <w:rPr>
          <w:rStyle w:val="FootnoteReference"/>
        </w:rPr>
        <w:footnoteRef/>
      </w:r>
      <w:r>
        <w:t xml:space="preserve"> </w:t>
      </w:r>
      <w:r>
        <w:tab/>
        <w:t>S 4(1)(d) of the 1986 Act.</w:t>
      </w:r>
    </w:p>
  </w:footnote>
  <w:footnote w:id="555">
    <w:p w:rsidR="009A4F49" w:rsidRDefault="009A4F49" w:rsidP="00C51DE0">
      <w:pPr>
        <w:pStyle w:val="FootnoteText"/>
      </w:pPr>
      <w:r>
        <w:rPr>
          <w:rStyle w:val="FootnoteReference"/>
        </w:rPr>
        <w:footnoteRef/>
      </w:r>
      <w:r>
        <w:t xml:space="preserve"> </w:t>
      </w:r>
      <w:r>
        <w:tab/>
        <w:t>S 7(7) of the 1986 Act.</w:t>
      </w:r>
    </w:p>
  </w:footnote>
  <w:footnote w:id="556">
    <w:p w:rsidR="009A4F49" w:rsidRDefault="009A4F49" w:rsidP="00C51DE0">
      <w:pPr>
        <w:pStyle w:val="FootnoteText"/>
      </w:pPr>
      <w:r>
        <w:rPr>
          <w:rStyle w:val="FootnoteReference"/>
        </w:rPr>
        <w:footnoteRef/>
      </w:r>
      <w:r>
        <w:t xml:space="preserve"> </w:t>
      </w:r>
      <w:r>
        <w:tab/>
        <w:t>S 31 of the 2005 Act.</w:t>
      </w:r>
    </w:p>
  </w:footnote>
  <w:footnote w:id="557">
    <w:p w:rsidR="009A4F49" w:rsidRDefault="009A4F49" w:rsidP="00C51DE0">
      <w:pPr>
        <w:pStyle w:val="FootnoteText"/>
        <w:rPr>
          <w:lang w:eastAsia="zh-HK"/>
        </w:rPr>
      </w:pPr>
      <w:r>
        <w:rPr>
          <w:rStyle w:val="FootnoteReference"/>
        </w:rPr>
        <w:footnoteRef/>
      </w:r>
      <w:r>
        <w:tab/>
      </w:r>
      <w:r>
        <w:rPr>
          <w:lang w:eastAsia="zh-HK"/>
        </w:rPr>
        <w:t xml:space="preserve">Ss </w:t>
      </w:r>
      <w:r>
        <w:t xml:space="preserve">33 and </w:t>
      </w:r>
      <w:r>
        <w:rPr>
          <w:lang w:eastAsia="zh-HK"/>
        </w:rPr>
        <w:t>35</w:t>
      </w:r>
      <w:r>
        <w:t xml:space="preserve"> of the 2005 Act. </w:t>
      </w:r>
    </w:p>
  </w:footnote>
  <w:footnote w:id="558">
    <w:p w:rsidR="009A4F49" w:rsidRDefault="009A4F49" w:rsidP="00C51DE0">
      <w:pPr>
        <w:pStyle w:val="FootnoteText"/>
      </w:pPr>
      <w:r>
        <w:rPr>
          <w:rStyle w:val="FootnoteReference"/>
        </w:rPr>
        <w:footnoteRef/>
      </w:r>
      <w:r>
        <w:t xml:space="preserve"> </w:t>
      </w:r>
      <w:r>
        <w:tab/>
        <w:t xml:space="preserve">S 29 of the 2005 Act. </w:t>
      </w:r>
    </w:p>
  </w:footnote>
  <w:footnote w:id="559">
    <w:p w:rsidR="009A4F49" w:rsidRDefault="009A4F49" w:rsidP="00C51DE0">
      <w:pPr>
        <w:pStyle w:val="FootnoteText"/>
      </w:pPr>
      <w:r>
        <w:rPr>
          <w:rStyle w:val="FootnoteReference"/>
        </w:rPr>
        <w:footnoteRef/>
      </w:r>
      <w:r>
        <w:t xml:space="preserve"> </w:t>
      </w:r>
      <w:r>
        <w:tab/>
        <w:t>S 14A(2)(a) of the NLBA.</w:t>
      </w:r>
    </w:p>
  </w:footnote>
  <w:footnote w:id="560">
    <w:p w:rsidR="009A4F49" w:rsidRDefault="009A4F49" w:rsidP="00C51DE0">
      <w:pPr>
        <w:pStyle w:val="FootnoteText"/>
      </w:pPr>
      <w:r>
        <w:rPr>
          <w:rStyle w:val="FootnoteReference"/>
        </w:rPr>
        <w:footnoteRef/>
      </w:r>
      <w:r>
        <w:t xml:space="preserve"> </w:t>
      </w:r>
      <w:r>
        <w:tab/>
        <w:t>S 14B of the NLBA.</w:t>
      </w:r>
    </w:p>
  </w:footnote>
  <w:footnote w:id="561">
    <w:p w:rsidR="009A4F49" w:rsidRDefault="009A4F49" w:rsidP="0080334E">
      <w:pPr>
        <w:pStyle w:val="FootnoteText"/>
        <w:spacing w:after="0"/>
        <w:rPr>
          <w:lang w:val="en-US"/>
        </w:rPr>
      </w:pPr>
      <w:r>
        <w:rPr>
          <w:rStyle w:val="FootnoteReference"/>
        </w:rPr>
        <w:footnoteRef/>
      </w:r>
      <w:r>
        <w:t xml:space="preserve"> </w:t>
      </w:r>
      <w:r>
        <w:rPr>
          <w:lang w:val="en-US"/>
        </w:rPr>
        <w:tab/>
        <w:t>S 14D(2) of the NLBA.</w:t>
      </w:r>
    </w:p>
  </w:footnote>
  <w:footnote w:id="562">
    <w:p w:rsidR="009A4F49" w:rsidRDefault="009A4F49" w:rsidP="00C51DE0">
      <w:pPr>
        <w:pStyle w:val="FootnoteText"/>
        <w:rPr>
          <w:lang w:val="en-US"/>
        </w:rPr>
      </w:pPr>
      <w:r>
        <w:rPr>
          <w:rStyle w:val="FootnoteReference"/>
        </w:rPr>
        <w:footnoteRef/>
      </w:r>
      <w:r>
        <w:t xml:space="preserve"> </w:t>
      </w:r>
      <w:r>
        <w:rPr>
          <w:lang w:val="en-US"/>
        </w:rPr>
        <w:tab/>
        <w:t>S 14D(3) of the NLBA.</w:t>
      </w:r>
    </w:p>
  </w:footnote>
  <w:footnote w:id="563">
    <w:p w:rsidR="009A4F49" w:rsidRDefault="009A4F49" w:rsidP="00C51DE0">
      <w:pPr>
        <w:pStyle w:val="FootnoteText"/>
      </w:pPr>
      <w:r>
        <w:rPr>
          <w:rStyle w:val="FootnoteReference"/>
        </w:rPr>
        <w:footnoteRef/>
      </w:r>
      <w:r>
        <w:t xml:space="preserve"> </w:t>
      </w:r>
      <w:r>
        <w:tab/>
        <w:t xml:space="preserve">Para 6.3 of </w:t>
      </w:r>
      <w:r w:rsidRPr="00445491">
        <w:t>The</w:t>
      </w:r>
      <w:r>
        <w:t xml:space="preserve"> Ombudsman's Report.</w:t>
      </w:r>
    </w:p>
  </w:footnote>
  <w:footnote w:id="564">
    <w:p w:rsidR="009A4F49" w:rsidRDefault="009A4F49" w:rsidP="00C51DE0">
      <w:pPr>
        <w:pStyle w:val="FootnoteText"/>
      </w:pPr>
      <w:r>
        <w:rPr>
          <w:rStyle w:val="FootnoteReference"/>
        </w:rPr>
        <w:footnoteRef/>
      </w:r>
      <w:r>
        <w:t xml:space="preserve"> </w:t>
      </w:r>
      <w:r>
        <w:tab/>
        <w:t xml:space="preserve">Para 606 of the RMM.  See also para 6.1 of </w:t>
      </w:r>
      <w:r w:rsidRPr="00445491">
        <w:rPr>
          <w:i/>
        </w:rPr>
        <w:t>The</w:t>
      </w:r>
      <w:r>
        <w:t xml:space="preserve"> </w:t>
      </w:r>
      <w:r>
        <w:rPr>
          <w:i/>
        </w:rPr>
        <w:t>Ombudsman's Report</w:t>
      </w:r>
      <w:r>
        <w:t>.</w:t>
      </w:r>
    </w:p>
  </w:footnote>
  <w:footnote w:id="565">
    <w:p w:rsidR="009A4F49" w:rsidRDefault="009A4F49" w:rsidP="00C51DE0">
      <w:pPr>
        <w:pStyle w:val="FootnoteText"/>
      </w:pPr>
      <w:r>
        <w:rPr>
          <w:rStyle w:val="FootnoteReference"/>
        </w:rPr>
        <w:footnoteRef/>
      </w:r>
      <w:r>
        <w:t xml:space="preserve"> </w:t>
      </w:r>
      <w:r>
        <w:tab/>
        <w:t xml:space="preserve">Para 6.6 of </w:t>
      </w:r>
      <w:r w:rsidRPr="00445491">
        <w:t>The</w:t>
      </w:r>
      <w:r>
        <w:t xml:space="preserve"> Ombudsman's Report.</w:t>
      </w:r>
    </w:p>
  </w:footnote>
  <w:footnote w:id="566">
    <w:p w:rsidR="009A4F49" w:rsidRDefault="009A4F49" w:rsidP="0080334E">
      <w:pPr>
        <w:pStyle w:val="FootnoteText"/>
        <w:spacing w:after="0"/>
      </w:pPr>
      <w:r>
        <w:rPr>
          <w:rStyle w:val="FootnoteReference"/>
        </w:rPr>
        <w:footnoteRef/>
      </w:r>
      <w:r>
        <w:t xml:space="preserve"> </w:t>
      </w:r>
      <w:r>
        <w:tab/>
        <w:t xml:space="preserve">Para 6.4 of </w:t>
      </w:r>
      <w:r w:rsidRPr="00445491">
        <w:t>The</w:t>
      </w:r>
      <w:r>
        <w:t xml:space="preserve"> Ombudsman's Report.</w:t>
      </w:r>
    </w:p>
  </w:footnote>
  <w:footnote w:id="567">
    <w:p w:rsidR="009A4F49" w:rsidRDefault="009A4F49" w:rsidP="00DF3CF7">
      <w:pPr>
        <w:spacing w:after="120"/>
        <w:ind w:left="720" w:hanging="720"/>
        <w:rPr>
          <w:rFonts w:cs="Arial"/>
          <w:sz w:val="20"/>
        </w:rPr>
      </w:pPr>
      <w:r>
        <w:rPr>
          <w:rFonts w:cs="Arial"/>
          <w:sz w:val="20"/>
          <w:vertAlign w:val="superscript"/>
        </w:rPr>
        <w:footnoteRef/>
      </w:r>
      <w:r>
        <w:rPr>
          <w:rFonts w:cs="Arial"/>
          <w:sz w:val="20"/>
        </w:rPr>
        <w:t xml:space="preserve"> </w:t>
      </w:r>
      <w:r>
        <w:rPr>
          <w:rFonts w:cs="Arial" w:hint="eastAsia"/>
          <w:sz w:val="20"/>
        </w:rPr>
        <w:tab/>
      </w:r>
      <w:r>
        <w:rPr>
          <w:rFonts w:cs="Arial"/>
          <w:sz w:val="20"/>
        </w:rPr>
        <w:t>Paras 6.10, 6.11, 9.1(2) and</w:t>
      </w:r>
      <w:r>
        <w:rPr>
          <w:rFonts w:cs="Arial"/>
          <w:sz w:val="20"/>
          <w:lang w:val="en-US"/>
        </w:rPr>
        <w:t> </w:t>
      </w:r>
      <w:r>
        <w:rPr>
          <w:rFonts w:cs="Arial"/>
          <w:sz w:val="20"/>
        </w:rPr>
        <w:t xml:space="preserve">(3) of </w:t>
      </w:r>
      <w:r w:rsidRPr="00445491">
        <w:rPr>
          <w:rFonts w:cs="Arial"/>
          <w:i/>
          <w:sz w:val="20"/>
        </w:rPr>
        <w:t>The</w:t>
      </w:r>
      <w:r>
        <w:rPr>
          <w:rFonts w:cs="Arial"/>
          <w:sz w:val="20"/>
        </w:rPr>
        <w:t xml:space="preserve"> </w:t>
      </w:r>
      <w:r>
        <w:rPr>
          <w:rFonts w:cs="Arial"/>
          <w:i/>
          <w:sz w:val="20"/>
        </w:rPr>
        <w:t>Ombudsman's Report</w:t>
      </w:r>
      <w:r>
        <w:rPr>
          <w:rFonts w:cs="Arial"/>
          <w:sz w:val="20"/>
        </w:rPr>
        <w:t xml:space="preserve">.  </w:t>
      </w:r>
    </w:p>
  </w:footnote>
  <w:footnote w:id="568">
    <w:p w:rsidR="009A4F49" w:rsidRDefault="009A4F49" w:rsidP="00C51DE0">
      <w:pPr>
        <w:pStyle w:val="FootnoteText"/>
        <w:rPr>
          <w:lang w:val="es-ES"/>
        </w:rPr>
      </w:pPr>
      <w:r>
        <w:rPr>
          <w:rStyle w:val="FootnoteReference"/>
        </w:rPr>
        <w:footnoteRef/>
      </w:r>
      <w:r>
        <w:rPr>
          <w:lang w:val="es-ES"/>
        </w:rPr>
        <w:t xml:space="preserve"> </w:t>
      </w:r>
      <w:r>
        <w:rPr>
          <w:lang w:val="es-ES"/>
        </w:rPr>
        <w:tab/>
        <w:t>Para 18 of GC09.</w:t>
      </w:r>
    </w:p>
  </w:footnote>
  <w:footnote w:id="569">
    <w:p w:rsidR="009A4F49" w:rsidRDefault="009A4F49" w:rsidP="00C51DE0">
      <w:pPr>
        <w:pStyle w:val="FootnoteText"/>
      </w:pPr>
      <w:r>
        <w:rPr>
          <w:rStyle w:val="FootnoteReference"/>
        </w:rPr>
        <w:footnoteRef/>
      </w:r>
      <w:r>
        <w:rPr>
          <w:lang w:val="es-ES"/>
        </w:rPr>
        <w:t xml:space="preserve"> </w:t>
      </w:r>
      <w:r>
        <w:rPr>
          <w:lang w:val="es-ES"/>
        </w:rPr>
        <w:tab/>
        <w:t xml:space="preserve">Para 21 of GC09. </w:t>
      </w:r>
      <w:r>
        <w:rPr>
          <w:rFonts w:hint="eastAsia"/>
          <w:lang w:val="es-ES"/>
        </w:rPr>
        <w:t xml:space="preserve"> </w:t>
      </w:r>
      <w:r>
        <w:t>To minimise the risk of losing records during bulk relocation of files,</w:t>
      </w:r>
      <w:r>
        <w:rPr>
          <w:lang w:val="en-US"/>
        </w:rPr>
        <w:t> </w:t>
      </w:r>
      <w:r>
        <w:t xml:space="preserve">appropriate arrangement should be made during the process.  In this regard, the GRS has provided further guidance by publishing the </w:t>
      </w:r>
      <w:r>
        <w:rPr>
          <w:i/>
        </w:rPr>
        <w:t xml:space="preserve">Guidelines on Bulk Relocation of Government Records </w:t>
      </w:r>
      <w:r>
        <w:t>(July 2015).</w:t>
      </w:r>
    </w:p>
  </w:footnote>
  <w:footnote w:id="570">
    <w:p w:rsidR="009A4F49" w:rsidRDefault="009A4F49" w:rsidP="00C51DE0">
      <w:pPr>
        <w:pStyle w:val="FootnoteText"/>
      </w:pPr>
      <w:r>
        <w:rPr>
          <w:rStyle w:val="FootnoteReference"/>
        </w:rPr>
        <w:footnoteRef/>
      </w:r>
      <w:r>
        <w:t xml:space="preserve"> </w:t>
      </w:r>
      <w:r>
        <w:tab/>
        <w:t>Para 22 of GC09.</w:t>
      </w:r>
    </w:p>
  </w:footnote>
  <w:footnote w:id="571">
    <w:p w:rsidR="009A4F49" w:rsidRDefault="009A4F49" w:rsidP="0080334E">
      <w:pPr>
        <w:pStyle w:val="FootnoteText"/>
        <w:spacing w:after="0"/>
      </w:pPr>
      <w:r>
        <w:rPr>
          <w:rStyle w:val="FootnoteReference"/>
        </w:rPr>
        <w:footnoteRef/>
      </w:r>
      <w:r>
        <w:t xml:space="preserve"> </w:t>
      </w:r>
      <w:r>
        <w:tab/>
        <w:t>Para 6 of GC09.</w:t>
      </w:r>
    </w:p>
  </w:footnote>
  <w:footnote w:id="572">
    <w:p w:rsidR="009A4F49" w:rsidRDefault="009A4F49" w:rsidP="00DF3CF7">
      <w:pPr>
        <w:spacing w:after="120"/>
        <w:ind w:left="720" w:hanging="720"/>
        <w:rPr>
          <w:sz w:val="20"/>
        </w:rPr>
      </w:pPr>
      <w:r>
        <w:rPr>
          <w:sz w:val="20"/>
          <w:vertAlign w:val="superscript"/>
        </w:rPr>
        <w:footnoteRef/>
      </w:r>
      <w:r>
        <w:rPr>
          <w:sz w:val="20"/>
        </w:rPr>
        <w:t xml:space="preserve"> </w:t>
      </w:r>
      <w:r>
        <w:rPr>
          <w:sz w:val="20"/>
        </w:rPr>
        <w:tab/>
        <w:t>Information provided by GRS</w:t>
      </w:r>
      <w:r>
        <w:rPr>
          <w:rFonts w:hint="eastAsia"/>
          <w:sz w:val="20"/>
          <w:lang w:eastAsia="zh-HK"/>
        </w:rPr>
        <w:t xml:space="preserve"> </w:t>
      </w:r>
      <w:r>
        <w:rPr>
          <w:sz w:val="20"/>
          <w:lang w:eastAsia="zh-HK"/>
        </w:rPr>
        <w:t>on 13 March</w:t>
      </w:r>
      <w:r>
        <w:rPr>
          <w:rFonts w:hint="eastAsia"/>
          <w:sz w:val="20"/>
          <w:lang w:eastAsia="zh-HK"/>
        </w:rPr>
        <w:t xml:space="preserve"> 2018</w:t>
      </w:r>
      <w:r>
        <w:rPr>
          <w:sz w:val="20"/>
        </w:rPr>
        <w:t>.</w:t>
      </w:r>
    </w:p>
  </w:footnote>
  <w:footnote w:id="573">
    <w:p w:rsidR="009A4F49" w:rsidRDefault="009A4F49" w:rsidP="0080334E">
      <w:pPr>
        <w:ind w:left="720" w:hanging="720"/>
        <w:rPr>
          <w:sz w:val="20"/>
        </w:rPr>
      </w:pPr>
      <w:r>
        <w:rPr>
          <w:sz w:val="20"/>
          <w:vertAlign w:val="superscript"/>
        </w:rPr>
        <w:footnoteRef/>
      </w:r>
      <w:r>
        <w:rPr>
          <w:sz w:val="20"/>
        </w:rPr>
        <w:t xml:space="preserve"> </w:t>
      </w:r>
      <w:r>
        <w:rPr>
          <w:sz w:val="20"/>
        </w:rPr>
        <w:tab/>
        <w:t>Information provided by GRS</w:t>
      </w:r>
      <w:r>
        <w:t xml:space="preserve"> </w:t>
      </w:r>
      <w:r>
        <w:rPr>
          <w:sz w:val="20"/>
        </w:rPr>
        <w:t>on 13 March 2018.</w:t>
      </w:r>
    </w:p>
  </w:footnote>
  <w:footnote w:id="574">
    <w:p w:rsidR="009A4F49" w:rsidRPr="00C23FCE" w:rsidRDefault="009A4F49" w:rsidP="00C51DE0">
      <w:pPr>
        <w:pStyle w:val="FootnoteText"/>
        <w:rPr>
          <w:lang w:val="en-US"/>
        </w:rPr>
      </w:pPr>
      <w:r>
        <w:rPr>
          <w:rStyle w:val="FootnoteReference"/>
        </w:rPr>
        <w:footnoteRef/>
      </w:r>
      <w:r>
        <w:t xml:space="preserve"> </w:t>
      </w:r>
      <w:r>
        <w:tab/>
        <w:t>See, for example, news articles dated 20 July 2017 at:</w:t>
      </w:r>
      <w:r>
        <w:rPr>
          <w:rFonts w:hint="eastAsia"/>
        </w:rPr>
        <w:t xml:space="preserve"> </w:t>
      </w:r>
      <w:r>
        <w:t>&lt;</w:t>
      </w:r>
      <w:r w:rsidRPr="00891280">
        <w:t>http://www.abc.net.au/news/</w:t>
      </w:r>
      <w:r w:rsidRPr="00891280">
        <w:rPr>
          <w:rFonts w:hint="eastAsia"/>
        </w:rPr>
        <w:t xml:space="preserve"> </w:t>
      </w:r>
      <w:r w:rsidRPr="00891280">
        <w:t>2017-07-19/mark-bailey-personal-email-usage-possibly-corrupt-ccc/8724996</w:t>
      </w:r>
      <w:r>
        <w:t>&gt;</w:t>
      </w:r>
      <w:r w:rsidRPr="00FF157C">
        <w:rPr>
          <w:rStyle w:val="Hyperlink"/>
        </w:rPr>
        <w:t>.</w:t>
      </w:r>
    </w:p>
  </w:footnote>
  <w:footnote w:id="575">
    <w:p w:rsidR="009A4F49" w:rsidRDefault="009A4F49" w:rsidP="0080334E">
      <w:pPr>
        <w:pStyle w:val="FootnoteText"/>
        <w:spacing w:after="0"/>
        <w:jc w:val="left"/>
      </w:pPr>
      <w:r>
        <w:rPr>
          <w:rStyle w:val="FootnoteReference"/>
        </w:rPr>
        <w:footnoteRef/>
      </w:r>
      <w:r>
        <w:t xml:space="preserve"> </w:t>
      </w:r>
      <w:r>
        <w:rPr>
          <w:lang w:val="en-US"/>
        </w:rPr>
        <w:tab/>
        <w:t>T</w:t>
      </w:r>
      <w:r>
        <w:t>here are reports on persons suspected of destroying documents and being charged with an offence in other legislation. &lt;</w:t>
      </w:r>
      <w:r w:rsidRPr="00891280">
        <w:t>http://www.smh.com.au/business/workplace-</w:t>
      </w:r>
      <w:r w:rsidRPr="00891280">
        <w:rPr>
          <w:rFonts w:hint="eastAsia"/>
        </w:rPr>
        <w:t xml:space="preserve"> </w:t>
      </w:r>
      <w:r w:rsidRPr="00891280">
        <w:t>relations/</w:t>
      </w:r>
    </w:p>
    <w:p w:rsidR="009A4F49" w:rsidRDefault="009A4F49" w:rsidP="0080334E">
      <w:pPr>
        <w:pStyle w:val="FootnoteText"/>
        <w:jc w:val="left"/>
        <w:rPr>
          <w:lang w:val="en-US"/>
        </w:rPr>
      </w:pPr>
      <w:r>
        <w:tab/>
      </w:r>
      <w:r w:rsidRPr="00891280">
        <w:t>excfmeu-boss-dave-hanna-charged-with-destroying-documents-20170803-gxp24i.html</w:t>
      </w:r>
      <w:r>
        <w:t>&gt;</w:t>
      </w:r>
      <w:r>
        <w:rPr>
          <w:rFonts w:hint="eastAsia"/>
        </w:rPr>
        <w:t>.</w:t>
      </w:r>
    </w:p>
  </w:footnote>
  <w:footnote w:id="576">
    <w:p w:rsidR="009A4F49" w:rsidRPr="00445491" w:rsidRDefault="009A4F49" w:rsidP="00C51DE0">
      <w:pPr>
        <w:pStyle w:val="FootnoteText"/>
        <w:rPr>
          <w:lang w:val="en-US"/>
        </w:rPr>
      </w:pPr>
      <w:r>
        <w:rPr>
          <w:rStyle w:val="FootnoteReference"/>
        </w:rPr>
        <w:footnoteRef/>
      </w:r>
      <w:r>
        <w:t xml:space="preserve"> </w:t>
      </w:r>
      <w:r>
        <w:rPr>
          <w:lang w:val="en-US"/>
        </w:rPr>
        <w:tab/>
      </w:r>
      <w:r w:rsidRPr="00445491">
        <w:rPr>
          <w:lang w:val="en-US"/>
        </w:rPr>
        <w:t>Ss 6(1)(j), (k) of the 1983 Act.</w:t>
      </w:r>
    </w:p>
  </w:footnote>
  <w:footnote w:id="577">
    <w:p w:rsidR="009A4F49" w:rsidRDefault="009A4F49" w:rsidP="00C51DE0">
      <w:pPr>
        <w:pStyle w:val="FootnoteText"/>
        <w:rPr>
          <w:lang w:val="en-US"/>
        </w:rPr>
      </w:pPr>
      <w:r>
        <w:rPr>
          <w:rStyle w:val="FootnoteReference"/>
        </w:rPr>
        <w:footnoteRef/>
      </w:r>
      <w:r>
        <w:t xml:space="preserve"> </w:t>
      </w:r>
      <w:r>
        <w:rPr>
          <w:lang w:val="en-US"/>
        </w:rPr>
        <w:tab/>
        <w:t xml:space="preserve">S 77 of the FOIA 2000. </w:t>
      </w:r>
    </w:p>
  </w:footnote>
  <w:footnote w:id="578">
    <w:p w:rsidR="009A4F49" w:rsidRDefault="009A4F49" w:rsidP="00C51DE0">
      <w:pPr>
        <w:pStyle w:val="FootnoteText"/>
        <w:rPr>
          <w:lang w:val="en-US"/>
        </w:rPr>
      </w:pPr>
      <w:r>
        <w:rPr>
          <w:rStyle w:val="FootnoteReference"/>
        </w:rPr>
        <w:footnoteRef/>
      </w:r>
      <w:r>
        <w:t xml:space="preserve"> </w:t>
      </w:r>
      <w:r>
        <w:rPr>
          <w:lang w:val="en-US"/>
        </w:rPr>
        <w:tab/>
        <w:t>Para 10.6 of the Lord Chancellor's Code requires that storage of records should follow accepted standards in respect of the storage environment in order to minimise the risk of loss.</w:t>
      </w:r>
    </w:p>
  </w:footnote>
  <w:footnote w:id="579">
    <w:p w:rsidR="009A4F49" w:rsidRDefault="009A4F49" w:rsidP="004B58B0">
      <w:pPr>
        <w:pStyle w:val="FootnoteText"/>
        <w:spacing w:after="0"/>
      </w:pPr>
      <w:r>
        <w:rPr>
          <w:rStyle w:val="FootnoteReference"/>
        </w:rPr>
        <w:footnoteRef/>
      </w:r>
      <w:r>
        <w:t xml:space="preserve"> </w:t>
      </w:r>
      <w:r>
        <w:tab/>
        <w:t xml:space="preserve">See Rule 15 of the </w:t>
      </w:r>
      <w:r>
        <w:rPr>
          <w:i/>
        </w:rPr>
        <w:t>Rules for Readers</w:t>
      </w:r>
      <w:r>
        <w:t xml:space="preserve"> in NAI's website at:</w:t>
      </w:r>
    </w:p>
    <w:p w:rsidR="009A4F49" w:rsidRPr="00C23FCE" w:rsidRDefault="009A4F49" w:rsidP="004B58B0">
      <w:pPr>
        <w:pStyle w:val="FootnoteText"/>
        <w:spacing w:after="0"/>
      </w:pPr>
      <w:r w:rsidRPr="00D86E22">
        <w:rPr>
          <w:rFonts w:ascii="Calibri" w:hAnsi="Calibri" w:cs="Times New Roman"/>
        </w:rPr>
        <w:tab/>
        <w:t>&lt;</w:t>
      </w:r>
      <w:r w:rsidRPr="00891280">
        <w:t>http://www.nationalarchives.ie/services/service-for-our-visitors/rules-for-readers/</w:t>
      </w:r>
      <w:r>
        <w:t>&gt;</w:t>
      </w:r>
      <w:r w:rsidRPr="00C23FCE">
        <w:t>.</w:t>
      </w:r>
    </w:p>
    <w:p w:rsidR="009A4F49" w:rsidRPr="00D10E4D" w:rsidRDefault="009A4F49" w:rsidP="00C51DE0">
      <w:pPr>
        <w:pStyle w:val="FootnoteText"/>
      </w:pPr>
      <w:r>
        <w:rPr>
          <w:sz w:val="16"/>
          <w:szCs w:val="16"/>
        </w:rPr>
        <w:tab/>
      </w:r>
      <w:r>
        <w:t>In its Annual Report</w:t>
      </w:r>
      <w:r w:rsidRPr="00D16D82">
        <w:t xml:space="preserve"> 2013, the Advisory Council (Ire) suggested</w:t>
      </w:r>
      <w:r>
        <w:t>: "</w:t>
      </w:r>
      <w:r w:rsidRPr="004B6383">
        <w:t>[</w:t>
      </w:r>
      <w:r w:rsidRPr="00445491">
        <w:t>i]t should be an offence to destroy records that are of core value to the history of each listed body and each department of Government</w:t>
      </w:r>
      <w:r>
        <w:t>"</w:t>
      </w:r>
      <w:r w:rsidRPr="00D16D82">
        <w:t>.</w:t>
      </w:r>
      <w:r>
        <w:t xml:space="preserve">  It appears that this suggestion has not yet been implemented.  &lt;</w:t>
      </w:r>
      <w:r w:rsidRPr="00891280">
        <w:t>http://www.nationalarchives.ie/wp-content/uploads/2016/01/NAAC-Annual-Report-</w:t>
      </w:r>
      <w:r>
        <w:t>‌</w:t>
      </w:r>
      <w:r w:rsidRPr="00891280">
        <w:t>2013.pdf</w:t>
      </w:r>
      <w:r>
        <w:t>&gt;</w:t>
      </w:r>
      <w:r>
        <w:rPr>
          <w:rFonts w:hint="eastAsia"/>
        </w:rPr>
        <w:t>.</w:t>
      </w:r>
    </w:p>
  </w:footnote>
  <w:footnote w:id="580">
    <w:p w:rsidR="009A4F49" w:rsidRPr="00445491" w:rsidRDefault="009A4F49" w:rsidP="00C51DE0">
      <w:pPr>
        <w:pStyle w:val="FootnoteText"/>
        <w:rPr>
          <w:lang w:val="en-US"/>
        </w:rPr>
      </w:pPr>
      <w:r>
        <w:rPr>
          <w:rStyle w:val="FootnoteReference"/>
        </w:rPr>
        <w:footnoteRef/>
      </w:r>
      <w:r>
        <w:t xml:space="preserve"> </w:t>
      </w:r>
      <w:r>
        <w:rPr>
          <w:lang w:val="en-US"/>
        </w:rPr>
        <w:tab/>
      </w:r>
      <w:r w:rsidRPr="00445491">
        <w:rPr>
          <w:lang w:val="en-US"/>
        </w:rPr>
        <w:t>S 4(1)(e) of the 1986 Act.</w:t>
      </w:r>
    </w:p>
  </w:footnote>
  <w:footnote w:id="581">
    <w:p w:rsidR="009A4F49" w:rsidRDefault="009A4F49" w:rsidP="00C51DE0">
      <w:pPr>
        <w:pStyle w:val="FootnoteText"/>
      </w:pPr>
      <w:r>
        <w:rPr>
          <w:rStyle w:val="FootnoteReference"/>
        </w:rPr>
        <w:footnoteRef/>
      </w:r>
      <w:r>
        <w:t xml:space="preserve"> </w:t>
      </w:r>
      <w:r>
        <w:tab/>
        <w:t>S 61 of the 2005 Act.</w:t>
      </w:r>
    </w:p>
  </w:footnote>
  <w:footnote w:id="582">
    <w:p w:rsidR="009A4F49" w:rsidRDefault="009A4F49" w:rsidP="00C51DE0">
      <w:pPr>
        <w:pStyle w:val="FootnoteText"/>
        <w:rPr>
          <w:lang w:val="en-US"/>
        </w:rPr>
      </w:pPr>
      <w:r>
        <w:rPr>
          <w:rStyle w:val="FootnoteReference"/>
        </w:rPr>
        <w:footnoteRef/>
      </w:r>
      <w:r>
        <w:t xml:space="preserve"> </w:t>
      </w:r>
      <w:r>
        <w:rPr>
          <w:lang w:val="en-US"/>
        </w:rPr>
        <w:tab/>
        <w:t>S 11(2) of the 2005 Act.</w:t>
      </w:r>
    </w:p>
  </w:footnote>
  <w:footnote w:id="583">
    <w:p w:rsidR="009A4F49" w:rsidRDefault="009A4F49" w:rsidP="00C51DE0">
      <w:pPr>
        <w:pStyle w:val="FootnoteText"/>
      </w:pPr>
      <w:r>
        <w:rPr>
          <w:rStyle w:val="FootnoteReference"/>
        </w:rPr>
        <w:footnoteRef/>
      </w:r>
      <w:r>
        <w:t xml:space="preserve"> </w:t>
      </w:r>
      <w:r>
        <w:tab/>
        <w:t>S 14D of the NLBA.</w:t>
      </w:r>
    </w:p>
  </w:footnote>
  <w:footnote w:id="584">
    <w:p w:rsidR="009A4F49" w:rsidRDefault="009A4F49" w:rsidP="00C51DE0">
      <w:pPr>
        <w:pStyle w:val="FootnoteText"/>
        <w:rPr>
          <w:lang w:val="en-US"/>
        </w:rPr>
      </w:pPr>
      <w:r>
        <w:rPr>
          <w:rStyle w:val="FootnoteReference"/>
        </w:rPr>
        <w:footnoteRef/>
      </w:r>
      <w:r>
        <w:t xml:space="preserve"> </w:t>
      </w:r>
      <w:r>
        <w:rPr>
          <w:lang w:val="en-US"/>
        </w:rPr>
        <w:tab/>
        <w:t xml:space="preserve">S 225C of the Penal Code.  There is no general provision similar to s 225C in England, Australia and Ireland.  For New Zealand, as already noted, contravention of provisions of the 2005 Act and its regulations is an offence under s 61(c) of the Act.  </w:t>
      </w:r>
    </w:p>
  </w:footnote>
  <w:footnote w:id="585">
    <w:p w:rsidR="009A4F49" w:rsidRPr="001001CA" w:rsidRDefault="009A4F49" w:rsidP="00C51DE0">
      <w:pPr>
        <w:pStyle w:val="FootnoteText"/>
      </w:pPr>
      <w:r>
        <w:rPr>
          <w:rStyle w:val="FootnoteReference"/>
        </w:rPr>
        <w:footnoteRef/>
      </w:r>
      <w:r>
        <w:t xml:space="preserve"> </w:t>
      </w:r>
      <w:r>
        <w:tab/>
      </w:r>
      <w:r w:rsidRPr="00445491">
        <w:t>S 14A(2)(e) of the NLBA.</w:t>
      </w:r>
    </w:p>
  </w:footnote>
  <w:footnote w:id="586">
    <w:p w:rsidR="009A4F49" w:rsidRPr="00445491" w:rsidRDefault="009A4F49" w:rsidP="00C51DE0">
      <w:pPr>
        <w:pStyle w:val="FootnoteText"/>
      </w:pPr>
      <w:r w:rsidRPr="00445491">
        <w:rPr>
          <w:rStyle w:val="FootnoteReference"/>
        </w:rPr>
        <w:footnoteRef/>
      </w:r>
      <w:r w:rsidRPr="00445491">
        <w:t xml:space="preserve"> </w:t>
      </w:r>
      <w:r w:rsidRPr="00445491">
        <w:tab/>
        <w:t>In Ireland, section 18 of the 1986 Act criminalises several conducts including the removal, concealing or damaging of archives (as opposed to Departmental records).</w:t>
      </w:r>
      <w:r>
        <w:t xml:space="preserve">  In Singapore, section 14D of the NLBA has to be read with the Penal Code.</w:t>
      </w:r>
    </w:p>
  </w:footnote>
  <w:footnote w:id="587">
    <w:p w:rsidR="009A4F49" w:rsidRPr="00C620B5" w:rsidRDefault="009A4F49" w:rsidP="00C51DE0">
      <w:pPr>
        <w:pStyle w:val="FootnoteText"/>
      </w:pPr>
      <w:r w:rsidRPr="00C620B5">
        <w:rPr>
          <w:rStyle w:val="FootnoteReference"/>
        </w:rPr>
        <w:footnoteRef/>
      </w:r>
      <w:r w:rsidRPr="00C620B5">
        <w:t xml:space="preserve"> </w:t>
      </w:r>
      <w:r w:rsidRPr="00C620B5">
        <w:tab/>
        <w:t>Para 2.11 of The Ombudsman</w:t>
      </w:r>
      <w:r>
        <w:t>'</w:t>
      </w:r>
      <w:r w:rsidRPr="00C620B5">
        <w:t>s Report</w:t>
      </w:r>
      <w:r>
        <w:t xml:space="preserve"> and para 3.1 of the </w:t>
      </w:r>
      <w:r w:rsidRPr="00C620B5">
        <w:t>2011 Civic Exchange Report.</w:t>
      </w:r>
    </w:p>
  </w:footnote>
  <w:footnote w:id="588">
    <w:p w:rsidR="009A4F49" w:rsidRPr="00690C54" w:rsidRDefault="009A4F49" w:rsidP="00C51DE0">
      <w:pPr>
        <w:pStyle w:val="FootnoteText"/>
      </w:pPr>
      <w:r w:rsidRPr="00690C54">
        <w:rPr>
          <w:rStyle w:val="FootnoteReference"/>
        </w:rPr>
        <w:footnoteRef/>
      </w:r>
      <w:r w:rsidRPr="00690C54">
        <w:t xml:space="preserve"> </w:t>
      </w:r>
      <w:r w:rsidRPr="00690C54">
        <w:rPr>
          <w:rFonts w:hint="eastAsia"/>
        </w:rPr>
        <w:tab/>
      </w:r>
      <w:r>
        <w:t xml:space="preserve">Para </w:t>
      </w:r>
      <w:r w:rsidRPr="00690C54">
        <w:t>3.2 of the 2011 Civic Exchange Report.</w:t>
      </w:r>
    </w:p>
  </w:footnote>
  <w:footnote w:id="589">
    <w:p w:rsidR="009A4F49" w:rsidRPr="00690C54" w:rsidRDefault="009A4F49" w:rsidP="00C51DE0">
      <w:pPr>
        <w:pStyle w:val="FootnoteText"/>
      </w:pPr>
      <w:r w:rsidRPr="00690C54">
        <w:rPr>
          <w:rStyle w:val="FootnoteReference"/>
        </w:rPr>
        <w:footnoteRef/>
      </w:r>
      <w:r w:rsidRPr="00690C54">
        <w:t xml:space="preserve"> </w:t>
      </w:r>
      <w:r w:rsidRPr="00690C54">
        <w:rPr>
          <w:rFonts w:hint="eastAsia"/>
        </w:rPr>
        <w:tab/>
      </w:r>
      <w:r w:rsidRPr="00690C54">
        <w:t xml:space="preserve">Annex to the </w:t>
      </w:r>
      <w:r w:rsidRPr="00690C54">
        <w:rPr>
          <w:i/>
        </w:rPr>
        <w:t>Information Note to LegCo Panel on Constitutional Affairs on Code on Access to Information and Management of Public Records</w:t>
      </w:r>
      <w:r w:rsidRPr="00690C54">
        <w:t xml:space="preserve"> dated October 2010, LC Paper No</w:t>
      </w:r>
      <w:r w:rsidRPr="00690C54">
        <w:rPr>
          <w:rFonts w:hint="eastAsia"/>
        </w:rPr>
        <w:t xml:space="preserve"> </w:t>
      </w:r>
      <w:r w:rsidRPr="00690C54">
        <w:t xml:space="preserve">CB(2)159/10-11(01), accessible at </w:t>
      </w:r>
      <w:r>
        <w:t>&lt;</w:t>
      </w:r>
      <w:r w:rsidRPr="008835C7">
        <w:t>http://www.legco.gov.hk/yr09-10/</w:t>
      </w:r>
      <w:r w:rsidRPr="008835C7">
        <w:rPr>
          <w:rFonts w:hint="eastAsia"/>
        </w:rPr>
        <w:t xml:space="preserve"> </w:t>
      </w:r>
      <w:r w:rsidRPr="008835C7">
        <w:t>english/panels/ca/papers/ca0517cb2-159-1-e.pdf</w:t>
      </w:r>
      <w:r>
        <w:t>&gt;</w:t>
      </w:r>
      <w:r w:rsidRPr="00C620B5">
        <w:rPr>
          <w:szCs w:val="18"/>
        </w:rPr>
        <w:t>.</w:t>
      </w:r>
      <w:r w:rsidRPr="00690C54">
        <w:t xml:space="preserve">  See also the draft archives law drawn up by the Archives Action Group and posted on its website, accessible at: </w:t>
      </w:r>
      <w:r>
        <w:t>&lt;</w:t>
      </w:r>
      <w:r w:rsidRPr="008835C7">
        <w:t>http://archivesactiongroup.org/m</w:t>
      </w:r>
      <w:r w:rsidRPr="008835C7">
        <w:t>a</w:t>
      </w:r>
      <w:r w:rsidRPr="008835C7">
        <w:t>in/?page_id=4</w:t>
      </w:r>
      <w:r>
        <w:t>&gt;</w:t>
      </w:r>
      <w:r>
        <w:rPr>
          <w:rFonts w:hint="eastAsia"/>
        </w:rPr>
        <w:t>.</w:t>
      </w:r>
    </w:p>
  </w:footnote>
  <w:footnote w:id="590">
    <w:p w:rsidR="009A4F49" w:rsidRPr="00C620B5" w:rsidRDefault="009A4F49" w:rsidP="00C51DE0">
      <w:pPr>
        <w:pStyle w:val="FootnoteText"/>
        <w:rPr>
          <w:lang w:val="en-US"/>
        </w:rPr>
      </w:pPr>
      <w:r>
        <w:rPr>
          <w:rStyle w:val="FootnoteReference"/>
        </w:rPr>
        <w:footnoteRef/>
      </w:r>
      <w:r>
        <w:t xml:space="preserve"> </w:t>
      </w:r>
      <w:r>
        <w:rPr>
          <w:lang w:val="en-US"/>
        </w:rPr>
        <w:tab/>
      </w:r>
      <w:r w:rsidRPr="00C620B5">
        <w:rPr>
          <w:lang w:val="en-US"/>
        </w:rPr>
        <w:t>2007 Civic Exchange Report, at 29.</w:t>
      </w:r>
    </w:p>
  </w:footnote>
  <w:footnote w:id="591">
    <w:p w:rsidR="009A4F49" w:rsidRPr="00BB29F6" w:rsidRDefault="009A4F49" w:rsidP="00C57575">
      <w:pPr>
        <w:pStyle w:val="FootnoteText"/>
        <w:spacing w:after="0"/>
      </w:pPr>
      <w:r>
        <w:rPr>
          <w:rStyle w:val="FootnoteReference"/>
        </w:rPr>
        <w:footnoteRef/>
      </w:r>
      <w:r>
        <w:t xml:space="preserve"> </w:t>
      </w:r>
      <w:r>
        <w:tab/>
      </w:r>
      <w:r w:rsidRPr="00BB29F6">
        <w:t>See also the Chief Executive's 2017 Policy Address</w:t>
      </w:r>
      <w:r>
        <w:t>,</w:t>
      </w:r>
      <w:r w:rsidRPr="00BB29F6">
        <w:t xml:space="preserve"> para 22.</w:t>
      </w:r>
    </w:p>
  </w:footnote>
  <w:footnote w:id="592">
    <w:p w:rsidR="009A4F49" w:rsidRDefault="009A4F49" w:rsidP="00C57575">
      <w:pPr>
        <w:pStyle w:val="FootnoteText"/>
        <w:spacing w:after="0"/>
      </w:pPr>
      <w:r w:rsidRPr="00690C54">
        <w:rPr>
          <w:rStyle w:val="FootnoteReference"/>
        </w:rPr>
        <w:footnoteRef/>
      </w:r>
      <w:r w:rsidRPr="00690C54">
        <w:t xml:space="preserve"> </w:t>
      </w:r>
      <w:r w:rsidRPr="00690C54">
        <w:rPr>
          <w:rFonts w:hint="eastAsia"/>
        </w:rPr>
        <w:tab/>
      </w:r>
      <w:r w:rsidRPr="00690C54">
        <w:t xml:space="preserve">The Universal Declaration on Archives states, inter alia, as follows: </w:t>
      </w:r>
      <w:r>
        <w:t>"</w:t>
      </w:r>
      <w:r w:rsidRPr="00690C54">
        <w:t>We [</w:t>
      </w:r>
      <w:r>
        <w:t>International Council on Archives</w:t>
      </w:r>
      <w:r w:rsidRPr="00690C54">
        <w:t xml:space="preserve">] therefore undertake to work together in order that: appropriate national </w:t>
      </w:r>
      <w:r>
        <w:rPr>
          <w:rFonts w:hint="eastAsia"/>
          <w:lang w:eastAsia="zh-HK"/>
        </w:rPr>
        <w:t xml:space="preserve">archival </w:t>
      </w:r>
      <w:r w:rsidRPr="00690C54">
        <w:t>policies and laws are adopted and enforced</w:t>
      </w:r>
      <w:r>
        <w:t>"</w:t>
      </w:r>
      <w:r w:rsidRPr="00690C54">
        <w:t>.  The Universal Declaration on Archives</w:t>
      </w:r>
      <w:r>
        <w:t xml:space="preserve"> is accessible at:</w:t>
      </w:r>
    </w:p>
    <w:p w:rsidR="009A4F49" w:rsidRPr="00690C54" w:rsidRDefault="009A4F49" w:rsidP="00C57575">
      <w:pPr>
        <w:pStyle w:val="FootnoteText"/>
        <w:spacing w:after="0"/>
      </w:pPr>
      <w:r>
        <w:tab/>
        <w:t>&lt;</w:t>
      </w:r>
      <w:r w:rsidRPr="008835C7">
        <w:t>http://www.ica.org/sites/default/files/UDA_Ju</w:t>
      </w:r>
      <w:r w:rsidRPr="008835C7">
        <w:t>n</w:t>
      </w:r>
      <w:r w:rsidRPr="008835C7">
        <w:t>e%202012_web_EN.pdf</w:t>
      </w:r>
      <w:r>
        <w:rPr>
          <w:szCs w:val="18"/>
        </w:rPr>
        <w:t>&gt;.</w:t>
      </w:r>
      <w:r w:rsidRPr="00690C54">
        <w:t xml:space="preserve"> </w:t>
      </w:r>
    </w:p>
  </w:footnote>
  <w:footnote w:id="593">
    <w:p w:rsidR="009A4F49" w:rsidRPr="00690C54" w:rsidRDefault="009A4F49" w:rsidP="00C51DE0">
      <w:pPr>
        <w:pStyle w:val="FootnoteText"/>
        <w:rPr>
          <w:rFonts w:hint="eastAsia"/>
          <w:lang w:eastAsia="zh-HK"/>
        </w:rPr>
      </w:pPr>
      <w:r w:rsidRPr="00690C54">
        <w:rPr>
          <w:rStyle w:val="FootnoteReference"/>
        </w:rPr>
        <w:footnoteRef/>
      </w:r>
      <w:r w:rsidRPr="00690C54">
        <w:t xml:space="preserve"> </w:t>
      </w:r>
      <w:r w:rsidRPr="00690C54">
        <w:rPr>
          <w:rFonts w:hint="eastAsia"/>
        </w:rPr>
        <w:tab/>
      </w:r>
      <w:r>
        <w:t xml:space="preserve">International Organisation for Standardisation Standard </w:t>
      </w:r>
      <w:r w:rsidRPr="00BF43D4">
        <w:t>154</w:t>
      </w:r>
      <w:r>
        <w:rPr>
          <w:rFonts w:hint="eastAsia"/>
          <w:lang w:eastAsia="zh-HK"/>
        </w:rPr>
        <w:t>89</w:t>
      </w:r>
      <w:r w:rsidRPr="00A558C0">
        <w:t>-1</w:t>
      </w:r>
      <w:r w:rsidRPr="00690C54">
        <w:t>:20</w:t>
      </w:r>
      <w:r>
        <w:rPr>
          <w:rFonts w:hint="eastAsia"/>
          <w:lang w:eastAsia="zh-HK"/>
        </w:rPr>
        <w:t>16</w:t>
      </w:r>
      <w:r w:rsidRPr="00690C54">
        <w:t xml:space="preserve">, Part 1, at 4. </w:t>
      </w:r>
    </w:p>
  </w:footnote>
  <w:footnote w:id="594">
    <w:p w:rsidR="009A4F49" w:rsidRPr="00C620B5" w:rsidRDefault="009A4F49" w:rsidP="00C57575">
      <w:pPr>
        <w:pStyle w:val="FootnoteText"/>
        <w:jc w:val="left"/>
        <w:rPr>
          <w:lang w:val="en-US"/>
        </w:rPr>
      </w:pPr>
      <w:r>
        <w:rPr>
          <w:rStyle w:val="FootnoteReference"/>
        </w:rPr>
        <w:footnoteRef/>
      </w:r>
      <w:r>
        <w:t xml:space="preserve"> </w:t>
      </w:r>
      <w:r>
        <w:rPr>
          <w:lang w:val="en-US"/>
        </w:rPr>
        <w:tab/>
        <w:t>&lt;</w:t>
      </w:r>
      <w:r w:rsidRPr="00C620B5">
        <w:rPr>
          <w:lang w:val="en-US"/>
        </w:rPr>
        <w:t>第</w:t>
      </w:r>
      <w:r w:rsidRPr="00C620B5">
        <w:rPr>
          <w:lang w:val="en-US"/>
        </w:rPr>
        <w:t>73/89/M</w:t>
      </w:r>
      <w:r w:rsidRPr="00C620B5">
        <w:rPr>
          <w:lang w:val="en-US"/>
        </w:rPr>
        <w:t>號法令</w:t>
      </w:r>
      <w:r>
        <w:rPr>
          <w:lang w:val="en-US"/>
        </w:rPr>
        <w:t>&gt;</w:t>
      </w:r>
      <w:r>
        <w:rPr>
          <w:rFonts w:hint="eastAsia"/>
          <w:lang w:val="en-US"/>
        </w:rPr>
        <w:t xml:space="preserve"> </w:t>
      </w:r>
      <w:r>
        <w:rPr>
          <w:lang w:val="en-US"/>
        </w:rPr>
        <w:t>("</w:t>
      </w:r>
      <w:r w:rsidRPr="000B45D6">
        <w:rPr>
          <w:lang w:val="en-US"/>
        </w:rPr>
        <w:t>Decreto-Lei n.º 73/89/M</w:t>
      </w:r>
      <w:r>
        <w:rPr>
          <w:lang w:val="en-US"/>
        </w:rPr>
        <w:t xml:space="preserve">") </w:t>
      </w:r>
      <w:r w:rsidRPr="00C620B5">
        <w:rPr>
          <w:lang w:val="en-US"/>
        </w:rPr>
        <w:t xml:space="preserve">available at: </w:t>
      </w:r>
      <w:r>
        <w:rPr>
          <w:lang w:val="en-US"/>
        </w:rPr>
        <w:t>&lt;</w:t>
      </w:r>
      <w:r w:rsidRPr="008835C7">
        <w:rPr>
          <w:lang w:val="en-US"/>
        </w:rPr>
        <w:t>http://bo.io.gov.mo/bo/i/89/44/declei73_cn.asp</w:t>
      </w:r>
      <w:r>
        <w:rPr>
          <w:lang w:val="en-US"/>
        </w:rPr>
        <w:t>&gt;</w:t>
      </w:r>
      <w:r>
        <w:rPr>
          <w:rFonts w:hint="eastAsia"/>
          <w:lang w:val="en-US"/>
        </w:rPr>
        <w:t>.</w:t>
      </w:r>
      <w:r w:rsidRPr="00347E0A">
        <w:rPr>
          <w:lang w:val="en-US"/>
        </w:rPr>
        <w:t xml:space="preserve"> </w:t>
      </w:r>
    </w:p>
  </w:footnote>
  <w:footnote w:id="595">
    <w:p w:rsidR="009A4F49" w:rsidRPr="00C620B5" w:rsidRDefault="009A4F49" w:rsidP="00C57575">
      <w:pPr>
        <w:pStyle w:val="FootnoteText"/>
        <w:spacing w:after="0"/>
        <w:jc w:val="left"/>
        <w:rPr>
          <w:lang w:val="en-US"/>
        </w:rPr>
      </w:pPr>
      <w:r>
        <w:rPr>
          <w:rStyle w:val="FootnoteReference"/>
        </w:rPr>
        <w:footnoteRef/>
      </w:r>
      <w:r>
        <w:t xml:space="preserve"> </w:t>
      </w:r>
      <w:r>
        <w:rPr>
          <w:lang w:val="en-US"/>
        </w:rPr>
        <w:tab/>
      </w:r>
      <w:r w:rsidRPr="00C620B5">
        <w:rPr>
          <w:lang w:val="en-US"/>
        </w:rPr>
        <w:t>&lt;</w:t>
      </w:r>
      <w:r w:rsidRPr="00C620B5">
        <w:rPr>
          <w:rFonts w:hint="eastAsia"/>
          <w:lang w:val="en-US"/>
        </w:rPr>
        <w:t>中華人民共和國檔案法</w:t>
      </w:r>
      <w:r w:rsidRPr="00C620B5">
        <w:rPr>
          <w:lang w:val="en-US"/>
        </w:rPr>
        <w:t>&gt; and &lt;</w:t>
      </w:r>
      <w:r w:rsidRPr="00C620B5">
        <w:rPr>
          <w:rFonts w:hint="eastAsia"/>
          <w:lang w:val="en-US"/>
        </w:rPr>
        <w:t>中華人民共和國檔案法實施辦法</w:t>
      </w:r>
      <w:r w:rsidRPr="00C620B5">
        <w:rPr>
          <w:lang w:val="en-US"/>
        </w:rPr>
        <w:t>&gt;</w:t>
      </w:r>
      <w:r>
        <w:rPr>
          <w:lang w:val="en-US"/>
        </w:rPr>
        <w:t xml:space="preserve"> </w:t>
      </w:r>
      <w:r w:rsidRPr="00C620B5">
        <w:rPr>
          <w:lang w:val="en-US"/>
        </w:rPr>
        <w:t>available</w:t>
      </w:r>
      <w:r>
        <w:rPr>
          <w:lang w:val="en-US"/>
        </w:rPr>
        <w:t xml:space="preserve"> respectively</w:t>
      </w:r>
      <w:r w:rsidRPr="00C620B5">
        <w:rPr>
          <w:lang w:val="en-US"/>
        </w:rPr>
        <w:t xml:space="preserve"> at: </w:t>
      </w:r>
      <w:r>
        <w:rPr>
          <w:lang w:val="en-US"/>
        </w:rPr>
        <w:t>&lt;</w:t>
      </w:r>
      <w:hyperlink r:id="rId8" w:history="1">
        <w:r w:rsidRPr="00C57575">
          <w:rPr>
            <w:rStyle w:val="Hyperlink"/>
            <w:color w:val="auto"/>
            <w:u w:val="none"/>
            <w:lang w:val="en-US"/>
          </w:rPr>
          <w:t>http://www.saac.gov.cn/xxgk/2017-03/29/content_1704.htm</w:t>
        </w:r>
      </w:hyperlink>
      <w:r w:rsidRPr="00C57575">
        <w:rPr>
          <w:lang w:val="en-US"/>
        </w:rPr>
        <w:t>&gt;</w:t>
      </w:r>
      <w:r>
        <w:rPr>
          <w:lang w:val="en-US"/>
        </w:rPr>
        <w:t xml:space="preserve"> </w:t>
      </w:r>
      <w:r w:rsidRPr="008835C7">
        <w:rPr>
          <w:lang w:val="en-US"/>
        </w:rPr>
        <w:t xml:space="preserve">and </w:t>
      </w:r>
      <w:r w:rsidRPr="00C57575">
        <w:rPr>
          <w:lang w:val="en-US"/>
        </w:rPr>
        <w:t>&lt;</w:t>
      </w:r>
      <w:hyperlink r:id="rId9" w:history="1">
        <w:r w:rsidRPr="00C57575">
          <w:rPr>
            <w:rStyle w:val="Hyperlink"/>
            <w:color w:val="auto"/>
            <w:u w:val="none"/>
            <w:lang w:val="en-US"/>
          </w:rPr>
          <w:t>http://www.saac.gov.cn/xxgk/2010-02/05/content_1541.htm</w:t>
        </w:r>
      </w:hyperlink>
      <w:r>
        <w:rPr>
          <w:lang w:val="en-US"/>
        </w:rPr>
        <w:t>&gt;</w:t>
      </w:r>
      <w:r w:rsidRPr="008835C7">
        <w:rPr>
          <w:rFonts w:hint="eastAsia"/>
          <w:lang w:val="en-US"/>
        </w:rPr>
        <w:t>.</w:t>
      </w:r>
    </w:p>
  </w:footnote>
  <w:footnote w:id="596">
    <w:p w:rsidR="009A4F49" w:rsidRDefault="009A4F49" w:rsidP="002150DC">
      <w:pPr>
        <w:pStyle w:val="FootnoteText"/>
        <w:spacing w:after="0"/>
      </w:pPr>
      <w:r>
        <w:rPr>
          <w:rStyle w:val="FootnoteReference"/>
        </w:rPr>
        <w:footnoteRef/>
      </w:r>
      <w:r>
        <w:t xml:space="preserve"> </w:t>
      </w:r>
      <w:r>
        <w:tab/>
        <w:t>In s 3 of the Interpretation and General Clauses Ordinance (Cap</w:t>
      </w:r>
      <w:r>
        <w:rPr>
          <w:rFonts w:hint="eastAsia"/>
        </w:rPr>
        <w:t xml:space="preserve"> </w:t>
      </w:r>
      <w:r>
        <w:t>1), "public body" is defined to include:-</w:t>
      </w:r>
    </w:p>
    <w:p w:rsidR="009A4F49" w:rsidRDefault="009A4F49" w:rsidP="002150DC">
      <w:pPr>
        <w:pStyle w:val="FootnoteText"/>
        <w:spacing w:after="0"/>
        <w:ind w:firstLine="0"/>
      </w:pPr>
      <w:r>
        <w:t>"(a)</w:t>
      </w:r>
      <w:r>
        <w:tab/>
        <w:t>the Executive Council;</w:t>
      </w:r>
    </w:p>
    <w:p w:rsidR="009A4F49" w:rsidRDefault="009A4F49" w:rsidP="002150DC">
      <w:pPr>
        <w:pStyle w:val="FootnoteText"/>
        <w:spacing w:after="0"/>
        <w:ind w:firstLine="0"/>
      </w:pPr>
      <w:r>
        <w:t>(b)</w:t>
      </w:r>
      <w:r>
        <w:tab/>
        <w:t>the Legislative Council;</w:t>
      </w:r>
    </w:p>
    <w:p w:rsidR="009A4F49" w:rsidRDefault="009A4F49" w:rsidP="002150DC">
      <w:pPr>
        <w:pStyle w:val="FootnoteText"/>
        <w:spacing w:after="0"/>
        <w:ind w:firstLine="0"/>
      </w:pPr>
      <w:r>
        <w:t>(c)</w:t>
      </w:r>
      <w:r>
        <w:tab/>
        <w:t>…</w:t>
      </w:r>
    </w:p>
    <w:p w:rsidR="009A4F49" w:rsidRDefault="009A4F49" w:rsidP="002150DC">
      <w:pPr>
        <w:pStyle w:val="FootnoteText"/>
        <w:spacing w:after="0"/>
        <w:ind w:firstLine="0"/>
      </w:pPr>
      <w:r>
        <w:t>(ca)</w:t>
      </w:r>
      <w:r>
        <w:tab/>
        <w:t>any District Council;…</w:t>
      </w:r>
    </w:p>
    <w:p w:rsidR="009A4F49" w:rsidRDefault="009A4F49" w:rsidP="002150DC">
      <w:pPr>
        <w:pStyle w:val="FootnoteText"/>
        <w:spacing w:after="0"/>
        <w:ind w:firstLine="0"/>
      </w:pPr>
      <w:r>
        <w:t>(cb)</w:t>
      </w:r>
      <w:r>
        <w:tab/>
        <w:t>…</w:t>
      </w:r>
    </w:p>
    <w:p w:rsidR="009A4F49" w:rsidRDefault="009A4F49" w:rsidP="002150DC">
      <w:pPr>
        <w:pStyle w:val="FootnoteText"/>
        <w:spacing w:after="0"/>
        <w:ind w:firstLine="0"/>
      </w:pPr>
      <w:r>
        <w:t>(d)</w:t>
      </w:r>
      <w:r>
        <w:tab/>
        <w:t>any other urban, rural or municipal council;</w:t>
      </w:r>
    </w:p>
    <w:p w:rsidR="009A4F49" w:rsidRDefault="009A4F49" w:rsidP="002150DC">
      <w:pPr>
        <w:pStyle w:val="FootnoteText"/>
        <w:spacing w:after="0"/>
        <w:ind w:firstLine="0"/>
      </w:pPr>
      <w:r>
        <w:t>(e)</w:t>
      </w:r>
      <w:r>
        <w:tab/>
        <w:t xml:space="preserve">any department of the Government; and </w:t>
      </w:r>
    </w:p>
    <w:p w:rsidR="009A4F49" w:rsidRDefault="009A4F49" w:rsidP="002150DC">
      <w:pPr>
        <w:pStyle w:val="FootnoteText"/>
        <w:ind w:firstLine="0"/>
      </w:pPr>
      <w:r>
        <w:t>(f)</w:t>
      </w:r>
      <w:r>
        <w:tab/>
        <w:t>any undertaking by or of the Government."</w:t>
      </w:r>
    </w:p>
  </w:footnote>
  <w:footnote w:id="597">
    <w:p w:rsidR="009A4F49" w:rsidRDefault="009A4F49" w:rsidP="002150DC">
      <w:pPr>
        <w:pStyle w:val="FootnoteText"/>
        <w:spacing w:after="0"/>
      </w:pPr>
      <w:r>
        <w:rPr>
          <w:rStyle w:val="FootnoteReference"/>
        </w:rPr>
        <w:footnoteRef/>
      </w:r>
      <w:r>
        <w:t xml:space="preserve"> </w:t>
      </w:r>
      <w:r>
        <w:tab/>
        <w:t xml:space="preserve">In s 2 of the Prevention of Bribery Ordinance (Cap 201), "public body" is defined to mean – </w:t>
      </w:r>
    </w:p>
    <w:p w:rsidR="009A4F49" w:rsidRDefault="009A4F49" w:rsidP="002150DC">
      <w:pPr>
        <w:pStyle w:val="FootnoteText"/>
        <w:spacing w:after="0"/>
        <w:ind w:firstLine="0"/>
      </w:pPr>
      <w:r>
        <w:t>"(a)</w:t>
      </w:r>
      <w:r>
        <w:tab/>
        <w:t>the Government;</w:t>
      </w:r>
    </w:p>
    <w:p w:rsidR="009A4F49" w:rsidRDefault="009A4F49" w:rsidP="002150DC">
      <w:pPr>
        <w:pStyle w:val="FootnoteText"/>
        <w:spacing w:after="0"/>
        <w:ind w:firstLine="0"/>
      </w:pPr>
      <w:r>
        <w:t>(b)</w:t>
      </w:r>
      <w:r>
        <w:tab/>
        <w:t>the Executive Council;</w:t>
      </w:r>
    </w:p>
    <w:p w:rsidR="009A4F49" w:rsidRDefault="009A4F49" w:rsidP="002150DC">
      <w:pPr>
        <w:pStyle w:val="FootnoteText"/>
        <w:spacing w:after="0"/>
        <w:ind w:firstLine="0"/>
      </w:pPr>
      <w:r>
        <w:t>(c)</w:t>
      </w:r>
      <w:r>
        <w:tab/>
        <w:t>the Legislative Council;</w:t>
      </w:r>
    </w:p>
    <w:p w:rsidR="009A4F49" w:rsidRDefault="009A4F49" w:rsidP="002150DC">
      <w:pPr>
        <w:pStyle w:val="FootnoteText"/>
        <w:spacing w:after="0"/>
        <w:ind w:firstLine="0"/>
      </w:pPr>
      <w:r>
        <w:t>(d)</w:t>
      </w:r>
      <w:r>
        <w:tab/>
        <w:t>…</w:t>
      </w:r>
    </w:p>
    <w:p w:rsidR="009A4F49" w:rsidRDefault="009A4F49" w:rsidP="002150DC">
      <w:pPr>
        <w:pStyle w:val="FootnoteText"/>
        <w:spacing w:after="0"/>
        <w:ind w:firstLine="0"/>
      </w:pPr>
      <w:r>
        <w:t>(da)</w:t>
      </w:r>
      <w:r>
        <w:tab/>
        <w:t>any District Council;…</w:t>
      </w:r>
    </w:p>
    <w:p w:rsidR="009A4F49" w:rsidRDefault="009A4F49" w:rsidP="002150DC">
      <w:pPr>
        <w:pStyle w:val="FootnoteText"/>
        <w:spacing w:after="0"/>
        <w:ind w:firstLine="0"/>
      </w:pPr>
      <w:r>
        <w:t>(db)</w:t>
      </w:r>
      <w:r>
        <w:tab/>
        <w:t>…</w:t>
      </w:r>
    </w:p>
    <w:p w:rsidR="009A4F49" w:rsidRDefault="009A4F49" w:rsidP="009A4F49">
      <w:pPr>
        <w:pStyle w:val="FootnoteText"/>
        <w:ind w:left="1080" w:hanging="360"/>
      </w:pPr>
      <w:r>
        <w:t>(e)</w:t>
      </w:r>
      <w:r>
        <w:tab/>
        <w:t>any board, commission, committee or other body, whether paid or unpaid, appointed by or on behalf of the Chief Executive or the Chief Executive in Council; and</w:t>
      </w:r>
      <w:r>
        <w:rPr>
          <w:rFonts w:hint="eastAsia"/>
        </w:rPr>
        <w:t xml:space="preserve"> </w:t>
      </w:r>
      <w:r>
        <w:t>….</w:t>
      </w:r>
    </w:p>
    <w:p w:rsidR="009A4F49" w:rsidRDefault="009A4F49" w:rsidP="009A4F49">
      <w:pPr>
        <w:pStyle w:val="FootnoteText"/>
        <w:spacing w:after="0"/>
        <w:ind w:firstLine="0"/>
      </w:pPr>
      <w:r>
        <w:t>(f)</w:t>
      </w:r>
      <w:r>
        <w:tab/>
        <w:t xml:space="preserve">any board, commission, committee or other body specified in </w:t>
      </w:r>
      <w:r>
        <w:rPr>
          <w:b/>
        </w:rPr>
        <w:t>Schedule 1</w:t>
      </w:r>
      <w:r>
        <w:t>…."</w:t>
      </w:r>
    </w:p>
    <w:p w:rsidR="009A4F49" w:rsidRDefault="009A4F49" w:rsidP="00C51DE0">
      <w:pPr>
        <w:pStyle w:val="FootnoteText"/>
      </w:pPr>
      <w:r>
        <w:tab/>
        <w:t>(emphasis added)</w:t>
      </w:r>
    </w:p>
  </w:footnote>
  <w:footnote w:id="598">
    <w:p w:rsidR="009A4F49" w:rsidRDefault="009A4F49" w:rsidP="00C51DE0">
      <w:pPr>
        <w:pStyle w:val="FootnoteText"/>
      </w:pPr>
      <w:r>
        <w:rPr>
          <w:rStyle w:val="FootnoteReference"/>
        </w:rPr>
        <w:footnoteRef/>
      </w:r>
      <w:r>
        <w:t xml:space="preserve"> </w:t>
      </w:r>
      <w:r>
        <w:tab/>
        <w:t>S 2 of The Ombudsman Ordinance (Cap 397) defines "organization" as an organisation in Schedule 1.  While most of such organisations in Schedule 1 are government departments, there are other various bodies, including those in Schedule 1 to the Prevention of Bribery Ordinance (Cap 201).</w:t>
      </w:r>
    </w:p>
  </w:footnote>
  <w:footnote w:id="599">
    <w:p w:rsidR="009A4F49" w:rsidRPr="00EF0145" w:rsidRDefault="009A4F49" w:rsidP="00C51DE0">
      <w:pPr>
        <w:pStyle w:val="FootnoteText"/>
      </w:pPr>
      <w:r>
        <w:rPr>
          <w:rStyle w:val="FootnoteReference"/>
        </w:rPr>
        <w:footnoteRef/>
      </w:r>
      <w:r>
        <w:t xml:space="preserve"> </w:t>
      </w:r>
      <w:r>
        <w:rPr>
          <w:lang w:val="en-US"/>
        </w:rPr>
        <w:tab/>
      </w:r>
      <w:r w:rsidRPr="00EF0145">
        <w:t xml:space="preserve">The universities are The Chinese University of Hong Kong, </w:t>
      </w:r>
      <w:r>
        <w:t>T</w:t>
      </w:r>
      <w:r w:rsidRPr="00EF0145">
        <w:t xml:space="preserve">he Hong Kong Polytechnic University, University of Hong Kong, Hong Kong Baptist University, City University of Hong Kong, The Hong Kong University of Science and Technology, The Open University of Hong Kong, Lingnan University, and The Education University of Hong Kong. </w:t>
      </w:r>
    </w:p>
  </w:footnote>
  <w:footnote w:id="600">
    <w:p w:rsidR="009A4F49" w:rsidRDefault="009A4F49" w:rsidP="00C51DE0">
      <w:pPr>
        <w:pStyle w:val="FootnoteText"/>
        <w:rPr>
          <w:lang w:eastAsia="zh-HK"/>
        </w:rPr>
      </w:pPr>
      <w:r>
        <w:rPr>
          <w:rStyle w:val="FootnoteReference"/>
        </w:rPr>
        <w:footnoteRef/>
      </w:r>
      <w:r>
        <w:rPr>
          <w:rFonts w:hint="eastAsia"/>
        </w:rPr>
        <w:tab/>
      </w:r>
      <w:r>
        <w:t>&lt;</w:t>
      </w:r>
      <w:r w:rsidRPr="00072BDA">
        <w:t>http://www.hab.gov.hk/en/policy_responsibilities/District_Community_and_Public Relations/advisory.htm</w:t>
      </w:r>
      <w:r>
        <w:t>&gt;.</w:t>
      </w:r>
    </w:p>
  </w:footnote>
  <w:footnote w:id="601">
    <w:p w:rsidR="009A4F49" w:rsidRPr="00744075" w:rsidRDefault="009A4F49" w:rsidP="00C51DE0">
      <w:pPr>
        <w:pStyle w:val="FootnoteText"/>
        <w:rPr>
          <w:lang w:eastAsia="zh-HK"/>
        </w:rPr>
      </w:pPr>
      <w:r>
        <w:rPr>
          <w:rStyle w:val="FootnoteReference"/>
        </w:rPr>
        <w:footnoteRef/>
      </w:r>
      <w:r>
        <w:t xml:space="preserve"> </w:t>
      </w:r>
      <w:r>
        <w:rPr>
          <w:rFonts w:hint="eastAsia"/>
          <w:lang w:eastAsia="zh-HK"/>
        </w:rPr>
        <w:tab/>
        <w:t>Para. 1.3.1(b) of RMP1.</w:t>
      </w:r>
    </w:p>
  </w:footnote>
  <w:footnote w:id="602">
    <w:p w:rsidR="009A4F49" w:rsidRDefault="009A4F49" w:rsidP="00D86E22">
      <w:pPr>
        <w:autoSpaceDE w:val="0"/>
        <w:autoSpaceDN w:val="0"/>
        <w:spacing w:after="120"/>
        <w:ind w:left="720" w:hanging="720"/>
        <w:rPr>
          <w:rFonts w:cs="Arial"/>
          <w:sz w:val="20"/>
        </w:rPr>
      </w:pPr>
      <w:r>
        <w:rPr>
          <w:rStyle w:val="FootnoteReference"/>
          <w:rFonts w:cs="Arial"/>
          <w:sz w:val="20"/>
        </w:rPr>
        <w:footnoteRef/>
      </w:r>
      <w:r>
        <w:rPr>
          <w:rFonts w:cs="Arial"/>
          <w:sz w:val="20"/>
        </w:rPr>
        <w:t xml:space="preserve"> </w:t>
      </w:r>
      <w:r>
        <w:rPr>
          <w:rFonts w:cs="Arial"/>
          <w:sz w:val="20"/>
        </w:rPr>
        <w:tab/>
      </w:r>
      <w:r>
        <w:rPr>
          <w:rFonts w:eastAsia="MingLiU" w:cs="Arial"/>
          <w:color w:val="000000"/>
          <w:sz w:val="20"/>
        </w:rPr>
        <w:t xml:space="preserve">The Hong Kong Monetary Authority has all along been observing the Government's administrative requirements on records management.  The Independent Commission Against Corruption used to have its own records management policy and procedures.  In view of the recommendations in the Audit Commission's Report, the Independent Commission Against Corruption has followed the Government's mandatory records management requirements since 2011.  </w:t>
      </w:r>
    </w:p>
  </w:footnote>
  <w:footnote w:id="603">
    <w:p w:rsidR="009A4F49" w:rsidRDefault="009A4F49" w:rsidP="00D86E22">
      <w:pPr>
        <w:spacing w:after="120"/>
        <w:ind w:left="720" w:hanging="720"/>
        <w:rPr>
          <w:rFonts w:cs="Arial"/>
          <w:sz w:val="20"/>
        </w:rPr>
      </w:pPr>
      <w:r>
        <w:rPr>
          <w:rStyle w:val="FootnoteReference"/>
          <w:rFonts w:cs="Arial"/>
          <w:sz w:val="20"/>
        </w:rPr>
        <w:footnoteRef/>
      </w:r>
      <w:r>
        <w:rPr>
          <w:rFonts w:cs="Arial"/>
          <w:sz w:val="20"/>
        </w:rPr>
        <w:t xml:space="preserve"> </w:t>
      </w:r>
      <w:r>
        <w:rPr>
          <w:rFonts w:cs="Arial"/>
          <w:sz w:val="20"/>
        </w:rPr>
        <w:tab/>
        <w:t xml:space="preserve">Paras 2.13 to 2.14 of </w:t>
      </w:r>
      <w:r w:rsidRPr="00BF1613">
        <w:rPr>
          <w:rFonts w:cs="Arial"/>
          <w:i/>
          <w:sz w:val="20"/>
        </w:rPr>
        <w:t>The</w:t>
      </w:r>
      <w:r>
        <w:rPr>
          <w:rFonts w:cs="Arial"/>
          <w:sz w:val="20"/>
        </w:rPr>
        <w:t xml:space="preserve"> </w:t>
      </w:r>
      <w:r>
        <w:rPr>
          <w:rFonts w:cs="Arial"/>
          <w:i/>
          <w:sz w:val="20"/>
        </w:rPr>
        <w:t>Ombudsman's Report</w:t>
      </w:r>
      <w:r>
        <w:rPr>
          <w:rFonts w:cs="Arial"/>
          <w:sz w:val="20"/>
        </w:rPr>
        <w:t xml:space="preserve">. </w:t>
      </w:r>
    </w:p>
  </w:footnote>
  <w:footnote w:id="604">
    <w:p w:rsidR="009A4F49" w:rsidRDefault="009A4F49" w:rsidP="009A4F49">
      <w:pPr>
        <w:pStyle w:val="FootnoteText"/>
        <w:spacing w:after="0"/>
      </w:pPr>
      <w:r>
        <w:rPr>
          <w:rStyle w:val="FootnoteReference"/>
        </w:rPr>
        <w:footnoteRef/>
      </w:r>
      <w:r>
        <w:t xml:space="preserve"> </w:t>
      </w:r>
      <w:r>
        <w:tab/>
        <w:t>Para 4.4 of the 2007 Civic Exchange Report.</w:t>
      </w:r>
    </w:p>
  </w:footnote>
  <w:footnote w:id="605">
    <w:p w:rsidR="009A4F49" w:rsidRDefault="009A4F49" w:rsidP="00C51DE0">
      <w:pPr>
        <w:pStyle w:val="FootnoteText"/>
      </w:pPr>
      <w:r>
        <w:rPr>
          <w:rStyle w:val="FootnoteReference"/>
        </w:rPr>
        <w:footnoteRef/>
      </w:r>
      <w:r>
        <w:t xml:space="preserve"> </w:t>
      </w:r>
      <w:r>
        <w:tab/>
        <w:t xml:space="preserve">Paras 2.19 to 2.20 of </w:t>
      </w:r>
      <w:r w:rsidRPr="00BF1613">
        <w:rPr>
          <w:i/>
        </w:rPr>
        <w:t>The</w:t>
      </w:r>
      <w:r>
        <w:t xml:space="preserve"> </w:t>
      </w:r>
      <w:r>
        <w:rPr>
          <w:i/>
        </w:rPr>
        <w:t>Ombudsman's Report</w:t>
      </w:r>
      <w:r>
        <w:t>.</w:t>
      </w:r>
    </w:p>
  </w:footnote>
  <w:footnote w:id="606">
    <w:p w:rsidR="009A4F49" w:rsidRPr="00DE1794" w:rsidRDefault="009A4F49" w:rsidP="00D86E22">
      <w:pPr>
        <w:tabs>
          <w:tab w:val="left" w:pos="2127"/>
        </w:tabs>
        <w:spacing w:after="120"/>
        <w:ind w:left="720" w:hanging="720"/>
        <w:rPr>
          <w:rFonts w:cs="Arial"/>
          <w:sz w:val="20"/>
        </w:rPr>
      </w:pPr>
      <w:r>
        <w:rPr>
          <w:rStyle w:val="FootnoteReference"/>
          <w:rFonts w:cs="Arial"/>
          <w:sz w:val="20"/>
        </w:rPr>
        <w:footnoteRef/>
      </w:r>
      <w:r>
        <w:rPr>
          <w:rFonts w:cs="Arial"/>
          <w:sz w:val="20"/>
        </w:rPr>
        <w:t xml:space="preserve"> </w:t>
      </w:r>
      <w:r>
        <w:rPr>
          <w:rFonts w:cs="Arial"/>
          <w:sz w:val="20"/>
        </w:rPr>
        <w:tab/>
        <w:t>The Government's Minute in Response to the Annual Report of The Ombudsman 2014 (December 2014), paras 1311(b) &amp; (c), available at: &lt;</w:t>
      </w:r>
      <w:r w:rsidRPr="00072BDA">
        <w:rPr>
          <w:rFonts w:cs="Arial"/>
          <w:sz w:val="20"/>
        </w:rPr>
        <w:t>http://www.</w:t>
      </w:r>
      <w:r>
        <w:rPr>
          <w:rFonts w:cs="Arial"/>
          <w:sz w:val="20"/>
        </w:rPr>
        <w:t>‌</w:t>
      </w:r>
      <w:r w:rsidRPr="00072BDA">
        <w:rPr>
          <w:rFonts w:cs="Arial"/>
          <w:sz w:val="20"/>
        </w:rPr>
        <w:t>admwing.gov.hk/pdf/GM_2014_e.pdf</w:t>
      </w:r>
      <w:r>
        <w:rPr>
          <w:rFonts w:cs="Arial"/>
          <w:sz w:val="20"/>
        </w:rPr>
        <w:t>&gt;</w:t>
      </w:r>
      <w:r w:rsidRPr="00DE1794">
        <w:rPr>
          <w:rFonts w:cs="Arial"/>
          <w:sz w:val="20"/>
        </w:rPr>
        <w:t>.</w:t>
      </w:r>
    </w:p>
  </w:footnote>
  <w:footnote w:id="607">
    <w:p w:rsidR="009A4F49" w:rsidRDefault="009A4F49" w:rsidP="009A4F49">
      <w:pPr>
        <w:pStyle w:val="FootnoteText"/>
        <w:spacing w:after="0"/>
      </w:pPr>
      <w:r>
        <w:rPr>
          <w:rStyle w:val="FootnoteReference"/>
        </w:rPr>
        <w:footnoteRef/>
      </w:r>
      <w:r>
        <w:t xml:space="preserve"> </w:t>
      </w:r>
      <w:r>
        <w:tab/>
      </w:r>
      <w:r w:rsidRPr="00D060F7">
        <w:t>Representatives from two public bodies attended demonstration sessions of GRS</w:t>
      </w:r>
      <w:r>
        <w:t>'</w:t>
      </w:r>
      <w:r w:rsidRPr="00D060F7">
        <w:t xml:space="preserve"> ERKS in June 2014</w:t>
      </w:r>
      <w:r w:rsidRPr="00A517B6">
        <w:t>.</w:t>
      </w:r>
      <w:r>
        <w:rPr>
          <w:rFonts w:hint="eastAsia"/>
          <w:lang w:eastAsia="zh-HK"/>
        </w:rPr>
        <w:t xml:space="preserve">  </w:t>
      </w:r>
      <w:r>
        <w:t xml:space="preserve">Upon their request, the GRS met with two public bodies in March 2015 to share with them GRS' experience of implementing an ERKS, with a demonstration of GRS' ERKS. </w:t>
      </w:r>
      <w:r w:rsidRPr="00D060F7">
        <w:t>The GRS also provides advice</w:t>
      </w:r>
      <w:r w:rsidRPr="00D060F7">
        <w:rPr>
          <w:rFonts w:hint="eastAsia"/>
          <w:lang w:eastAsia="zh-HK"/>
        </w:rPr>
        <w:t xml:space="preserve"> on electronic records management</w:t>
      </w:r>
      <w:r w:rsidRPr="00D060F7">
        <w:t xml:space="preserve"> upon request to public bodies from time to time</w:t>
      </w:r>
      <w:r w:rsidRPr="00D060F7">
        <w:rPr>
          <w:rFonts w:hint="eastAsia"/>
          <w:lang w:eastAsia="zh-HK"/>
        </w:rPr>
        <w:t>.</w:t>
      </w:r>
      <w:r>
        <w:rPr>
          <w:rFonts w:hint="eastAsia"/>
          <w:lang w:eastAsia="zh-HK"/>
        </w:rPr>
        <w:t xml:space="preserve">  </w:t>
      </w:r>
    </w:p>
  </w:footnote>
  <w:footnote w:id="608">
    <w:p w:rsidR="009A4F49" w:rsidRDefault="009A4F49" w:rsidP="00C51DE0">
      <w:pPr>
        <w:pStyle w:val="FootnoteText"/>
      </w:pPr>
      <w:r>
        <w:rPr>
          <w:rStyle w:val="FootnoteReference"/>
        </w:rPr>
        <w:footnoteRef/>
      </w:r>
      <w:r>
        <w:t xml:space="preserve"> </w:t>
      </w:r>
      <w:r>
        <w:tab/>
        <w:t>S 3 of the 1983 Act.</w:t>
      </w:r>
    </w:p>
  </w:footnote>
  <w:footnote w:id="609">
    <w:p w:rsidR="009A4F49" w:rsidRPr="006F6823" w:rsidRDefault="009A4F49" w:rsidP="00C51DE0">
      <w:pPr>
        <w:pStyle w:val="FootnoteText"/>
      </w:pPr>
      <w:r>
        <w:rPr>
          <w:rStyle w:val="FootnoteReference"/>
        </w:rPr>
        <w:footnoteRef/>
      </w:r>
      <w:r>
        <w:t xml:space="preserve"> </w:t>
      </w:r>
      <w:r>
        <w:tab/>
      </w:r>
      <w:r w:rsidRPr="00BF1613">
        <w:t xml:space="preserve">See ss 18 and 19 of the 1983 Act for records for Parliament and court. </w:t>
      </w:r>
    </w:p>
  </w:footnote>
  <w:footnote w:id="610">
    <w:p w:rsidR="009A4F49" w:rsidRDefault="009A4F49" w:rsidP="00C51DE0">
      <w:pPr>
        <w:pStyle w:val="FootnoteText"/>
      </w:pPr>
      <w:r>
        <w:rPr>
          <w:rStyle w:val="FootnoteReference"/>
        </w:rPr>
        <w:footnoteRef/>
      </w:r>
      <w:r>
        <w:t xml:space="preserve"> </w:t>
      </w:r>
      <w:r>
        <w:tab/>
        <w:t xml:space="preserve">S </w:t>
      </w:r>
      <w:r w:rsidRPr="00585E7B">
        <w:t>6(1)(b) of the 1983 Act</w:t>
      </w:r>
      <w:r>
        <w:t>.</w:t>
      </w:r>
    </w:p>
  </w:footnote>
  <w:footnote w:id="611">
    <w:p w:rsidR="009A4F49" w:rsidRDefault="009A4F49" w:rsidP="009A4F49">
      <w:pPr>
        <w:pStyle w:val="FootnoteText"/>
        <w:spacing w:after="0"/>
      </w:pPr>
      <w:r>
        <w:rPr>
          <w:rStyle w:val="FootnoteReference"/>
        </w:rPr>
        <w:footnoteRef/>
      </w:r>
      <w:r>
        <w:t xml:space="preserve"> </w:t>
      </w:r>
      <w:r>
        <w:tab/>
        <w:t xml:space="preserve">S 6(1)(h) of the 1983 Act.  </w:t>
      </w:r>
      <w:r>
        <w:rPr>
          <w:lang w:eastAsia="zh-HK"/>
        </w:rPr>
        <w:t>A "records authority" specifies the mini</w:t>
      </w:r>
      <w:r>
        <w:t xml:space="preserve">mum retention periods and disposal requirements for information as agreed between the NAA and the institution concerned.  See NAA's website at: </w:t>
      </w:r>
    </w:p>
    <w:p w:rsidR="009A4F49" w:rsidRDefault="009A4F49" w:rsidP="009A4F49">
      <w:pPr>
        <w:pStyle w:val="FootnoteText"/>
      </w:pPr>
      <w:r>
        <w:tab/>
        <w:t>&lt;</w:t>
      </w:r>
      <w:r w:rsidRPr="000E70CB">
        <w:t>http://www.naa.gov.au/information-management/records-authorities/</w:t>
      </w:r>
      <w:r>
        <w:t>&gt;.</w:t>
      </w:r>
    </w:p>
  </w:footnote>
  <w:footnote w:id="612">
    <w:p w:rsidR="009A4F49" w:rsidRPr="000E70CB" w:rsidRDefault="009A4F49" w:rsidP="00C51DE0">
      <w:pPr>
        <w:pStyle w:val="FootnoteText"/>
      </w:pPr>
      <w:r>
        <w:rPr>
          <w:rStyle w:val="FootnoteReference"/>
        </w:rPr>
        <w:footnoteRef/>
      </w:r>
      <w:r>
        <w:t xml:space="preserve"> </w:t>
      </w:r>
      <w:r>
        <w:tab/>
        <w:t>Reg 10 of the Archives Regulations 2018.  In cases of prominent or controversial issues, events or judicial proceedings, the NAA may issue a records disposal freeze or retention notice to stop institutions from destroying records.  See NAA's website at: &lt;</w:t>
      </w:r>
      <w:r w:rsidRPr="000E70CB">
        <w:t>http://www.naa.gov.au/information-management/managing-information-and-records/disposal/freezes/index.aspx</w:t>
      </w:r>
      <w:r w:rsidRPr="00944E08">
        <w:rPr>
          <w:rStyle w:val="Hyperlink"/>
          <w:color w:val="auto"/>
          <w:u w:val="none"/>
        </w:rPr>
        <w:t>&gt;.</w:t>
      </w:r>
    </w:p>
  </w:footnote>
  <w:footnote w:id="613">
    <w:p w:rsidR="009A4F49" w:rsidRDefault="009A4F49" w:rsidP="00C51DE0">
      <w:pPr>
        <w:pStyle w:val="FootnoteText"/>
      </w:pPr>
      <w:r>
        <w:rPr>
          <w:rStyle w:val="FootnoteReference"/>
        </w:rPr>
        <w:footnoteRef/>
      </w:r>
      <w:r>
        <w:t xml:space="preserve"> </w:t>
      </w:r>
      <w:r>
        <w:tab/>
        <w:t>S 6(1)(j) of the 1983 Act.</w:t>
      </w:r>
    </w:p>
  </w:footnote>
  <w:footnote w:id="614">
    <w:p w:rsidR="009A4F49" w:rsidRPr="00BF1613" w:rsidRDefault="009A4F49" w:rsidP="00C51DE0">
      <w:pPr>
        <w:pStyle w:val="FootnoteText"/>
        <w:rPr>
          <w:lang w:val="en-US"/>
        </w:rPr>
      </w:pPr>
      <w:r w:rsidRPr="00BF1613">
        <w:rPr>
          <w:rStyle w:val="FootnoteReference"/>
        </w:rPr>
        <w:footnoteRef/>
      </w:r>
      <w:r w:rsidRPr="00BF1613">
        <w:t xml:space="preserve"> </w:t>
      </w:r>
      <w:r w:rsidRPr="00BF1613">
        <w:rPr>
          <w:lang w:val="en-US"/>
        </w:rPr>
        <w:tab/>
        <w:t>See, for example, ss 18 and 19 of the 1983 Act.</w:t>
      </w:r>
    </w:p>
  </w:footnote>
  <w:footnote w:id="615">
    <w:p w:rsidR="009A4F49" w:rsidRDefault="009A4F49" w:rsidP="00C51DE0">
      <w:pPr>
        <w:pStyle w:val="FootnoteText"/>
      </w:pPr>
      <w:r>
        <w:rPr>
          <w:rStyle w:val="FootnoteReference"/>
        </w:rPr>
        <w:footnoteRef/>
      </w:r>
      <w:r>
        <w:t xml:space="preserve"> </w:t>
      </w:r>
      <w:r>
        <w:tab/>
        <w:t>S 28 of the 1983 Act.</w:t>
      </w:r>
    </w:p>
  </w:footnote>
  <w:footnote w:id="616">
    <w:p w:rsidR="009A4F49" w:rsidRDefault="009A4F49" w:rsidP="00C51DE0">
      <w:pPr>
        <w:pStyle w:val="FootnoteText"/>
      </w:pPr>
      <w:r>
        <w:rPr>
          <w:rStyle w:val="FootnoteReference"/>
        </w:rPr>
        <w:footnoteRef/>
      </w:r>
      <w:r>
        <w:t xml:space="preserve"> </w:t>
      </w:r>
      <w:r>
        <w:tab/>
        <w:t xml:space="preserve">S 10(2) of the 1958 Act provides that where records created at different dates are for administrative purposes kept together in one file or other assembly, all the records in such file or assembly shall be treated as having been created when the latest of those records was created. </w:t>
      </w:r>
    </w:p>
  </w:footnote>
  <w:footnote w:id="617">
    <w:p w:rsidR="009A4F49" w:rsidRDefault="009A4F49" w:rsidP="00C51DE0">
      <w:pPr>
        <w:pStyle w:val="FootnoteText"/>
      </w:pPr>
      <w:r>
        <w:rPr>
          <w:rStyle w:val="FootnoteReference"/>
        </w:rPr>
        <w:footnoteRef/>
      </w:r>
      <w:r>
        <w:t xml:space="preserve"> </w:t>
      </w:r>
      <w:r>
        <w:tab/>
        <w:t xml:space="preserve">Para 2 of the First Schedule to the 1958 Act. </w:t>
      </w:r>
    </w:p>
  </w:footnote>
  <w:footnote w:id="618">
    <w:p w:rsidR="009A4F49" w:rsidRDefault="009A4F49" w:rsidP="00C51DE0">
      <w:pPr>
        <w:pStyle w:val="FootnoteText"/>
      </w:pPr>
      <w:r>
        <w:rPr>
          <w:rStyle w:val="FootnoteReference"/>
        </w:rPr>
        <w:footnoteRef/>
      </w:r>
      <w:r>
        <w:t xml:space="preserve"> </w:t>
      </w:r>
      <w:r>
        <w:tab/>
        <w:t xml:space="preserve">Paras 4 and 5 of the First Schedule to the 1958 Act.  </w:t>
      </w:r>
    </w:p>
  </w:footnote>
  <w:footnote w:id="619">
    <w:p w:rsidR="009A4F49" w:rsidRDefault="009A4F49" w:rsidP="00C51DE0">
      <w:pPr>
        <w:pStyle w:val="FootnoteText"/>
      </w:pPr>
      <w:r>
        <w:rPr>
          <w:rStyle w:val="FootnoteReference"/>
        </w:rPr>
        <w:footnoteRef/>
      </w:r>
      <w:r>
        <w:t xml:space="preserve"> </w:t>
      </w:r>
      <w:r>
        <w:tab/>
        <w:t xml:space="preserve">Para 7(1) of the First Schedule to the 1958 Act. </w:t>
      </w:r>
    </w:p>
  </w:footnote>
  <w:footnote w:id="620">
    <w:p w:rsidR="009A4F49" w:rsidRDefault="009A4F49" w:rsidP="00C51DE0">
      <w:pPr>
        <w:pStyle w:val="FootnoteText"/>
      </w:pPr>
      <w:r>
        <w:rPr>
          <w:rStyle w:val="FootnoteReference"/>
        </w:rPr>
        <w:footnoteRef/>
      </w:r>
      <w:r>
        <w:t xml:space="preserve"> </w:t>
      </w:r>
      <w:r>
        <w:tab/>
        <w:t>S 3 of the 1958 Act.</w:t>
      </w:r>
    </w:p>
  </w:footnote>
  <w:footnote w:id="621">
    <w:p w:rsidR="009A4F49" w:rsidRPr="005F6031" w:rsidRDefault="009A4F49" w:rsidP="00C51DE0">
      <w:pPr>
        <w:pStyle w:val="FootnoteText"/>
        <w:rPr>
          <w:rStyle w:val="Hyperlink"/>
        </w:rPr>
      </w:pPr>
      <w:r>
        <w:rPr>
          <w:rStyle w:val="FootnoteReference"/>
        </w:rPr>
        <w:footnoteRef/>
      </w:r>
      <w:r>
        <w:tab/>
        <w:t>&lt;</w:t>
      </w:r>
      <w:r w:rsidRPr="00901078">
        <w:t>http://www.nationalarchives.gov.uk/information-management/manage-information/ ima/</w:t>
      </w:r>
      <w:r>
        <w:t>&gt;.</w:t>
      </w:r>
    </w:p>
  </w:footnote>
  <w:footnote w:id="622">
    <w:p w:rsidR="009A4F49" w:rsidRPr="005F6031" w:rsidRDefault="009A4F49" w:rsidP="00C51DE0">
      <w:pPr>
        <w:pStyle w:val="FootnoteText"/>
        <w:rPr>
          <w:rStyle w:val="Hyperlink"/>
          <w:lang w:eastAsia="zh-HK"/>
        </w:rPr>
      </w:pPr>
      <w:r>
        <w:rPr>
          <w:rStyle w:val="FootnoteReference"/>
        </w:rPr>
        <w:footnoteRef/>
      </w:r>
      <w:r>
        <w:t xml:space="preserve"> </w:t>
      </w:r>
      <w:r>
        <w:tab/>
        <w:t>&lt;</w:t>
      </w:r>
      <w:r w:rsidRPr="00901078">
        <w:t>http://www.nationalarchives.gov.uk/information-management/manage-information/</w:t>
      </w:r>
      <w:r w:rsidRPr="00901078">
        <w:rPr>
          <w:rFonts w:hint="eastAsia"/>
        </w:rPr>
        <w:t xml:space="preserve"> </w:t>
      </w:r>
      <w:r w:rsidRPr="00901078">
        <w:t>ima/information-management-self-assessment-tool/</w:t>
      </w:r>
      <w:r w:rsidRPr="00944E08">
        <w:t>&gt;</w:t>
      </w:r>
      <w:r w:rsidRPr="00944E08">
        <w:rPr>
          <w:rStyle w:val="Hyperlink"/>
          <w:rFonts w:hint="eastAsia"/>
          <w:color w:val="auto"/>
          <w:u w:val="none"/>
        </w:rPr>
        <w:t>.</w:t>
      </w:r>
      <w:r w:rsidRPr="00944E08">
        <w:rPr>
          <w:rStyle w:val="Hyperlink"/>
          <w:color w:val="auto"/>
          <w:u w:val="none"/>
          <w:lang w:eastAsia="zh-HK"/>
        </w:rPr>
        <w:t xml:space="preserve"> </w:t>
      </w:r>
    </w:p>
  </w:footnote>
  <w:footnote w:id="623">
    <w:p w:rsidR="009A4F49" w:rsidRPr="005F6031" w:rsidRDefault="009A4F49" w:rsidP="00C51DE0">
      <w:pPr>
        <w:pStyle w:val="FootnoteText"/>
      </w:pPr>
      <w:r>
        <w:rPr>
          <w:rStyle w:val="FootnoteReference"/>
        </w:rPr>
        <w:footnoteRef/>
      </w:r>
      <w:r>
        <w:tab/>
        <w:t>&lt;</w:t>
      </w:r>
      <w:r w:rsidRPr="00901078">
        <w:t>http://www.nationalarchives.gov.uk/information-management/manage-information/ ima/benefits-ima/</w:t>
      </w:r>
      <w:r>
        <w:t>&gt;.</w:t>
      </w:r>
    </w:p>
  </w:footnote>
  <w:footnote w:id="624">
    <w:p w:rsidR="009A4F49" w:rsidRPr="005F6031" w:rsidRDefault="009A4F49" w:rsidP="00C51DE0">
      <w:pPr>
        <w:pStyle w:val="FootnoteText"/>
      </w:pPr>
      <w:r>
        <w:rPr>
          <w:rStyle w:val="FootnoteReference"/>
        </w:rPr>
        <w:footnoteRef/>
      </w:r>
      <w:r>
        <w:t xml:space="preserve"> </w:t>
      </w:r>
      <w:r>
        <w:tab/>
        <w:t>See the "</w:t>
      </w:r>
      <w:r>
        <w:rPr>
          <w:i/>
        </w:rPr>
        <w:t>IMA reports and resources</w:t>
      </w:r>
      <w:r>
        <w:t xml:space="preserve">" section on TNA's website at: </w:t>
      </w:r>
    </w:p>
    <w:p w:rsidR="009A4F49" w:rsidRPr="00BF1613" w:rsidRDefault="009A4F49" w:rsidP="00C51DE0">
      <w:pPr>
        <w:pStyle w:val="FootnoteText"/>
        <w:rPr>
          <w:sz w:val="14"/>
          <w:szCs w:val="14"/>
        </w:rPr>
      </w:pPr>
      <w:r w:rsidRPr="005F6031">
        <w:tab/>
      </w:r>
      <w:r>
        <w:t>&lt;</w:t>
      </w:r>
      <w:r w:rsidRPr="00901078">
        <w:t>http://www.nationalarchives.gov.uk/information-management/manage-information/</w:t>
      </w:r>
      <w:r>
        <w:t>‌</w:t>
      </w:r>
      <w:r w:rsidRPr="00901078">
        <w:t>ima/ima-reports-action-plans/</w:t>
      </w:r>
      <w:r>
        <w:t>&gt;</w:t>
      </w:r>
      <w:r w:rsidRPr="00BF1613">
        <w:rPr>
          <w:sz w:val="14"/>
          <w:szCs w:val="14"/>
        </w:rPr>
        <w:t xml:space="preserve">.  </w:t>
      </w:r>
    </w:p>
  </w:footnote>
  <w:footnote w:id="625">
    <w:p w:rsidR="009A4F49" w:rsidRDefault="009A4F49" w:rsidP="00C51DE0">
      <w:pPr>
        <w:pStyle w:val="FootnoteText"/>
      </w:pPr>
      <w:r>
        <w:rPr>
          <w:rStyle w:val="FootnoteReference"/>
        </w:rPr>
        <w:footnoteRef/>
      </w:r>
      <w:r>
        <w:t xml:space="preserve"> </w:t>
      </w:r>
      <w:r>
        <w:tab/>
        <w:t>Ss 1(2) and 2(2) of the 1986 Act and the Schedule thereto.</w:t>
      </w:r>
    </w:p>
  </w:footnote>
  <w:footnote w:id="626">
    <w:p w:rsidR="009A4F49" w:rsidRDefault="009A4F49" w:rsidP="00C51DE0">
      <w:pPr>
        <w:pStyle w:val="FootnoteText"/>
      </w:pPr>
      <w:r>
        <w:rPr>
          <w:rStyle w:val="FootnoteReference"/>
        </w:rPr>
        <w:footnoteRef/>
      </w:r>
      <w:r>
        <w:t xml:space="preserve"> </w:t>
      </w:r>
      <w:r>
        <w:tab/>
        <w:t>S 13(1) of the 1986 Act.  "</w:t>
      </w:r>
      <w:r>
        <w:rPr>
          <w:i/>
        </w:rPr>
        <w:t>Public service organisation</w:t>
      </w:r>
      <w:r>
        <w:t>" is defined under s 1 of the 1986 Act to include a local authority, a health board or a body established by or financed by the Government.</w:t>
      </w:r>
    </w:p>
  </w:footnote>
  <w:footnote w:id="627">
    <w:p w:rsidR="009A4F49" w:rsidRPr="00944E08" w:rsidRDefault="009A4F49" w:rsidP="00944E08">
      <w:pPr>
        <w:pStyle w:val="FootnoteText"/>
        <w:jc w:val="left"/>
      </w:pPr>
      <w:r>
        <w:rPr>
          <w:rStyle w:val="FootnoteReference"/>
        </w:rPr>
        <w:footnoteRef/>
      </w:r>
      <w:r>
        <w:t xml:space="preserve"> </w:t>
      </w:r>
      <w:r>
        <w:tab/>
        <w:t>See generally at: &lt;</w:t>
      </w:r>
      <w:r w:rsidRPr="000E70CB">
        <w:t>http://www.nationalarchives.ie/about-us/national-archives%E2%80%99-responsibility-for-archives/responsibility-for-departmental-records</w:t>
      </w:r>
      <w:r w:rsidRPr="00944E08">
        <w:t>/</w:t>
      </w:r>
      <w:r w:rsidRPr="00944E08">
        <w:rPr>
          <w:rStyle w:val="Hyperlink"/>
          <w:color w:val="auto"/>
          <w:u w:val="none"/>
        </w:rPr>
        <w:t>&gt;.</w:t>
      </w:r>
    </w:p>
  </w:footnote>
  <w:footnote w:id="628">
    <w:p w:rsidR="009A4F49" w:rsidRDefault="009A4F49" w:rsidP="00C51DE0">
      <w:pPr>
        <w:pStyle w:val="FootnoteText"/>
      </w:pPr>
      <w:r>
        <w:rPr>
          <w:rStyle w:val="FootnoteReference"/>
        </w:rPr>
        <w:footnoteRef/>
      </w:r>
      <w:r>
        <w:t xml:space="preserve"> </w:t>
      </w:r>
      <w:r>
        <w:tab/>
        <w:t>S 4(1)(e) of the 1986 Act.</w:t>
      </w:r>
    </w:p>
  </w:footnote>
  <w:footnote w:id="629">
    <w:p w:rsidR="009A4F49" w:rsidRDefault="009A4F49" w:rsidP="00C51DE0">
      <w:pPr>
        <w:pStyle w:val="FootnoteText"/>
      </w:pPr>
      <w:r>
        <w:rPr>
          <w:rStyle w:val="FootnoteReference"/>
        </w:rPr>
        <w:footnoteRef/>
      </w:r>
      <w:r>
        <w:t xml:space="preserve"> </w:t>
      </w:r>
      <w:r>
        <w:tab/>
        <w:t>S 4 of the 2005 Act.</w:t>
      </w:r>
    </w:p>
  </w:footnote>
  <w:footnote w:id="630">
    <w:p w:rsidR="009A4F49" w:rsidRPr="000E70CB" w:rsidRDefault="009A4F49" w:rsidP="00C51DE0">
      <w:pPr>
        <w:pStyle w:val="FootnoteText"/>
        <w:rPr>
          <w:szCs w:val="18"/>
        </w:rPr>
      </w:pPr>
      <w:r w:rsidRPr="000E70CB">
        <w:rPr>
          <w:vertAlign w:val="superscript"/>
        </w:rPr>
        <w:footnoteRef/>
      </w:r>
      <w:r w:rsidRPr="000E70CB">
        <w:rPr>
          <w:vertAlign w:val="superscript"/>
        </w:rPr>
        <w:tab/>
      </w:r>
      <w:r w:rsidRPr="000E70CB">
        <w:t xml:space="preserve">The list is available at: </w:t>
      </w:r>
      <w:r>
        <w:t>&lt;</w:t>
      </w:r>
      <w:r w:rsidRPr="000E70CB">
        <w:t>https://records.archives.govt.nz/regulatory-framework/</w:t>
      </w:r>
      <w:r>
        <w:rPr>
          <w:rStyle w:val="Hyperlink"/>
          <w:szCs w:val="18"/>
        </w:rPr>
        <w:t>&gt;.</w:t>
      </w:r>
    </w:p>
  </w:footnote>
  <w:footnote w:id="631">
    <w:p w:rsidR="009A4F49" w:rsidRDefault="009A4F49" w:rsidP="001E567A">
      <w:pPr>
        <w:pStyle w:val="FootnoteText"/>
        <w:spacing w:after="0"/>
      </w:pPr>
      <w:r>
        <w:rPr>
          <w:rStyle w:val="FootnoteReference"/>
        </w:rPr>
        <w:footnoteRef/>
      </w:r>
      <w:r>
        <w:t xml:space="preserve"> </w:t>
      </w:r>
      <w:r>
        <w:tab/>
        <w:t>The policy document, entitled "</w:t>
      </w:r>
      <w:r>
        <w:rPr>
          <w:i/>
        </w:rPr>
        <w:t>Policy for deciding public office and local authority status</w:t>
      </w:r>
      <w:r>
        <w:t>", is an internal document of the ANZ used to guide the process for deciding whether an organisation is a "</w:t>
      </w:r>
      <w:r>
        <w:rPr>
          <w:i/>
        </w:rPr>
        <w:t>public office</w:t>
      </w:r>
      <w:r>
        <w:t>" (and "</w:t>
      </w:r>
      <w:r>
        <w:rPr>
          <w:i/>
        </w:rPr>
        <w:t>local authority office</w:t>
      </w:r>
      <w:r>
        <w:t xml:space="preserve">") covered by the 2005 Act.  See the brief introduction on ANZ's website: </w:t>
      </w:r>
    </w:p>
    <w:p w:rsidR="009A4F49" w:rsidRPr="00BF1613" w:rsidRDefault="001E567A" w:rsidP="00C51DE0">
      <w:pPr>
        <w:pStyle w:val="FootnoteText"/>
        <w:rPr>
          <w:szCs w:val="18"/>
        </w:rPr>
      </w:pPr>
      <w:r>
        <w:tab/>
      </w:r>
      <w:r w:rsidR="009A4F49">
        <w:t>&lt;</w:t>
      </w:r>
      <w:r w:rsidR="009A4F49" w:rsidRPr="000E70CB">
        <w:t>https://records.archives.govt.nz/regulatory-framework/</w:t>
      </w:r>
      <w:r w:rsidR="009A4F49">
        <w:t>&gt;.</w:t>
      </w:r>
    </w:p>
  </w:footnote>
  <w:footnote w:id="632">
    <w:p w:rsidR="009A4F49" w:rsidRDefault="009A4F49" w:rsidP="00C51DE0">
      <w:pPr>
        <w:pStyle w:val="FootnoteText"/>
      </w:pPr>
      <w:r>
        <w:rPr>
          <w:rStyle w:val="FootnoteReference"/>
        </w:rPr>
        <w:footnoteRef/>
      </w:r>
      <w:r>
        <w:t xml:space="preserve"> </w:t>
      </w:r>
      <w:r>
        <w:tab/>
        <w:t>These factors are relevant to the control test in</w:t>
      </w:r>
      <w:r>
        <w:rPr>
          <w:i/>
        </w:rPr>
        <w:t xml:space="preserve"> Commissioner of Inland Revenue v Medical Council of New Zealand</w:t>
      </w:r>
      <w:r>
        <w:t xml:space="preserve"> [1997] 2 NZLR 297 (CA) which needs to be undertaken in deciding whether an organisation is an agency or instrument of the executive government and therefore a "</w:t>
      </w:r>
      <w:r>
        <w:rPr>
          <w:i/>
        </w:rPr>
        <w:t>public office</w:t>
      </w:r>
      <w:r>
        <w:t xml:space="preserve">".   </w:t>
      </w:r>
    </w:p>
  </w:footnote>
  <w:footnote w:id="633">
    <w:p w:rsidR="009A4F49" w:rsidRDefault="009A4F49" w:rsidP="00C51DE0">
      <w:pPr>
        <w:pStyle w:val="FootnoteText"/>
      </w:pPr>
      <w:r>
        <w:rPr>
          <w:rStyle w:val="FootnoteReference"/>
        </w:rPr>
        <w:footnoteRef/>
      </w:r>
      <w:r>
        <w:t xml:space="preserve"> </w:t>
      </w:r>
      <w:r>
        <w:tab/>
        <w:t>S 29 of the 2005 Act.</w:t>
      </w:r>
    </w:p>
  </w:footnote>
  <w:footnote w:id="634">
    <w:p w:rsidR="009A4F49" w:rsidRDefault="009A4F49" w:rsidP="00C51DE0">
      <w:pPr>
        <w:pStyle w:val="FootnoteText"/>
      </w:pPr>
      <w:r>
        <w:rPr>
          <w:rStyle w:val="FootnoteReference"/>
        </w:rPr>
        <w:footnoteRef/>
      </w:r>
      <w:r>
        <w:t xml:space="preserve"> </w:t>
      </w:r>
      <w:r>
        <w:tab/>
      </w:r>
      <w:r>
        <w:rPr>
          <w:lang w:eastAsia="zh-HK"/>
        </w:rPr>
        <w:t xml:space="preserve">The ANZ has framed its regulatory approach in a "Regulatory Statement" published on its website.  As outlined, the ANZ recognises best practice, detects and assesses non-compliance and enforces sanctions against the worst cases. </w:t>
      </w:r>
      <w:r>
        <w:rPr>
          <w:rFonts w:hint="eastAsia"/>
          <w:lang w:eastAsia="zh-HK"/>
        </w:rPr>
        <w:t xml:space="preserve"> </w:t>
      </w:r>
      <w:r>
        <w:rPr>
          <w:lang w:eastAsia="zh-HK"/>
        </w:rPr>
        <w:t xml:space="preserve">See </w:t>
      </w:r>
      <w:r>
        <w:t>ANZ's records toolkit website at: &lt;</w:t>
      </w:r>
      <w:r w:rsidRPr="00901078">
        <w:t>https://records.archives.govt.nz/resources-and-guides/regulatory- statement/</w:t>
      </w:r>
      <w:r>
        <w:t>&gt;</w:t>
      </w:r>
      <w:r w:rsidRPr="00BF1613">
        <w:rPr>
          <w:sz w:val="16"/>
          <w:szCs w:val="16"/>
        </w:rPr>
        <w:t>.</w:t>
      </w:r>
      <w:r>
        <w:t xml:space="preserve"> </w:t>
      </w:r>
    </w:p>
  </w:footnote>
  <w:footnote w:id="635">
    <w:p w:rsidR="009A4F49" w:rsidRDefault="009A4F49" w:rsidP="00C51DE0">
      <w:pPr>
        <w:pStyle w:val="FootnoteText"/>
      </w:pPr>
      <w:r>
        <w:rPr>
          <w:rStyle w:val="FootnoteReference"/>
        </w:rPr>
        <w:footnoteRef/>
      </w:r>
      <w:r>
        <w:t xml:space="preserve"> </w:t>
      </w:r>
      <w:r>
        <w:tab/>
        <w:t xml:space="preserve">Ss 61 and 62 of the 2005 Act. </w:t>
      </w:r>
    </w:p>
  </w:footnote>
  <w:footnote w:id="636">
    <w:p w:rsidR="009A4F49" w:rsidRDefault="009A4F49" w:rsidP="00C51DE0">
      <w:pPr>
        <w:pStyle w:val="FootnoteText"/>
      </w:pPr>
      <w:r>
        <w:rPr>
          <w:rStyle w:val="FootnoteReference"/>
        </w:rPr>
        <w:footnoteRef/>
      </w:r>
      <w:r>
        <w:t xml:space="preserve"> </w:t>
      </w:r>
      <w:r>
        <w:tab/>
        <w:t>S 2 of the NLBA.</w:t>
      </w:r>
    </w:p>
  </w:footnote>
  <w:footnote w:id="637">
    <w:p w:rsidR="009A4F49" w:rsidRDefault="009A4F49" w:rsidP="001E567A">
      <w:pPr>
        <w:pStyle w:val="FootnoteText"/>
        <w:spacing w:after="0"/>
      </w:pPr>
      <w:r>
        <w:rPr>
          <w:rStyle w:val="FootnoteReference"/>
        </w:rPr>
        <w:footnoteRef/>
      </w:r>
      <w:r>
        <w:t xml:space="preserve"> </w:t>
      </w:r>
      <w:r>
        <w:tab/>
        <w:t>Whether under the existing administrative regime or the archives law that may be introduced.</w:t>
      </w:r>
    </w:p>
  </w:footnote>
  <w:footnote w:id="638">
    <w:p w:rsidR="009A4F49" w:rsidRDefault="009A4F49" w:rsidP="00C51DE0">
      <w:pPr>
        <w:pStyle w:val="FootnoteText"/>
      </w:pPr>
      <w:r>
        <w:rPr>
          <w:rStyle w:val="FootnoteReference"/>
        </w:rPr>
        <w:footnoteRef/>
      </w:r>
      <w:r>
        <w:tab/>
        <w:t>Amongst these 71 public bodies, some are statutory boards with secretariat support by government servants, and are thus required to follow the Government's records management rules and guidelines.</w:t>
      </w:r>
    </w:p>
  </w:footnote>
  <w:footnote w:id="639">
    <w:p w:rsidR="009A4F49" w:rsidRDefault="009A4F49" w:rsidP="00C51DE0">
      <w:pPr>
        <w:pStyle w:val="FootnoteText"/>
      </w:pPr>
      <w:r>
        <w:rPr>
          <w:rStyle w:val="FootnoteReference"/>
        </w:rPr>
        <w:footnoteRef/>
      </w:r>
      <w:r>
        <w:t xml:space="preserve"> </w:t>
      </w:r>
      <w:r>
        <w:tab/>
        <w:t xml:space="preserve">Para 26 at p 13 of the </w:t>
      </w:r>
      <w:r>
        <w:rPr>
          <w:i/>
        </w:rPr>
        <w:t>RAMP Study</w:t>
      </w:r>
      <w:r>
        <w:t>.</w:t>
      </w:r>
    </w:p>
  </w:footnote>
  <w:footnote w:id="640">
    <w:p w:rsidR="009A4F49" w:rsidRPr="00D86E22" w:rsidRDefault="009A4F49" w:rsidP="00C51DE0">
      <w:pPr>
        <w:pStyle w:val="FootnoteText"/>
        <w:rPr>
          <w:shd w:val="clear" w:color="auto" w:fill="FFFFFF"/>
        </w:rPr>
      </w:pPr>
      <w:r>
        <w:rPr>
          <w:rStyle w:val="FootnoteReference"/>
        </w:rPr>
        <w:footnoteRef/>
      </w:r>
      <w:r>
        <w:t xml:space="preserve"> </w:t>
      </w:r>
      <w:r w:rsidRPr="00D86E22">
        <w:rPr>
          <w:shd w:val="clear" w:color="auto" w:fill="FFFFFF"/>
        </w:rPr>
        <w:tab/>
        <w:t>For public bodies or institutions that are within the governance system of Hong Kong, namely the LegCo, Judiciary and District Councils, different records management practices are currently in place.  For instance, the LegCo has its own archives and does not send its records to the GRS for preservation.  The Judiciary Administrator passes court files to the GRS for disposal.  As to District Councils, since their Secretariats are served by government servants, Councils' documents are passed to the GRS</w:t>
      </w:r>
      <w:r w:rsidRPr="00D86E22">
        <w:rPr>
          <w:rFonts w:hint="eastAsia"/>
          <w:color w:val="FF0000"/>
          <w:shd w:val="clear" w:color="auto" w:fill="FFFFFF"/>
          <w:lang w:eastAsia="zh-HK"/>
        </w:rPr>
        <w:t xml:space="preserve"> </w:t>
      </w:r>
      <w:r w:rsidRPr="00D86E22">
        <w:rPr>
          <w:shd w:val="clear" w:color="auto" w:fill="FFFFFF"/>
        </w:rPr>
        <w:t>for disposal through the Home Affairs Department.</w:t>
      </w:r>
    </w:p>
  </w:footnote>
  <w:footnote w:id="641">
    <w:p w:rsidR="009A4F49" w:rsidRDefault="009A4F49" w:rsidP="00C51DE0">
      <w:pPr>
        <w:pStyle w:val="FootnoteText"/>
      </w:pPr>
      <w:r>
        <w:rPr>
          <w:rStyle w:val="FootnoteReference"/>
        </w:rPr>
        <w:footnoteRef/>
      </w:r>
      <w:r>
        <w:t xml:space="preserve"> </w:t>
      </w:r>
      <w:r>
        <w:tab/>
        <w:t>Hong Kong Institute of Certified Public Accountants, "</w:t>
      </w:r>
      <w:r>
        <w:rPr>
          <w:i/>
        </w:rPr>
        <w:t>Corporate Governance for Public Bodies – A Basic Framework</w:t>
      </w:r>
      <w:r>
        <w:t>", May 2004 at paras 15 to 16, accessible at: &lt;</w:t>
      </w:r>
      <w:r w:rsidRPr="00901078">
        <w:t>http://www.hkicpa.org.hk/file/media/section4_cpd/Continuing%20Professinoal%20Development%20Programme%20(CPD)/eframework_guide.pdf</w:t>
      </w:r>
      <w:r>
        <w:t>&gt;</w:t>
      </w:r>
      <w:r w:rsidRPr="00901078">
        <w:rPr>
          <w:rStyle w:val="Hyperlink"/>
          <w:rFonts w:hint="eastAsia"/>
        </w:rPr>
        <w:t>.</w:t>
      </w:r>
      <w:r w:rsidRPr="005F6031">
        <w:t xml:space="preserve"> </w:t>
      </w:r>
    </w:p>
  </w:footnote>
  <w:footnote w:id="642">
    <w:p w:rsidR="009A4F49" w:rsidRDefault="009A4F49" w:rsidP="00C51DE0">
      <w:pPr>
        <w:pStyle w:val="FootnoteText"/>
      </w:pPr>
      <w:r>
        <w:rPr>
          <w:rStyle w:val="FootnoteReference"/>
        </w:rPr>
        <w:footnoteRef/>
      </w:r>
      <w:r>
        <w:t xml:space="preserve"> </w:t>
      </w:r>
      <w:r>
        <w:tab/>
        <w:t>See HKU SPACE's website at: &lt;</w:t>
      </w:r>
      <w:r w:rsidRPr="00901078">
        <w:t>https://hkuspace.hku.hk/prog/master-of-info-studies</w:t>
      </w:r>
      <w:r>
        <w:t>&gt;</w:t>
      </w:r>
      <w:r w:rsidRPr="005F6031">
        <w:t>.</w:t>
      </w:r>
    </w:p>
  </w:footnote>
  <w:footnote w:id="643">
    <w:p w:rsidR="009A4F49" w:rsidRPr="005F6031" w:rsidRDefault="009A4F49" w:rsidP="00C51DE0">
      <w:pPr>
        <w:pStyle w:val="FootnoteText"/>
      </w:pPr>
      <w:r>
        <w:rPr>
          <w:rStyle w:val="FootnoteReference"/>
        </w:rPr>
        <w:footnoteRef/>
      </w:r>
      <w:r>
        <w:t xml:space="preserve"> </w:t>
      </w:r>
      <w:r>
        <w:tab/>
      </w:r>
      <w:r w:rsidRPr="00BF1613">
        <w:t xml:space="preserve">See: </w:t>
      </w:r>
      <w:r>
        <w:t>&lt;</w:t>
      </w:r>
      <w:r w:rsidRPr="00901078">
        <w:t>http://web.edu.hku.hk/programme/mlim/overview</w:t>
      </w:r>
      <w:r>
        <w:t>&gt;</w:t>
      </w:r>
      <w:r w:rsidRPr="005F6031">
        <w:t>.</w:t>
      </w:r>
    </w:p>
  </w:footnote>
  <w:footnote w:id="644">
    <w:p w:rsidR="009A4F49" w:rsidRDefault="009A4F49" w:rsidP="00C51DE0">
      <w:pPr>
        <w:pStyle w:val="FootnoteText"/>
      </w:pPr>
      <w:r>
        <w:rPr>
          <w:rStyle w:val="FootnoteReference"/>
        </w:rPr>
        <w:footnoteRef/>
      </w:r>
      <w:r>
        <w:t xml:space="preserve"> </w:t>
      </w:r>
      <w:r>
        <w:tab/>
        <w:t>See above, Patrick Lo, Preserving Local Documentary Heritage, Conversations with Special Library Managers and Archivists in Hong Kong (City University of Hong Kong Press, 2015), at 24 - 26.</w:t>
      </w:r>
    </w:p>
  </w:footnote>
  <w:footnote w:id="645">
    <w:p w:rsidR="009A4F49" w:rsidRDefault="009A4F49" w:rsidP="00FC290C">
      <w:pPr>
        <w:pStyle w:val="FootnoteText"/>
        <w:spacing w:after="0"/>
      </w:pPr>
      <w:r>
        <w:rPr>
          <w:rStyle w:val="FootnoteReference"/>
        </w:rPr>
        <w:footnoteRef/>
      </w:r>
      <w:r>
        <w:t xml:space="preserve"> </w:t>
      </w:r>
      <w:r>
        <w:tab/>
        <w:t xml:space="preserve">Paras 2.1 to 2.20 of </w:t>
      </w:r>
      <w:r w:rsidRPr="00BF1613">
        <w:rPr>
          <w:i/>
        </w:rPr>
        <w:t>The</w:t>
      </w:r>
      <w:r>
        <w:t xml:space="preserve"> </w:t>
      </w:r>
      <w:r>
        <w:rPr>
          <w:i/>
        </w:rPr>
        <w:t>Ombudsman's Report</w:t>
      </w:r>
      <w:r>
        <w:t>.</w:t>
      </w:r>
    </w:p>
  </w:footnote>
  <w:footnote w:id="646">
    <w:p w:rsidR="009A4F49" w:rsidRPr="00DD3891" w:rsidRDefault="009A4F49" w:rsidP="00440249">
      <w:pPr>
        <w:pStyle w:val="FootnoteText"/>
        <w:spacing w:after="0"/>
      </w:pPr>
      <w:r w:rsidRPr="00DD3891">
        <w:rPr>
          <w:rStyle w:val="FootnoteReference"/>
        </w:rPr>
        <w:footnoteRef/>
      </w:r>
      <w:r w:rsidRPr="00DD3891">
        <w:t xml:space="preserve"> </w:t>
      </w:r>
      <w:r>
        <w:rPr>
          <w:rFonts w:hint="eastAsia"/>
        </w:rPr>
        <w:tab/>
      </w:r>
      <w:r w:rsidRPr="00DD3891">
        <w:t>Information in this Annex is supplied by the GRS.</w:t>
      </w:r>
    </w:p>
  </w:footnote>
  <w:footnote w:id="647">
    <w:p w:rsidR="009A4F49" w:rsidRPr="006A3670" w:rsidRDefault="009A4F49" w:rsidP="00C51DE0">
      <w:pPr>
        <w:pStyle w:val="FootnoteText"/>
      </w:pPr>
      <w:r>
        <w:rPr>
          <w:rStyle w:val="FootnoteReference"/>
        </w:rPr>
        <w:footnoteRef/>
      </w:r>
      <w:r>
        <w:t xml:space="preserve"> </w:t>
      </w:r>
      <w:r>
        <w:tab/>
      </w:r>
      <w:r w:rsidRPr="006A3670">
        <w:t>Rule 3 of the PRAR.</w:t>
      </w:r>
    </w:p>
  </w:footnote>
  <w:footnote w:id="648">
    <w:p w:rsidR="009A4F49" w:rsidRDefault="009A4F49" w:rsidP="00C51DE0">
      <w:pPr>
        <w:pStyle w:val="FootnoteText"/>
      </w:pPr>
      <w:r>
        <w:rPr>
          <w:rStyle w:val="FootnoteReference"/>
        </w:rPr>
        <w:footnoteRef/>
      </w:r>
      <w:r>
        <w:t xml:space="preserve"> </w:t>
      </w:r>
      <w:r>
        <w:tab/>
        <w:t>Whether under the Government's existing administrative regime or as stipulated under any archival legislation that may be introduced.</w:t>
      </w:r>
    </w:p>
  </w:footnote>
  <w:footnote w:id="649">
    <w:p w:rsidR="009A4F49" w:rsidRDefault="009A4F49" w:rsidP="00C51DE0">
      <w:pPr>
        <w:pStyle w:val="FootnoteText"/>
      </w:pPr>
      <w:r>
        <w:rPr>
          <w:rStyle w:val="FootnoteReference"/>
        </w:rPr>
        <w:footnoteRef/>
      </w:r>
      <w:r>
        <w:t xml:space="preserve"> </w:t>
      </w:r>
      <w:r>
        <w:tab/>
        <w:t>Some of the Respondents stated that those measures were only partially implemented, in that the measures did not apply to all aspects of their records management, or to all units or departments, or to all records in their bodies.  Some simply followed previous practices without having detailed procedures or a documented policy in place, and others have relied on each individual unit or department of their bodies to make its own arrangement.</w:t>
      </w:r>
    </w:p>
  </w:footnote>
  <w:footnote w:id="650">
    <w:p w:rsidR="009A4F49" w:rsidRDefault="009A4F49" w:rsidP="00C51DE0">
      <w:pPr>
        <w:pStyle w:val="FootnoteText"/>
      </w:pPr>
      <w:r>
        <w:rPr>
          <w:rStyle w:val="FootnoteReference"/>
        </w:rPr>
        <w:footnoteRef/>
      </w:r>
      <w:r>
        <w:t xml:space="preserve"> </w:t>
      </w:r>
      <w:r>
        <w:tab/>
        <w:t xml:space="preserve">Amongst these Respondents, some of them stated that they did not have designated archives, and had therefore stored their archival records in their central administration, or document management system or in digital format for permanent retention.  </w:t>
      </w:r>
    </w:p>
  </w:footnote>
  <w:footnote w:id="651">
    <w:p w:rsidR="009A4F49" w:rsidRDefault="009A4F49" w:rsidP="00C51DE0">
      <w:pPr>
        <w:pStyle w:val="FootnoteText"/>
      </w:pPr>
      <w:r>
        <w:rPr>
          <w:rStyle w:val="FootnoteReference"/>
        </w:rPr>
        <w:footnoteRef/>
      </w:r>
      <w:r>
        <w:t xml:space="preserve"> </w:t>
      </w:r>
      <w:r>
        <w:tab/>
        <w:t xml:space="preserve">Those Respondents which do not allow public access to their archival records explained that they were restricted from doing so due to secrecy provisions in their governing legislation or other legislation, or because the body itself had not been in existence for over 30 years. </w:t>
      </w:r>
    </w:p>
  </w:footnote>
  <w:footnote w:id="652">
    <w:p w:rsidR="009A4F49" w:rsidRDefault="009A4F49" w:rsidP="00C51DE0">
      <w:pPr>
        <w:pStyle w:val="FootnoteText"/>
      </w:pPr>
      <w:r>
        <w:rPr>
          <w:rStyle w:val="FootnoteReference"/>
        </w:rPr>
        <w:footnoteRef/>
      </w:r>
      <w:r>
        <w:t xml:space="preserve"> </w:t>
      </w:r>
      <w:r>
        <w:tab/>
        <w:t>Chapter 8 of the GRMP.</w:t>
      </w:r>
    </w:p>
  </w:footnote>
  <w:footnote w:id="653">
    <w:p w:rsidR="009A4F49" w:rsidRDefault="009A4F49" w:rsidP="00440249">
      <w:pPr>
        <w:pStyle w:val="FootnoteText"/>
        <w:spacing w:after="0"/>
      </w:pPr>
      <w:r>
        <w:rPr>
          <w:rStyle w:val="FootnoteReference"/>
        </w:rPr>
        <w:footnoteRef/>
      </w:r>
      <w:r>
        <w:tab/>
        <w:t xml:space="preserve">In brief, an ERKS is distinguishable from an EDMS (which is a software programme that manages the creation, storage and control of </w:t>
      </w:r>
      <w:r w:rsidRPr="00C74A07">
        <w:rPr>
          <w:rFonts w:hint="eastAsia"/>
          <w:lang w:eastAsia="zh-HK"/>
        </w:rPr>
        <w:t>electronic</w:t>
      </w:r>
      <w:r>
        <w:rPr>
          <w:rFonts w:hint="eastAsia"/>
          <w:lang w:eastAsia="zh-HK"/>
        </w:rPr>
        <w:t xml:space="preserve"> </w:t>
      </w:r>
      <w:r>
        <w:t>documents), or other information technology systems in that: (i) an ERKS does not allow users to modify the content of the electronic records or delete electronic records stored therein; and (ii) an ERKS should possess functionality for users to assign retention and disposal schedules to facilitate future disposal of records.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D66F2A"/>
    <w:lvl w:ilvl="0">
      <w:start w:val="1"/>
      <w:numFmt w:val="bullet"/>
      <w:pStyle w:val="Indent3"/>
      <w:lvlText w:val=""/>
      <w:lvlJc w:val="left"/>
      <w:pPr>
        <w:tabs>
          <w:tab w:val="num" w:pos="2070"/>
        </w:tabs>
        <w:ind w:left="2070" w:hanging="720"/>
      </w:pPr>
      <w:rPr>
        <w:rFonts w:ascii="Symbol" w:hAnsi="Symbol" w:hint="default"/>
      </w:rPr>
    </w:lvl>
  </w:abstractNum>
  <w:abstractNum w:abstractNumId="1">
    <w:nsid w:val="004D38DB"/>
    <w:multiLevelType w:val="hybridMultilevel"/>
    <w:tmpl w:val="174E6412"/>
    <w:lvl w:ilvl="0" w:tplc="8BD872FE">
      <w:start w:val="1"/>
      <w:numFmt w:val="decimal"/>
      <w:pStyle w:val="Heading5"/>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72F9D"/>
    <w:multiLevelType w:val="hybridMultilevel"/>
    <w:tmpl w:val="D3364210"/>
    <w:lvl w:ilvl="0" w:tplc="AA52B8CE">
      <w:numFmt w:val="bullet"/>
      <w:lvlText w:val=""/>
      <w:lvlJc w:val="left"/>
      <w:pPr>
        <w:ind w:left="480" w:hanging="480"/>
      </w:pPr>
      <w:rPr>
        <w:rFonts w:ascii="Wingdings" w:eastAsia="PMingLiU" w:hAnsi="Wingdings"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11F261A"/>
    <w:multiLevelType w:val="hybridMultilevel"/>
    <w:tmpl w:val="F0405D46"/>
    <w:lvl w:ilvl="0" w:tplc="7318ED4C">
      <w:start w:val="1"/>
      <w:numFmt w:val="decimal"/>
      <w:pStyle w:val="Heading31"/>
      <w:lvlText w:val="(%1)"/>
      <w:lvlJc w:val="left"/>
      <w:pPr>
        <w:ind w:left="720" w:hanging="360"/>
      </w:pPr>
      <w:rPr>
        <w:rFonts w:ascii="Times New Roman" w:hAnsi="Times New Roman" w:cs="Times New Roman" w:hint="default"/>
        <w:b w:val="0"/>
        <w:sz w:val="24"/>
        <w:szCs w:val="24"/>
        <w:u w:val="none"/>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8F4027"/>
    <w:multiLevelType w:val="hybridMultilevel"/>
    <w:tmpl w:val="5312634C"/>
    <w:lvl w:ilvl="0" w:tplc="2FDA4CF4">
      <w:start w:val="1"/>
      <w:numFmt w:val="bullet"/>
      <w:lvlText w:val=""/>
      <w:lvlJc w:val="left"/>
      <w:pPr>
        <w:ind w:left="480" w:hanging="480"/>
      </w:pPr>
      <w:rPr>
        <w:rFonts w:ascii="Wingdings" w:hAnsi="Wingdings" w:hint="default"/>
        <w:color w:val="auto"/>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5C32B3C"/>
    <w:multiLevelType w:val="hybridMultilevel"/>
    <w:tmpl w:val="AA2858EE"/>
    <w:lvl w:ilvl="0" w:tplc="6444FB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166920"/>
    <w:multiLevelType w:val="hybridMultilevel"/>
    <w:tmpl w:val="5E72C25A"/>
    <w:lvl w:ilvl="0" w:tplc="46B85564">
      <w:start w:val="1"/>
      <w:numFmt w:val="bullet"/>
      <w:lvlText w:val=""/>
      <w:lvlJc w:val="left"/>
      <w:pPr>
        <w:tabs>
          <w:tab w:val="num" w:pos="480"/>
        </w:tabs>
        <w:ind w:left="480" w:hanging="480"/>
      </w:pPr>
      <w:rPr>
        <w:rFonts w:ascii="Wingdings" w:hAnsi="Wingdings" w:hint="default"/>
      </w:rPr>
    </w:lvl>
    <w:lvl w:ilvl="1" w:tplc="0409000D">
      <w:start w:val="1"/>
      <w:numFmt w:val="bullet"/>
      <w:lvlText w:val=""/>
      <w:lvlJc w:val="left"/>
      <w:pPr>
        <w:tabs>
          <w:tab w:val="num" w:pos="480"/>
        </w:tabs>
        <w:ind w:left="480" w:hanging="284"/>
      </w:pPr>
      <w:rPr>
        <w:rFonts w:ascii="Wingdings" w:hAnsi="Wingdings" w:hint="default"/>
      </w:rPr>
    </w:lvl>
    <w:lvl w:ilvl="2" w:tplc="0409000B">
      <w:start w:val="1"/>
      <w:numFmt w:val="bullet"/>
      <w:lvlText w:val=""/>
      <w:lvlJc w:val="left"/>
      <w:pPr>
        <w:tabs>
          <w:tab w:val="num" w:pos="1156"/>
        </w:tabs>
        <w:ind w:left="1156" w:hanging="480"/>
      </w:pPr>
      <w:rPr>
        <w:rFonts w:ascii="Wingdings" w:hAnsi="Wingdings" w:hint="default"/>
      </w:rPr>
    </w:lvl>
    <w:lvl w:ilvl="3" w:tplc="04090001" w:tentative="1">
      <w:start w:val="1"/>
      <w:numFmt w:val="bullet"/>
      <w:lvlText w:val=""/>
      <w:lvlJc w:val="left"/>
      <w:pPr>
        <w:tabs>
          <w:tab w:val="num" w:pos="1636"/>
        </w:tabs>
        <w:ind w:left="1636" w:hanging="480"/>
      </w:pPr>
      <w:rPr>
        <w:rFonts w:ascii="Wingdings" w:hAnsi="Wingdings" w:hint="default"/>
      </w:rPr>
    </w:lvl>
    <w:lvl w:ilvl="4" w:tplc="04090003" w:tentative="1">
      <w:start w:val="1"/>
      <w:numFmt w:val="bullet"/>
      <w:lvlText w:val=""/>
      <w:lvlJc w:val="left"/>
      <w:pPr>
        <w:tabs>
          <w:tab w:val="num" w:pos="2116"/>
        </w:tabs>
        <w:ind w:left="2116" w:hanging="480"/>
      </w:pPr>
      <w:rPr>
        <w:rFonts w:ascii="Wingdings" w:hAnsi="Wingdings" w:hint="default"/>
      </w:rPr>
    </w:lvl>
    <w:lvl w:ilvl="5" w:tplc="04090005" w:tentative="1">
      <w:start w:val="1"/>
      <w:numFmt w:val="bullet"/>
      <w:lvlText w:val=""/>
      <w:lvlJc w:val="left"/>
      <w:pPr>
        <w:tabs>
          <w:tab w:val="num" w:pos="2596"/>
        </w:tabs>
        <w:ind w:left="2596" w:hanging="480"/>
      </w:pPr>
      <w:rPr>
        <w:rFonts w:ascii="Wingdings" w:hAnsi="Wingdings" w:hint="default"/>
      </w:rPr>
    </w:lvl>
    <w:lvl w:ilvl="6" w:tplc="04090001" w:tentative="1">
      <w:start w:val="1"/>
      <w:numFmt w:val="bullet"/>
      <w:lvlText w:val=""/>
      <w:lvlJc w:val="left"/>
      <w:pPr>
        <w:tabs>
          <w:tab w:val="num" w:pos="3076"/>
        </w:tabs>
        <w:ind w:left="3076" w:hanging="480"/>
      </w:pPr>
      <w:rPr>
        <w:rFonts w:ascii="Wingdings" w:hAnsi="Wingdings" w:hint="default"/>
      </w:rPr>
    </w:lvl>
    <w:lvl w:ilvl="7" w:tplc="04090003" w:tentative="1">
      <w:start w:val="1"/>
      <w:numFmt w:val="bullet"/>
      <w:lvlText w:val=""/>
      <w:lvlJc w:val="left"/>
      <w:pPr>
        <w:tabs>
          <w:tab w:val="num" w:pos="3556"/>
        </w:tabs>
        <w:ind w:left="3556" w:hanging="480"/>
      </w:pPr>
      <w:rPr>
        <w:rFonts w:ascii="Wingdings" w:hAnsi="Wingdings" w:hint="default"/>
      </w:rPr>
    </w:lvl>
    <w:lvl w:ilvl="8" w:tplc="04090005" w:tentative="1">
      <w:start w:val="1"/>
      <w:numFmt w:val="bullet"/>
      <w:lvlText w:val=""/>
      <w:lvlJc w:val="left"/>
      <w:pPr>
        <w:tabs>
          <w:tab w:val="num" w:pos="4036"/>
        </w:tabs>
        <w:ind w:left="4036" w:hanging="480"/>
      </w:pPr>
      <w:rPr>
        <w:rFonts w:ascii="Wingdings" w:hAnsi="Wingdings" w:hint="default"/>
      </w:rPr>
    </w:lvl>
  </w:abstractNum>
  <w:abstractNum w:abstractNumId="7">
    <w:nsid w:val="086C5912"/>
    <w:multiLevelType w:val="hybridMultilevel"/>
    <w:tmpl w:val="C6DA4EE4"/>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0F445FE9"/>
    <w:multiLevelType w:val="hybridMultilevel"/>
    <w:tmpl w:val="746AA182"/>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7B23BC2"/>
    <w:multiLevelType w:val="hybridMultilevel"/>
    <w:tmpl w:val="8CDA135A"/>
    <w:lvl w:ilvl="0" w:tplc="6444FBB2">
      <w:start w:val="1"/>
      <w:numFmt w:val="lowerRoman"/>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7EF6B9D"/>
    <w:multiLevelType w:val="hybridMultilevel"/>
    <w:tmpl w:val="1280F462"/>
    <w:lvl w:ilvl="0" w:tplc="83A271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E11D58"/>
    <w:multiLevelType w:val="hybridMultilevel"/>
    <w:tmpl w:val="DBC0D566"/>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DF62C25"/>
    <w:multiLevelType w:val="hybridMultilevel"/>
    <w:tmpl w:val="A1CA68BE"/>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111522D"/>
    <w:multiLevelType w:val="hybridMultilevel"/>
    <w:tmpl w:val="B3D0B77C"/>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53B79CD"/>
    <w:multiLevelType w:val="hybridMultilevel"/>
    <w:tmpl w:val="770A54E4"/>
    <w:lvl w:ilvl="0" w:tplc="305455F2">
      <w:start w:val="1"/>
      <w:numFmt w:val="lowerRoman"/>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253C3881"/>
    <w:multiLevelType w:val="hybridMultilevel"/>
    <w:tmpl w:val="E4AADD54"/>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5933E47"/>
    <w:multiLevelType w:val="hybridMultilevel"/>
    <w:tmpl w:val="B17A056E"/>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279416C9"/>
    <w:multiLevelType w:val="hybridMultilevel"/>
    <w:tmpl w:val="D1D6B28A"/>
    <w:lvl w:ilvl="0" w:tplc="D1729154">
      <w:start w:val="1"/>
      <w:numFmt w:val="lowerLetter"/>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nsid w:val="2A0F3CA8"/>
    <w:multiLevelType w:val="hybridMultilevel"/>
    <w:tmpl w:val="4DFE5BA2"/>
    <w:lvl w:ilvl="0" w:tplc="6444FB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153FB2"/>
    <w:multiLevelType w:val="hybridMultilevel"/>
    <w:tmpl w:val="B2B08C2E"/>
    <w:lvl w:ilvl="0" w:tplc="24FE9F50">
      <w:start w:val="1"/>
      <w:numFmt w:val="decimal"/>
      <w:pStyle w:val="Heading41"/>
      <w:lvlText w:val="(%1)"/>
      <w:lvlJc w:val="left"/>
      <w:pPr>
        <w:ind w:left="720" w:hanging="360"/>
      </w:pPr>
      <w:rPr>
        <w:rFonts w:ascii="Times New Roman" w:hAnsi="Times New Roman" w:cs="Times New Roman" w:hint="default"/>
        <w:b w:val="0"/>
        <w:sz w:val="24"/>
        <w:szCs w:val="24"/>
        <w:u w:val="none"/>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3">
    <w:nsid w:val="38AD0D2A"/>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A4812FB"/>
    <w:multiLevelType w:val="hybridMultilevel"/>
    <w:tmpl w:val="A97EF5F2"/>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044897"/>
    <w:multiLevelType w:val="hybridMultilevel"/>
    <w:tmpl w:val="03DC5B14"/>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CFF53EE"/>
    <w:multiLevelType w:val="multilevel"/>
    <w:tmpl w:val="95FECAE4"/>
    <w:lvl w:ilvl="0">
      <w:start w:val="1"/>
      <w:numFmt w:val="lowerRoman"/>
      <w:lvlText w:val="(%1)"/>
      <w:lvlJc w:val="left"/>
      <w:pPr>
        <w:ind w:left="4406" w:hanging="360"/>
      </w:pPr>
      <w:rPr>
        <w:rFonts w:hint="default"/>
      </w:rPr>
    </w:lvl>
    <w:lvl w:ilvl="1">
      <w:start w:val="1"/>
      <w:numFmt w:val="lowerLetter"/>
      <w:lvlText w:val="%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lowerRoman"/>
      <w:pStyle w:val="BodyText6"/>
      <w:lvlText w:val="(%4)"/>
      <w:lvlJc w:val="left"/>
      <w:pPr>
        <w:ind w:left="720" w:firstLine="720"/>
      </w:pPr>
      <w:rPr>
        <w:rFonts w:hint="default"/>
        <w:vertAlign w:val="baseline"/>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28">
    <w:nsid w:val="3D7D16AE"/>
    <w:multiLevelType w:val="hybridMultilevel"/>
    <w:tmpl w:val="9CBA165E"/>
    <w:lvl w:ilvl="0" w:tplc="1C509494">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3F055D73"/>
    <w:multiLevelType w:val="hybridMultilevel"/>
    <w:tmpl w:val="AE9035CA"/>
    <w:lvl w:ilvl="0" w:tplc="6444FB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06F1157"/>
    <w:multiLevelType w:val="singleLevel"/>
    <w:tmpl w:val="9214A48E"/>
    <w:lvl w:ilvl="0">
      <w:start w:val="1"/>
      <w:numFmt w:val="decimal"/>
      <w:pStyle w:val="Indent2"/>
      <w:lvlText w:val="%1."/>
      <w:lvlJc w:val="left"/>
      <w:pPr>
        <w:tabs>
          <w:tab w:val="num" w:pos="1440"/>
        </w:tabs>
        <w:ind w:left="1440" w:hanging="720"/>
      </w:pPr>
      <w:rPr>
        <w:rFonts w:ascii="Arial" w:hAnsi="Arial" w:hint="default"/>
        <w:sz w:val="24"/>
      </w:rPr>
    </w:lvl>
  </w:abstractNum>
  <w:abstractNum w:abstractNumId="32">
    <w:nsid w:val="44ED06A1"/>
    <w:multiLevelType w:val="hybridMultilevel"/>
    <w:tmpl w:val="7F80CCEA"/>
    <w:lvl w:ilvl="0" w:tplc="5CFC9C24">
      <w:start w:val="1"/>
      <w:numFmt w:val="lowerRoman"/>
      <w:lvlText w:val="(%1)"/>
      <w:lvlJc w:val="left"/>
      <w:pPr>
        <w:ind w:left="1080" w:hanging="1080"/>
      </w:pPr>
      <w:rPr>
        <w:rFonts w:ascii="Arial" w:hAnsi="Arial"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5">
    <w:nsid w:val="51D22E32"/>
    <w:multiLevelType w:val="hybridMultilevel"/>
    <w:tmpl w:val="D7A46A4C"/>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52AB240A"/>
    <w:multiLevelType w:val="hybridMultilevel"/>
    <w:tmpl w:val="4D949E1A"/>
    <w:lvl w:ilvl="0" w:tplc="52D6342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32208BC"/>
    <w:multiLevelType w:val="hybridMultilevel"/>
    <w:tmpl w:val="956A87F4"/>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40">
    <w:nsid w:val="59F4362A"/>
    <w:multiLevelType w:val="hybridMultilevel"/>
    <w:tmpl w:val="59EAF31C"/>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5EA10DBF"/>
    <w:multiLevelType w:val="hybridMultilevel"/>
    <w:tmpl w:val="2FE49AC4"/>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44A49C4"/>
    <w:multiLevelType w:val="hybridMultilevel"/>
    <w:tmpl w:val="56242E2A"/>
    <w:lvl w:ilvl="0" w:tplc="EAA45A46">
      <w:start w:val="1"/>
      <w:numFmt w:val="decimal"/>
      <w:pStyle w:val="Annex1"/>
      <w:lvlText w:val="A.%1"/>
      <w:lvlJc w:val="left"/>
      <w:pPr>
        <w:ind w:left="7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633B9D"/>
    <w:multiLevelType w:val="hybridMultilevel"/>
    <w:tmpl w:val="94225294"/>
    <w:lvl w:ilvl="0" w:tplc="4F3058F8">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6BFA12BF"/>
    <w:multiLevelType w:val="hybridMultilevel"/>
    <w:tmpl w:val="964EC2C2"/>
    <w:lvl w:ilvl="0" w:tplc="6444FBB2">
      <w:start w:val="1"/>
      <w:numFmt w:val="lowerRoman"/>
      <w:lvlText w:val="(%1)"/>
      <w:lvlJc w:val="left"/>
      <w:pPr>
        <w:ind w:left="480" w:hanging="480"/>
      </w:pPr>
      <w:rPr>
        <w:rFonts w:hint="eastAsia"/>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D5813A6"/>
    <w:multiLevelType w:val="hybridMultilevel"/>
    <w:tmpl w:val="FACAC720"/>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6E2F473E"/>
    <w:multiLevelType w:val="hybridMultilevel"/>
    <w:tmpl w:val="A454D8B6"/>
    <w:lvl w:ilvl="0" w:tplc="6444FBB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ED36BA1"/>
    <w:multiLevelType w:val="hybridMultilevel"/>
    <w:tmpl w:val="7B7A7206"/>
    <w:lvl w:ilvl="0" w:tplc="B4AC988A">
      <w:numFmt w:val="bullet"/>
      <w:lvlText w:val=""/>
      <w:lvlJc w:val="left"/>
      <w:pPr>
        <w:ind w:left="480" w:hanging="480"/>
      </w:pPr>
      <w:rPr>
        <w:rFonts w:ascii="Wingdings" w:eastAsia="PMingLiU" w:hAnsi="Wingdings"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6F642EA8"/>
    <w:multiLevelType w:val="hybridMultilevel"/>
    <w:tmpl w:val="AC885464"/>
    <w:lvl w:ilvl="0" w:tplc="4D9CEB7C">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FC34A2E"/>
    <w:multiLevelType w:val="hybridMultilevel"/>
    <w:tmpl w:val="C3E6C2B2"/>
    <w:lvl w:ilvl="0" w:tplc="DE5C1DDE">
      <w:start w:val="1"/>
      <w:numFmt w:val="decimal"/>
      <w:pStyle w:val="123"/>
      <w:lvlText w:val="%1."/>
      <w:lvlJc w:val="left"/>
      <w:pPr>
        <w:ind w:left="218"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512D98"/>
    <w:multiLevelType w:val="hybridMultilevel"/>
    <w:tmpl w:val="34B21B72"/>
    <w:lvl w:ilvl="0" w:tplc="A3B4BECA">
      <w:numFmt w:val="bullet"/>
      <w:lvlText w:val=""/>
      <w:lvlJc w:val="left"/>
      <w:pPr>
        <w:ind w:left="480" w:hanging="48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52">
    <w:nsid w:val="774568A9"/>
    <w:multiLevelType w:val="multilevel"/>
    <w:tmpl w:val="EFCE5872"/>
    <w:styleLink w:val="Skeleton"/>
    <w:lvl w:ilvl="0">
      <w:start w:val="1"/>
      <w:numFmt w:val="decimal"/>
      <w:lvlText w:val="%1."/>
      <w:lvlJc w:val="left"/>
      <w:pPr>
        <w:tabs>
          <w:tab w:val="num" w:pos="567"/>
        </w:tabs>
        <w:ind w:left="567" w:hanging="567"/>
      </w:pPr>
      <w:rPr>
        <w:rFonts w:ascii="Times New Roman" w:hAnsi="Times New Roman" w:hint="default"/>
        <w:b w:val="0"/>
        <w:i w:val="0"/>
        <w:sz w:val="28"/>
      </w:rPr>
    </w:lvl>
    <w:lvl w:ilvl="1">
      <w:start w:val="1"/>
      <w:numFmt w:val="decimal"/>
      <w:lvlText w:val="(%2)"/>
      <w:lvlJc w:val="left"/>
      <w:pPr>
        <w:tabs>
          <w:tab w:val="num" w:pos="1134"/>
        </w:tabs>
        <w:ind w:left="1134" w:hanging="567"/>
      </w:pPr>
      <w:rPr>
        <w:rFonts w:hint="default"/>
        <w:b w:val="0"/>
        <w:i w:val="0"/>
      </w:rPr>
    </w:lvl>
    <w:lvl w:ilvl="2">
      <w:start w:val="1"/>
      <w:numFmt w:val="lowerLetter"/>
      <w:lvlText w:val="(%3)"/>
      <w:lvlJc w:val="left"/>
      <w:pPr>
        <w:tabs>
          <w:tab w:val="num" w:pos="1701"/>
        </w:tabs>
        <w:ind w:left="1701" w:hanging="567"/>
      </w:pPr>
      <w:rPr>
        <w:rFonts w:hint="default"/>
        <w:i w:val="0"/>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7B76CC9"/>
    <w:multiLevelType w:val="hybridMultilevel"/>
    <w:tmpl w:val="6AB87EAC"/>
    <w:lvl w:ilvl="0" w:tplc="6444FBB2">
      <w:start w:val="1"/>
      <w:numFmt w:val="lowerRoman"/>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9B8520C"/>
    <w:multiLevelType w:val="hybridMultilevel"/>
    <w:tmpl w:val="D4707B0E"/>
    <w:lvl w:ilvl="0" w:tplc="30FA5966">
      <w:start w:val="1"/>
      <w:numFmt w:val="lowerLetter"/>
      <w:pStyle w:val="Body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A2C31B7"/>
    <w:multiLevelType w:val="hybridMultilevel"/>
    <w:tmpl w:val="CFEAF6BE"/>
    <w:lvl w:ilvl="0" w:tplc="D44E585A">
      <w:start w:val="1"/>
      <w:numFmt w:val="decimal"/>
      <w:pStyle w:val="BodyText"/>
      <w:lvlText w:val="1.%1."/>
      <w:lvlJc w:val="left"/>
      <w:pPr>
        <w:ind w:left="360" w:hanging="360"/>
      </w:pPr>
      <w:rPr>
        <w:rFonts w:hint="default"/>
        <w:b w:val="0"/>
        <w:i w:val="0"/>
        <w:caps w:val="0"/>
        <w:strike w:val="0"/>
        <w:dstrike w:val="0"/>
        <w:vanish w:val="0"/>
        <w:color w:val="000000"/>
        <w:sz w:val="22"/>
        <w:vertAlign w:val="baseline"/>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0"/>
  </w:num>
  <w:num w:numId="4">
    <w:abstractNumId w:val="3"/>
  </w:num>
  <w:num w:numId="5">
    <w:abstractNumId w:val="20"/>
  </w:num>
  <w:num w:numId="6">
    <w:abstractNumId w:val="52"/>
  </w:num>
  <w:num w:numId="7">
    <w:abstractNumId w:val="34"/>
  </w:num>
  <w:num w:numId="8">
    <w:abstractNumId w:val="13"/>
  </w:num>
  <w:num w:numId="9">
    <w:abstractNumId w:val="21"/>
  </w:num>
  <w:num w:numId="10">
    <w:abstractNumId w:val="24"/>
  </w:num>
  <w:num w:numId="11">
    <w:abstractNumId w:val="30"/>
  </w:num>
  <w:num w:numId="12">
    <w:abstractNumId w:val="22"/>
  </w:num>
  <w:num w:numId="13">
    <w:abstractNumId w:val="39"/>
  </w:num>
  <w:num w:numId="14">
    <w:abstractNumId w:val="38"/>
  </w:num>
  <w:num w:numId="15">
    <w:abstractNumId w:val="33"/>
  </w:num>
  <w:num w:numId="16">
    <w:abstractNumId w:val="27"/>
  </w:num>
  <w:num w:numId="17">
    <w:abstractNumId w:val="54"/>
  </w:num>
  <w:num w:numId="18">
    <w:abstractNumId w:val="49"/>
  </w:num>
  <w:num w:numId="19">
    <w:abstractNumId w:val="42"/>
  </w:num>
  <w:num w:numId="20">
    <w:abstractNumId w:val="55"/>
  </w:num>
  <w:num w:numId="21">
    <w:abstractNumId w:val="51"/>
  </w:num>
  <w:num w:numId="22">
    <w:abstractNumId w:val="32"/>
  </w:num>
  <w:num w:numId="23">
    <w:abstractNumId w:val="36"/>
  </w:num>
  <w:num w:numId="24">
    <w:abstractNumId w:val="10"/>
  </w:num>
  <w:num w:numId="25">
    <w:abstractNumId w:val="14"/>
  </w:num>
  <w:num w:numId="26">
    <w:abstractNumId w:val="15"/>
  </w:num>
  <w:num w:numId="27">
    <w:abstractNumId w:val="28"/>
  </w:num>
  <w:num w:numId="28">
    <w:abstractNumId w:val="2"/>
  </w:num>
  <w:num w:numId="29">
    <w:abstractNumId w:val="47"/>
  </w:num>
  <w:num w:numId="30">
    <w:abstractNumId w:val="50"/>
  </w:num>
  <w:num w:numId="31">
    <w:abstractNumId w:val="40"/>
  </w:num>
  <w:num w:numId="32">
    <w:abstractNumId w:val="37"/>
  </w:num>
  <w:num w:numId="33">
    <w:abstractNumId w:val="8"/>
  </w:num>
  <w:num w:numId="34">
    <w:abstractNumId w:val="26"/>
  </w:num>
  <w:num w:numId="35">
    <w:abstractNumId w:val="25"/>
  </w:num>
  <w:num w:numId="36">
    <w:abstractNumId w:val="41"/>
  </w:num>
  <w:num w:numId="37">
    <w:abstractNumId w:val="11"/>
  </w:num>
  <w:num w:numId="38">
    <w:abstractNumId w:val="17"/>
  </w:num>
  <w:num w:numId="39">
    <w:abstractNumId w:val="16"/>
  </w:num>
  <w:num w:numId="40">
    <w:abstractNumId w:val="29"/>
  </w:num>
  <w:num w:numId="41">
    <w:abstractNumId w:val="44"/>
  </w:num>
  <w:num w:numId="42">
    <w:abstractNumId w:val="9"/>
  </w:num>
  <w:num w:numId="43">
    <w:abstractNumId w:val="18"/>
  </w:num>
  <w:num w:numId="44">
    <w:abstractNumId w:val="53"/>
  </w:num>
  <w:num w:numId="45">
    <w:abstractNumId w:val="12"/>
  </w:num>
  <w:num w:numId="46">
    <w:abstractNumId w:val="43"/>
  </w:num>
  <w:num w:numId="47">
    <w:abstractNumId w:val="19"/>
  </w:num>
  <w:num w:numId="48">
    <w:abstractNumId w:val="35"/>
  </w:num>
  <w:num w:numId="49">
    <w:abstractNumId w:val="48"/>
  </w:num>
  <w:num w:numId="50">
    <w:abstractNumId w:val="45"/>
  </w:num>
  <w:num w:numId="51">
    <w:abstractNumId w:val="7"/>
  </w:num>
  <w:num w:numId="52">
    <w:abstractNumId w:val="6"/>
  </w:num>
  <w:num w:numId="53">
    <w:abstractNumId w:val="4"/>
  </w:num>
  <w:num w:numId="54">
    <w:abstractNumId w:val="23"/>
  </w:num>
  <w:num w:numId="55">
    <w:abstractNumId w:val="5"/>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TW" w:vendorID="64" w:dllVersion="131077" w:nlCheck="1" w:checkStyle="1"/>
  <w:activeWritingStyle w:appName="MSWord" w:lang="es-AR" w:vendorID="64" w:dllVersion="131078" w:nlCheck="1" w:checkStyle="1"/>
  <w:activeWritingStyle w:appName="MSWord" w:lang="en-HK" w:vendorID="64" w:dllVersion="131078" w:nlCheck="1" w:checkStyle="1"/>
  <w:activeWritingStyle w:appName="MSWord" w:lang="en-CA" w:vendorID="64" w:dllVersion="131078" w:nlCheck="1" w:checkStyle="1"/>
  <w:activeWritingStyle w:appName="MSWord" w:lang="en-NZ"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compressPunctuation"/>
  <w:hdrShapeDefaults>
    <o:shapedefaults v:ext="edit" spidmax="2049"/>
  </w:hdrShapeDefaults>
  <w:footnotePr>
    <w:numStart w:val="49"/>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DC"/>
    <w:rsid w:val="00000825"/>
    <w:rsid w:val="00000C7E"/>
    <w:rsid w:val="000012AC"/>
    <w:rsid w:val="00001AF2"/>
    <w:rsid w:val="00001C6D"/>
    <w:rsid w:val="00001D73"/>
    <w:rsid w:val="00002592"/>
    <w:rsid w:val="00002855"/>
    <w:rsid w:val="00002A2C"/>
    <w:rsid w:val="00002AD1"/>
    <w:rsid w:val="0000315E"/>
    <w:rsid w:val="00004610"/>
    <w:rsid w:val="000046A3"/>
    <w:rsid w:val="000047AF"/>
    <w:rsid w:val="000049C2"/>
    <w:rsid w:val="00004F42"/>
    <w:rsid w:val="00004F45"/>
    <w:rsid w:val="00005278"/>
    <w:rsid w:val="000053E6"/>
    <w:rsid w:val="00005FF2"/>
    <w:rsid w:val="000067DE"/>
    <w:rsid w:val="0000694C"/>
    <w:rsid w:val="00006DA7"/>
    <w:rsid w:val="0000714C"/>
    <w:rsid w:val="000073B6"/>
    <w:rsid w:val="0001039B"/>
    <w:rsid w:val="00010C10"/>
    <w:rsid w:val="0001101D"/>
    <w:rsid w:val="00011615"/>
    <w:rsid w:val="000118E2"/>
    <w:rsid w:val="00011C35"/>
    <w:rsid w:val="000125CD"/>
    <w:rsid w:val="00012ADF"/>
    <w:rsid w:val="000131D7"/>
    <w:rsid w:val="000137C9"/>
    <w:rsid w:val="00013A63"/>
    <w:rsid w:val="0001414E"/>
    <w:rsid w:val="000148E6"/>
    <w:rsid w:val="000150E9"/>
    <w:rsid w:val="000151D9"/>
    <w:rsid w:val="00015654"/>
    <w:rsid w:val="00015845"/>
    <w:rsid w:val="00016111"/>
    <w:rsid w:val="000166DC"/>
    <w:rsid w:val="00017027"/>
    <w:rsid w:val="000170B2"/>
    <w:rsid w:val="0001722B"/>
    <w:rsid w:val="000208C0"/>
    <w:rsid w:val="00020B01"/>
    <w:rsid w:val="00020DC7"/>
    <w:rsid w:val="00020F9C"/>
    <w:rsid w:val="000224B7"/>
    <w:rsid w:val="00022754"/>
    <w:rsid w:val="00022821"/>
    <w:rsid w:val="00023264"/>
    <w:rsid w:val="00023313"/>
    <w:rsid w:val="00023993"/>
    <w:rsid w:val="00023DB0"/>
    <w:rsid w:val="00023F8D"/>
    <w:rsid w:val="000241EB"/>
    <w:rsid w:val="000243ED"/>
    <w:rsid w:val="00025A27"/>
    <w:rsid w:val="00026501"/>
    <w:rsid w:val="0002655F"/>
    <w:rsid w:val="0002672C"/>
    <w:rsid w:val="00026B82"/>
    <w:rsid w:val="00026F31"/>
    <w:rsid w:val="00027395"/>
    <w:rsid w:val="00027417"/>
    <w:rsid w:val="00027A75"/>
    <w:rsid w:val="0003027C"/>
    <w:rsid w:val="00030727"/>
    <w:rsid w:val="00030D04"/>
    <w:rsid w:val="00030D0B"/>
    <w:rsid w:val="00030EE9"/>
    <w:rsid w:val="000311B3"/>
    <w:rsid w:val="00031619"/>
    <w:rsid w:val="00033478"/>
    <w:rsid w:val="00033751"/>
    <w:rsid w:val="00033860"/>
    <w:rsid w:val="00033B2E"/>
    <w:rsid w:val="00034453"/>
    <w:rsid w:val="00034519"/>
    <w:rsid w:val="00034619"/>
    <w:rsid w:val="00034C72"/>
    <w:rsid w:val="00035A07"/>
    <w:rsid w:val="00035C23"/>
    <w:rsid w:val="000361A7"/>
    <w:rsid w:val="00036DE1"/>
    <w:rsid w:val="000375A0"/>
    <w:rsid w:val="00037DD5"/>
    <w:rsid w:val="0004008B"/>
    <w:rsid w:val="000406B5"/>
    <w:rsid w:val="0004080D"/>
    <w:rsid w:val="00041275"/>
    <w:rsid w:val="000418DB"/>
    <w:rsid w:val="00041B93"/>
    <w:rsid w:val="0004218B"/>
    <w:rsid w:val="00042452"/>
    <w:rsid w:val="000424EE"/>
    <w:rsid w:val="0004310A"/>
    <w:rsid w:val="0004312C"/>
    <w:rsid w:val="000431C7"/>
    <w:rsid w:val="000433A0"/>
    <w:rsid w:val="000438C7"/>
    <w:rsid w:val="00043B90"/>
    <w:rsid w:val="00044A1D"/>
    <w:rsid w:val="00044B61"/>
    <w:rsid w:val="00044E17"/>
    <w:rsid w:val="000450CB"/>
    <w:rsid w:val="00045206"/>
    <w:rsid w:val="00045447"/>
    <w:rsid w:val="000455D6"/>
    <w:rsid w:val="000457C0"/>
    <w:rsid w:val="00045D60"/>
    <w:rsid w:val="00045F01"/>
    <w:rsid w:val="000466FE"/>
    <w:rsid w:val="00046F0A"/>
    <w:rsid w:val="00047178"/>
    <w:rsid w:val="000476A1"/>
    <w:rsid w:val="00047D36"/>
    <w:rsid w:val="00047E0A"/>
    <w:rsid w:val="00050147"/>
    <w:rsid w:val="000504D6"/>
    <w:rsid w:val="000509A9"/>
    <w:rsid w:val="00050F4A"/>
    <w:rsid w:val="000513C1"/>
    <w:rsid w:val="000515AD"/>
    <w:rsid w:val="0005161A"/>
    <w:rsid w:val="00051ABD"/>
    <w:rsid w:val="00052042"/>
    <w:rsid w:val="000523E1"/>
    <w:rsid w:val="00052874"/>
    <w:rsid w:val="0005355F"/>
    <w:rsid w:val="000539CF"/>
    <w:rsid w:val="000544B2"/>
    <w:rsid w:val="00054693"/>
    <w:rsid w:val="00054CAC"/>
    <w:rsid w:val="00055320"/>
    <w:rsid w:val="00055B49"/>
    <w:rsid w:val="00057433"/>
    <w:rsid w:val="00057F5B"/>
    <w:rsid w:val="000600E9"/>
    <w:rsid w:val="0006063F"/>
    <w:rsid w:val="00060738"/>
    <w:rsid w:val="000615FF"/>
    <w:rsid w:val="000620C4"/>
    <w:rsid w:val="000623DA"/>
    <w:rsid w:val="00062CA1"/>
    <w:rsid w:val="000630A7"/>
    <w:rsid w:val="00063525"/>
    <w:rsid w:val="00063A33"/>
    <w:rsid w:val="00063E5F"/>
    <w:rsid w:val="00063E90"/>
    <w:rsid w:val="000641DF"/>
    <w:rsid w:val="00064A9D"/>
    <w:rsid w:val="00064C5F"/>
    <w:rsid w:val="00064E96"/>
    <w:rsid w:val="00065ABE"/>
    <w:rsid w:val="00065EDF"/>
    <w:rsid w:val="00066BED"/>
    <w:rsid w:val="00067F50"/>
    <w:rsid w:val="000703B3"/>
    <w:rsid w:val="000709D2"/>
    <w:rsid w:val="0007179A"/>
    <w:rsid w:val="00071C3B"/>
    <w:rsid w:val="000720F2"/>
    <w:rsid w:val="00073146"/>
    <w:rsid w:val="0007322E"/>
    <w:rsid w:val="00073314"/>
    <w:rsid w:val="000735CD"/>
    <w:rsid w:val="00073F5B"/>
    <w:rsid w:val="000748E8"/>
    <w:rsid w:val="00074F42"/>
    <w:rsid w:val="000758F0"/>
    <w:rsid w:val="00075FA9"/>
    <w:rsid w:val="00076B8D"/>
    <w:rsid w:val="00076C78"/>
    <w:rsid w:val="000776EB"/>
    <w:rsid w:val="00080775"/>
    <w:rsid w:val="000829C8"/>
    <w:rsid w:val="00083394"/>
    <w:rsid w:val="000833F3"/>
    <w:rsid w:val="00083462"/>
    <w:rsid w:val="00083A0E"/>
    <w:rsid w:val="00084909"/>
    <w:rsid w:val="00084B43"/>
    <w:rsid w:val="00084F23"/>
    <w:rsid w:val="0008506B"/>
    <w:rsid w:val="000850A8"/>
    <w:rsid w:val="0008529F"/>
    <w:rsid w:val="00085DF3"/>
    <w:rsid w:val="00086588"/>
    <w:rsid w:val="000869C2"/>
    <w:rsid w:val="00086BF5"/>
    <w:rsid w:val="00086F79"/>
    <w:rsid w:val="00087026"/>
    <w:rsid w:val="000870DB"/>
    <w:rsid w:val="0008764E"/>
    <w:rsid w:val="000878B9"/>
    <w:rsid w:val="00087EAC"/>
    <w:rsid w:val="0009014D"/>
    <w:rsid w:val="00090AD0"/>
    <w:rsid w:val="00090C82"/>
    <w:rsid w:val="000912DC"/>
    <w:rsid w:val="0009137F"/>
    <w:rsid w:val="0009163F"/>
    <w:rsid w:val="00091E41"/>
    <w:rsid w:val="000927F2"/>
    <w:rsid w:val="000929D7"/>
    <w:rsid w:val="00093003"/>
    <w:rsid w:val="0009361E"/>
    <w:rsid w:val="00093848"/>
    <w:rsid w:val="000940F1"/>
    <w:rsid w:val="0009417A"/>
    <w:rsid w:val="00095760"/>
    <w:rsid w:val="00096188"/>
    <w:rsid w:val="00096CA9"/>
    <w:rsid w:val="00096CAF"/>
    <w:rsid w:val="00096F88"/>
    <w:rsid w:val="0009717C"/>
    <w:rsid w:val="0009782F"/>
    <w:rsid w:val="00097843"/>
    <w:rsid w:val="00097B57"/>
    <w:rsid w:val="000A0059"/>
    <w:rsid w:val="000A014C"/>
    <w:rsid w:val="000A01D6"/>
    <w:rsid w:val="000A01EA"/>
    <w:rsid w:val="000A0595"/>
    <w:rsid w:val="000A0655"/>
    <w:rsid w:val="000A1117"/>
    <w:rsid w:val="000A14E3"/>
    <w:rsid w:val="000A1699"/>
    <w:rsid w:val="000A178A"/>
    <w:rsid w:val="000A17EA"/>
    <w:rsid w:val="000A1800"/>
    <w:rsid w:val="000A1C98"/>
    <w:rsid w:val="000A254B"/>
    <w:rsid w:val="000A2894"/>
    <w:rsid w:val="000A2C7B"/>
    <w:rsid w:val="000A3452"/>
    <w:rsid w:val="000A3488"/>
    <w:rsid w:val="000A42FB"/>
    <w:rsid w:val="000A469A"/>
    <w:rsid w:val="000A4BD2"/>
    <w:rsid w:val="000A6243"/>
    <w:rsid w:val="000A696C"/>
    <w:rsid w:val="000A7CB6"/>
    <w:rsid w:val="000A7F7D"/>
    <w:rsid w:val="000B002B"/>
    <w:rsid w:val="000B0904"/>
    <w:rsid w:val="000B0B28"/>
    <w:rsid w:val="000B0E08"/>
    <w:rsid w:val="000B0F03"/>
    <w:rsid w:val="000B16F6"/>
    <w:rsid w:val="000B1EF4"/>
    <w:rsid w:val="000B2138"/>
    <w:rsid w:val="000B241B"/>
    <w:rsid w:val="000B2564"/>
    <w:rsid w:val="000B2D46"/>
    <w:rsid w:val="000B34C9"/>
    <w:rsid w:val="000B3D51"/>
    <w:rsid w:val="000B4284"/>
    <w:rsid w:val="000B43DE"/>
    <w:rsid w:val="000B4B12"/>
    <w:rsid w:val="000B53E8"/>
    <w:rsid w:val="000B5E93"/>
    <w:rsid w:val="000B6259"/>
    <w:rsid w:val="000B673C"/>
    <w:rsid w:val="000B6BA2"/>
    <w:rsid w:val="000B6F7D"/>
    <w:rsid w:val="000B7157"/>
    <w:rsid w:val="000B721C"/>
    <w:rsid w:val="000B744F"/>
    <w:rsid w:val="000B772E"/>
    <w:rsid w:val="000B7937"/>
    <w:rsid w:val="000B7FCF"/>
    <w:rsid w:val="000C088C"/>
    <w:rsid w:val="000C0F6C"/>
    <w:rsid w:val="000C0F6E"/>
    <w:rsid w:val="000C111B"/>
    <w:rsid w:val="000C1171"/>
    <w:rsid w:val="000C18C2"/>
    <w:rsid w:val="000C2424"/>
    <w:rsid w:val="000C25E7"/>
    <w:rsid w:val="000C377E"/>
    <w:rsid w:val="000C3C2C"/>
    <w:rsid w:val="000C3C89"/>
    <w:rsid w:val="000C4366"/>
    <w:rsid w:val="000C4517"/>
    <w:rsid w:val="000C4AC0"/>
    <w:rsid w:val="000C4B41"/>
    <w:rsid w:val="000C4B98"/>
    <w:rsid w:val="000C512E"/>
    <w:rsid w:val="000C57A2"/>
    <w:rsid w:val="000C5877"/>
    <w:rsid w:val="000C5B62"/>
    <w:rsid w:val="000C6137"/>
    <w:rsid w:val="000C7071"/>
    <w:rsid w:val="000C717A"/>
    <w:rsid w:val="000C7182"/>
    <w:rsid w:val="000C755C"/>
    <w:rsid w:val="000C7721"/>
    <w:rsid w:val="000C7868"/>
    <w:rsid w:val="000C7918"/>
    <w:rsid w:val="000C7B90"/>
    <w:rsid w:val="000C7DEC"/>
    <w:rsid w:val="000D0527"/>
    <w:rsid w:val="000D0AC9"/>
    <w:rsid w:val="000D0FBA"/>
    <w:rsid w:val="000D14E4"/>
    <w:rsid w:val="000D1DF3"/>
    <w:rsid w:val="000D2A43"/>
    <w:rsid w:val="000D2C97"/>
    <w:rsid w:val="000D2D39"/>
    <w:rsid w:val="000D32E0"/>
    <w:rsid w:val="000D34F7"/>
    <w:rsid w:val="000D3B43"/>
    <w:rsid w:val="000D3F2F"/>
    <w:rsid w:val="000D4440"/>
    <w:rsid w:val="000D4601"/>
    <w:rsid w:val="000D4712"/>
    <w:rsid w:val="000D4A92"/>
    <w:rsid w:val="000D4DCC"/>
    <w:rsid w:val="000D57AC"/>
    <w:rsid w:val="000D5E5A"/>
    <w:rsid w:val="000D6A76"/>
    <w:rsid w:val="000D6BC8"/>
    <w:rsid w:val="000D787E"/>
    <w:rsid w:val="000D7A42"/>
    <w:rsid w:val="000D7C70"/>
    <w:rsid w:val="000E022E"/>
    <w:rsid w:val="000E02AD"/>
    <w:rsid w:val="000E0556"/>
    <w:rsid w:val="000E0694"/>
    <w:rsid w:val="000E0F6A"/>
    <w:rsid w:val="000E1E2B"/>
    <w:rsid w:val="000E22E4"/>
    <w:rsid w:val="000E2A0B"/>
    <w:rsid w:val="000E3FFF"/>
    <w:rsid w:val="000E4620"/>
    <w:rsid w:val="000E47EB"/>
    <w:rsid w:val="000E5723"/>
    <w:rsid w:val="000E581A"/>
    <w:rsid w:val="000E582D"/>
    <w:rsid w:val="000E5C78"/>
    <w:rsid w:val="000E617E"/>
    <w:rsid w:val="000E65A1"/>
    <w:rsid w:val="000E66AE"/>
    <w:rsid w:val="000E69CC"/>
    <w:rsid w:val="000E79D6"/>
    <w:rsid w:val="000F01F7"/>
    <w:rsid w:val="000F0491"/>
    <w:rsid w:val="000F26D0"/>
    <w:rsid w:val="000F2B29"/>
    <w:rsid w:val="000F2BB3"/>
    <w:rsid w:val="000F334A"/>
    <w:rsid w:val="000F3F94"/>
    <w:rsid w:val="000F4127"/>
    <w:rsid w:val="000F45EA"/>
    <w:rsid w:val="000F4643"/>
    <w:rsid w:val="000F4AE1"/>
    <w:rsid w:val="000F521B"/>
    <w:rsid w:val="000F65C4"/>
    <w:rsid w:val="000F6A3C"/>
    <w:rsid w:val="000F6E2B"/>
    <w:rsid w:val="000F75ED"/>
    <w:rsid w:val="00100042"/>
    <w:rsid w:val="001001CF"/>
    <w:rsid w:val="00100479"/>
    <w:rsid w:val="0010072A"/>
    <w:rsid w:val="00100947"/>
    <w:rsid w:val="00100AD4"/>
    <w:rsid w:val="00100DA9"/>
    <w:rsid w:val="00100F32"/>
    <w:rsid w:val="00101697"/>
    <w:rsid w:val="001023D3"/>
    <w:rsid w:val="00102492"/>
    <w:rsid w:val="001026F0"/>
    <w:rsid w:val="00102B7A"/>
    <w:rsid w:val="0010316A"/>
    <w:rsid w:val="00103206"/>
    <w:rsid w:val="0010395D"/>
    <w:rsid w:val="001039B8"/>
    <w:rsid w:val="00103D4E"/>
    <w:rsid w:val="00103F6D"/>
    <w:rsid w:val="00104E0D"/>
    <w:rsid w:val="00106756"/>
    <w:rsid w:val="00106816"/>
    <w:rsid w:val="00106B34"/>
    <w:rsid w:val="0010720C"/>
    <w:rsid w:val="00107584"/>
    <w:rsid w:val="0010776A"/>
    <w:rsid w:val="00107A65"/>
    <w:rsid w:val="00107A66"/>
    <w:rsid w:val="001104DA"/>
    <w:rsid w:val="0011054A"/>
    <w:rsid w:val="00110BDD"/>
    <w:rsid w:val="00111ED1"/>
    <w:rsid w:val="001125B9"/>
    <w:rsid w:val="00112E17"/>
    <w:rsid w:val="00112EDA"/>
    <w:rsid w:val="0011353E"/>
    <w:rsid w:val="001135B8"/>
    <w:rsid w:val="00113AAE"/>
    <w:rsid w:val="00113CCC"/>
    <w:rsid w:val="00113CF6"/>
    <w:rsid w:val="00114436"/>
    <w:rsid w:val="001146A7"/>
    <w:rsid w:val="001151EC"/>
    <w:rsid w:val="001153F4"/>
    <w:rsid w:val="00117400"/>
    <w:rsid w:val="00117A6A"/>
    <w:rsid w:val="00117A73"/>
    <w:rsid w:val="00117BE2"/>
    <w:rsid w:val="001200DA"/>
    <w:rsid w:val="0012046F"/>
    <w:rsid w:val="001206EA"/>
    <w:rsid w:val="00121131"/>
    <w:rsid w:val="00121460"/>
    <w:rsid w:val="001215D4"/>
    <w:rsid w:val="00121E02"/>
    <w:rsid w:val="00121EC1"/>
    <w:rsid w:val="001222B3"/>
    <w:rsid w:val="001227A6"/>
    <w:rsid w:val="00122B04"/>
    <w:rsid w:val="00123D44"/>
    <w:rsid w:val="0012499D"/>
    <w:rsid w:val="00124E8F"/>
    <w:rsid w:val="001253EC"/>
    <w:rsid w:val="00125E74"/>
    <w:rsid w:val="00125F55"/>
    <w:rsid w:val="00125F58"/>
    <w:rsid w:val="00125FBF"/>
    <w:rsid w:val="00126949"/>
    <w:rsid w:val="00126A6B"/>
    <w:rsid w:val="00127034"/>
    <w:rsid w:val="001271EB"/>
    <w:rsid w:val="001275C5"/>
    <w:rsid w:val="00127A4C"/>
    <w:rsid w:val="00127D11"/>
    <w:rsid w:val="00127D8A"/>
    <w:rsid w:val="00130101"/>
    <w:rsid w:val="0013031D"/>
    <w:rsid w:val="001307F6"/>
    <w:rsid w:val="00130D2D"/>
    <w:rsid w:val="001318C8"/>
    <w:rsid w:val="00131FA1"/>
    <w:rsid w:val="00132269"/>
    <w:rsid w:val="001329B4"/>
    <w:rsid w:val="00132E49"/>
    <w:rsid w:val="00133682"/>
    <w:rsid w:val="00133853"/>
    <w:rsid w:val="00134339"/>
    <w:rsid w:val="0013487A"/>
    <w:rsid w:val="001356A3"/>
    <w:rsid w:val="00135A31"/>
    <w:rsid w:val="001361AC"/>
    <w:rsid w:val="00136393"/>
    <w:rsid w:val="001364CC"/>
    <w:rsid w:val="0013660E"/>
    <w:rsid w:val="00136B8C"/>
    <w:rsid w:val="001404DB"/>
    <w:rsid w:val="0014064C"/>
    <w:rsid w:val="00141121"/>
    <w:rsid w:val="00141604"/>
    <w:rsid w:val="00141833"/>
    <w:rsid w:val="00142056"/>
    <w:rsid w:val="00142309"/>
    <w:rsid w:val="0014234B"/>
    <w:rsid w:val="0014283F"/>
    <w:rsid w:val="00142904"/>
    <w:rsid w:val="00142EE6"/>
    <w:rsid w:val="00143D5F"/>
    <w:rsid w:val="001440E0"/>
    <w:rsid w:val="001444A2"/>
    <w:rsid w:val="00144698"/>
    <w:rsid w:val="00144E35"/>
    <w:rsid w:val="00144E74"/>
    <w:rsid w:val="00145372"/>
    <w:rsid w:val="001454CC"/>
    <w:rsid w:val="00145864"/>
    <w:rsid w:val="0014622C"/>
    <w:rsid w:val="001503EA"/>
    <w:rsid w:val="00150642"/>
    <w:rsid w:val="001509AD"/>
    <w:rsid w:val="001509F9"/>
    <w:rsid w:val="00150C4F"/>
    <w:rsid w:val="00151752"/>
    <w:rsid w:val="00151A75"/>
    <w:rsid w:val="00151F31"/>
    <w:rsid w:val="00152D3C"/>
    <w:rsid w:val="00153026"/>
    <w:rsid w:val="00153E74"/>
    <w:rsid w:val="0015419B"/>
    <w:rsid w:val="001547AA"/>
    <w:rsid w:val="00154AD7"/>
    <w:rsid w:val="00154B01"/>
    <w:rsid w:val="00154C0C"/>
    <w:rsid w:val="00154F81"/>
    <w:rsid w:val="00155394"/>
    <w:rsid w:val="00155A45"/>
    <w:rsid w:val="00155C82"/>
    <w:rsid w:val="0015752E"/>
    <w:rsid w:val="0015783C"/>
    <w:rsid w:val="00157986"/>
    <w:rsid w:val="00157A97"/>
    <w:rsid w:val="00157D78"/>
    <w:rsid w:val="00161277"/>
    <w:rsid w:val="001619AC"/>
    <w:rsid w:val="00161EAC"/>
    <w:rsid w:val="00162970"/>
    <w:rsid w:val="00163362"/>
    <w:rsid w:val="00163F87"/>
    <w:rsid w:val="00164262"/>
    <w:rsid w:val="00164445"/>
    <w:rsid w:val="0016479B"/>
    <w:rsid w:val="00164C85"/>
    <w:rsid w:val="00164E98"/>
    <w:rsid w:val="001653D7"/>
    <w:rsid w:val="0016583D"/>
    <w:rsid w:val="00165AE0"/>
    <w:rsid w:val="00165C48"/>
    <w:rsid w:val="001665E0"/>
    <w:rsid w:val="001666F9"/>
    <w:rsid w:val="00166766"/>
    <w:rsid w:val="00166973"/>
    <w:rsid w:val="00166E6A"/>
    <w:rsid w:val="00167129"/>
    <w:rsid w:val="001672E9"/>
    <w:rsid w:val="0016767B"/>
    <w:rsid w:val="00167D8B"/>
    <w:rsid w:val="00167F35"/>
    <w:rsid w:val="001705B2"/>
    <w:rsid w:val="00170C08"/>
    <w:rsid w:val="00170E79"/>
    <w:rsid w:val="00171AD4"/>
    <w:rsid w:val="00171F40"/>
    <w:rsid w:val="00172713"/>
    <w:rsid w:val="0017280C"/>
    <w:rsid w:val="00172B57"/>
    <w:rsid w:val="00173405"/>
    <w:rsid w:val="001739B6"/>
    <w:rsid w:val="0017467E"/>
    <w:rsid w:val="00174FC7"/>
    <w:rsid w:val="0017536F"/>
    <w:rsid w:val="00175D44"/>
    <w:rsid w:val="00176082"/>
    <w:rsid w:val="00176352"/>
    <w:rsid w:val="001766A4"/>
    <w:rsid w:val="00176808"/>
    <w:rsid w:val="00176AE5"/>
    <w:rsid w:val="00176BCD"/>
    <w:rsid w:val="00176DD6"/>
    <w:rsid w:val="0018028B"/>
    <w:rsid w:val="00180920"/>
    <w:rsid w:val="00180C16"/>
    <w:rsid w:val="001812B4"/>
    <w:rsid w:val="0018159D"/>
    <w:rsid w:val="0018163E"/>
    <w:rsid w:val="001816FC"/>
    <w:rsid w:val="0018181F"/>
    <w:rsid w:val="00181B6F"/>
    <w:rsid w:val="00181D1D"/>
    <w:rsid w:val="00181EBD"/>
    <w:rsid w:val="00182B8D"/>
    <w:rsid w:val="00182E85"/>
    <w:rsid w:val="0018342A"/>
    <w:rsid w:val="0018442F"/>
    <w:rsid w:val="001845CC"/>
    <w:rsid w:val="00184702"/>
    <w:rsid w:val="00184984"/>
    <w:rsid w:val="00185A02"/>
    <w:rsid w:val="00185BCE"/>
    <w:rsid w:val="00185DD5"/>
    <w:rsid w:val="0018640A"/>
    <w:rsid w:val="001868A6"/>
    <w:rsid w:val="0018718F"/>
    <w:rsid w:val="00187773"/>
    <w:rsid w:val="00187810"/>
    <w:rsid w:val="00187E19"/>
    <w:rsid w:val="0019076E"/>
    <w:rsid w:val="001908F5"/>
    <w:rsid w:val="00190BEE"/>
    <w:rsid w:val="00190CC9"/>
    <w:rsid w:val="00191071"/>
    <w:rsid w:val="00191373"/>
    <w:rsid w:val="00191651"/>
    <w:rsid w:val="001933CF"/>
    <w:rsid w:val="00194FE9"/>
    <w:rsid w:val="0019510F"/>
    <w:rsid w:val="0019530D"/>
    <w:rsid w:val="001954A8"/>
    <w:rsid w:val="00195931"/>
    <w:rsid w:val="00195F14"/>
    <w:rsid w:val="001966F4"/>
    <w:rsid w:val="001968F5"/>
    <w:rsid w:val="00196EEE"/>
    <w:rsid w:val="0019709B"/>
    <w:rsid w:val="001975B7"/>
    <w:rsid w:val="00197B52"/>
    <w:rsid w:val="001A02BD"/>
    <w:rsid w:val="001A0BE2"/>
    <w:rsid w:val="001A1E91"/>
    <w:rsid w:val="001A21FA"/>
    <w:rsid w:val="001A230F"/>
    <w:rsid w:val="001A2604"/>
    <w:rsid w:val="001A2EC1"/>
    <w:rsid w:val="001A38E4"/>
    <w:rsid w:val="001A397A"/>
    <w:rsid w:val="001A4588"/>
    <w:rsid w:val="001A4948"/>
    <w:rsid w:val="001A4C3F"/>
    <w:rsid w:val="001A4E23"/>
    <w:rsid w:val="001A4E32"/>
    <w:rsid w:val="001A504F"/>
    <w:rsid w:val="001A58D6"/>
    <w:rsid w:val="001A64C3"/>
    <w:rsid w:val="001A6F6E"/>
    <w:rsid w:val="001A7C1A"/>
    <w:rsid w:val="001A7C2D"/>
    <w:rsid w:val="001B0159"/>
    <w:rsid w:val="001B01D2"/>
    <w:rsid w:val="001B0648"/>
    <w:rsid w:val="001B0694"/>
    <w:rsid w:val="001B0A4A"/>
    <w:rsid w:val="001B1804"/>
    <w:rsid w:val="001B2112"/>
    <w:rsid w:val="001B238F"/>
    <w:rsid w:val="001B2CDA"/>
    <w:rsid w:val="001B3567"/>
    <w:rsid w:val="001B3C98"/>
    <w:rsid w:val="001B416E"/>
    <w:rsid w:val="001B43EA"/>
    <w:rsid w:val="001B4495"/>
    <w:rsid w:val="001B4715"/>
    <w:rsid w:val="001B488C"/>
    <w:rsid w:val="001B517D"/>
    <w:rsid w:val="001B55B2"/>
    <w:rsid w:val="001B576E"/>
    <w:rsid w:val="001B5A7D"/>
    <w:rsid w:val="001B63A6"/>
    <w:rsid w:val="001B6C21"/>
    <w:rsid w:val="001B70A6"/>
    <w:rsid w:val="001B78CC"/>
    <w:rsid w:val="001B78F2"/>
    <w:rsid w:val="001B7DDA"/>
    <w:rsid w:val="001B7FBC"/>
    <w:rsid w:val="001B7FCC"/>
    <w:rsid w:val="001C0460"/>
    <w:rsid w:val="001C060F"/>
    <w:rsid w:val="001C08E8"/>
    <w:rsid w:val="001C097D"/>
    <w:rsid w:val="001C0E6E"/>
    <w:rsid w:val="001C12AE"/>
    <w:rsid w:val="001C13F4"/>
    <w:rsid w:val="001C15F3"/>
    <w:rsid w:val="001C1916"/>
    <w:rsid w:val="001C1A21"/>
    <w:rsid w:val="001C2F60"/>
    <w:rsid w:val="001C362B"/>
    <w:rsid w:val="001C3B8A"/>
    <w:rsid w:val="001C4069"/>
    <w:rsid w:val="001C407C"/>
    <w:rsid w:val="001C4406"/>
    <w:rsid w:val="001C4421"/>
    <w:rsid w:val="001C452C"/>
    <w:rsid w:val="001C50EE"/>
    <w:rsid w:val="001C5109"/>
    <w:rsid w:val="001C5C0C"/>
    <w:rsid w:val="001C5E53"/>
    <w:rsid w:val="001C6163"/>
    <w:rsid w:val="001C6302"/>
    <w:rsid w:val="001C68E2"/>
    <w:rsid w:val="001C6BBB"/>
    <w:rsid w:val="001C71BB"/>
    <w:rsid w:val="001C72E6"/>
    <w:rsid w:val="001C78A0"/>
    <w:rsid w:val="001C7A22"/>
    <w:rsid w:val="001C7B25"/>
    <w:rsid w:val="001D023B"/>
    <w:rsid w:val="001D052E"/>
    <w:rsid w:val="001D1303"/>
    <w:rsid w:val="001D2131"/>
    <w:rsid w:val="001D21F2"/>
    <w:rsid w:val="001D224E"/>
    <w:rsid w:val="001D33B0"/>
    <w:rsid w:val="001D387E"/>
    <w:rsid w:val="001D41F7"/>
    <w:rsid w:val="001D4F6B"/>
    <w:rsid w:val="001D5204"/>
    <w:rsid w:val="001D52FF"/>
    <w:rsid w:val="001D55C5"/>
    <w:rsid w:val="001D5A53"/>
    <w:rsid w:val="001D5D86"/>
    <w:rsid w:val="001D5E1D"/>
    <w:rsid w:val="001D6084"/>
    <w:rsid w:val="001D6490"/>
    <w:rsid w:val="001D68B6"/>
    <w:rsid w:val="001D69AC"/>
    <w:rsid w:val="001D6A41"/>
    <w:rsid w:val="001D726E"/>
    <w:rsid w:val="001D78D9"/>
    <w:rsid w:val="001E1360"/>
    <w:rsid w:val="001E1C5C"/>
    <w:rsid w:val="001E27E2"/>
    <w:rsid w:val="001E2BFF"/>
    <w:rsid w:val="001E2DFC"/>
    <w:rsid w:val="001E2F61"/>
    <w:rsid w:val="001E2F86"/>
    <w:rsid w:val="001E320C"/>
    <w:rsid w:val="001E3385"/>
    <w:rsid w:val="001E3E1B"/>
    <w:rsid w:val="001E43AE"/>
    <w:rsid w:val="001E4CD0"/>
    <w:rsid w:val="001E51A2"/>
    <w:rsid w:val="001E567A"/>
    <w:rsid w:val="001E591B"/>
    <w:rsid w:val="001E611D"/>
    <w:rsid w:val="001E62B0"/>
    <w:rsid w:val="001E66A2"/>
    <w:rsid w:val="001E699A"/>
    <w:rsid w:val="001E778C"/>
    <w:rsid w:val="001E7997"/>
    <w:rsid w:val="001E7E4C"/>
    <w:rsid w:val="001F0054"/>
    <w:rsid w:val="001F036F"/>
    <w:rsid w:val="001F07E9"/>
    <w:rsid w:val="001F07ED"/>
    <w:rsid w:val="001F0E46"/>
    <w:rsid w:val="001F0E93"/>
    <w:rsid w:val="001F1354"/>
    <w:rsid w:val="001F148A"/>
    <w:rsid w:val="001F18F0"/>
    <w:rsid w:val="001F196A"/>
    <w:rsid w:val="001F206D"/>
    <w:rsid w:val="001F2D38"/>
    <w:rsid w:val="001F331A"/>
    <w:rsid w:val="001F3D5A"/>
    <w:rsid w:val="001F45B2"/>
    <w:rsid w:val="001F45BA"/>
    <w:rsid w:val="001F470A"/>
    <w:rsid w:val="001F4C44"/>
    <w:rsid w:val="001F4DDD"/>
    <w:rsid w:val="001F5A39"/>
    <w:rsid w:val="001F5DFB"/>
    <w:rsid w:val="001F66B3"/>
    <w:rsid w:val="001F6711"/>
    <w:rsid w:val="001F7D94"/>
    <w:rsid w:val="0020007F"/>
    <w:rsid w:val="00200325"/>
    <w:rsid w:val="00200FDC"/>
    <w:rsid w:val="00201AE0"/>
    <w:rsid w:val="00201F6F"/>
    <w:rsid w:val="00202BAC"/>
    <w:rsid w:val="00202E77"/>
    <w:rsid w:val="002037D1"/>
    <w:rsid w:val="002037E0"/>
    <w:rsid w:val="00204806"/>
    <w:rsid w:val="0020489A"/>
    <w:rsid w:val="00204AB7"/>
    <w:rsid w:val="00204BD6"/>
    <w:rsid w:val="00204CDE"/>
    <w:rsid w:val="00205CBB"/>
    <w:rsid w:val="00205D44"/>
    <w:rsid w:val="00206633"/>
    <w:rsid w:val="00206783"/>
    <w:rsid w:val="00206D9F"/>
    <w:rsid w:val="00207177"/>
    <w:rsid w:val="00207695"/>
    <w:rsid w:val="00207EAF"/>
    <w:rsid w:val="00210387"/>
    <w:rsid w:val="00210E73"/>
    <w:rsid w:val="0021102B"/>
    <w:rsid w:val="00211168"/>
    <w:rsid w:val="0021153F"/>
    <w:rsid w:val="002115D6"/>
    <w:rsid w:val="0021164A"/>
    <w:rsid w:val="00211751"/>
    <w:rsid w:val="00211B71"/>
    <w:rsid w:val="00212169"/>
    <w:rsid w:val="0021254B"/>
    <w:rsid w:val="00213241"/>
    <w:rsid w:val="00213C8E"/>
    <w:rsid w:val="002140EE"/>
    <w:rsid w:val="00214777"/>
    <w:rsid w:val="00214E69"/>
    <w:rsid w:val="002150DC"/>
    <w:rsid w:val="00215172"/>
    <w:rsid w:val="002156CB"/>
    <w:rsid w:val="00215715"/>
    <w:rsid w:val="002158F3"/>
    <w:rsid w:val="00216AEC"/>
    <w:rsid w:val="00216CB6"/>
    <w:rsid w:val="00216F37"/>
    <w:rsid w:val="0021706D"/>
    <w:rsid w:val="002176D2"/>
    <w:rsid w:val="0022047F"/>
    <w:rsid w:val="0022052B"/>
    <w:rsid w:val="00220595"/>
    <w:rsid w:val="00220AD5"/>
    <w:rsid w:val="00220CA5"/>
    <w:rsid w:val="002216FC"/>
    <w:rsid w:val="0022208F"/>
    <w:rsid w:val="00222579"/>
    <w:rsid w:val="0022257E"/>
    <w:rsid w:val="00222793"/>
    <w:rsid w:val="00222F33"/>
    <w:rsid w:val="00223962"/>
    <w:rsid w:val="00224681"/>
    <w:rsid w:val="00224F53"/>
    <w:rsid w:val="00225523"/>
    <w:rsid w:val="0022583C"/>
    <w:rsid w:val="0022644F"/>
    <w:rsid w:val="00226601"/>
    <w:rsid w:val="00226816"/>
    <w:rsid w:val="00226E33"/>
    <w:rsid w:val="00227277"/>
    <w:rsid w:val="00227A6C"/>
    <w:rsid w:val="00227E91"/>
    <w:rsid w:val="00227F5A"/>
    <w:rsid w:val="002306CC"/>
    <w:rsid w:val="0023098F"/>
    <w:rsid w:val="00230C7A"/>
    <w:rsid w:val="00230CE3"/>
    <w:rsid w:val="00230D45"/>
    <w:rsid w:val="002312DC"/>
    <w:rsid w:val="0023166C"/>
    <w:rsid w:val="002316EC"/>
    <w:rsid w:val="00231EC3"/>
    <w:rsid w:val="00232691"/>
    <w:rsid w:val="002326B4"/>
    <w:rsid w:val="00232C35"/>
    <w:rsid w:val="00232CBE"/>
    <w:rsid w:val="00232D82"/>
    <w:rsid w:val="0023301E"/>
    <w:rsid w:val="00233519"/>
    <w:rsid w:val="0023382D"/>
    <w:rsid w:val="00233F7B"/>
    <w:rsid w:val="00234FAE"/>
    <w:rsid w:val="00236262"/>
    <w:rsid w:val="0024147D"/>
    <w:rsid w:val="0024197D"/>
    <w:rsid w:val="00242830"/>
    <w:rsid w:val="00242CA1"/>
    <w:rsid w:val="0024350F"/>
    <w:rsid w:val="00244355"/>
    <w:rsid w:val="00244AAB"/>
    <w:rsid w:val="002460FC"/>
    <w:rsid w:val="002473BC"/>
    <w:rsid w:val="00250114"/>
    <w:rsid w:val="00250295"/>
    <w:rsid w:val="00250BB9"/>
    <w:rsid w:val="002512B9"/>
    <w:rsid w:val="002513E5"/>
    <w:rsid w:val="002518BE"/>
    <w:rsid w:val="00251E11"/>
    <w:rsid w:val="0025207C"/>
    <w:rsid w:val="00252551"/>
    <w:rsid w:val="00252E63"/>
    <w:rsid w:val="0025304B"/>
    <w:rsid w:val="0025308C"/>
    <w:rsid w:val="002535D5"/>
    <w:rsid w:val="00253B3C"/>
    <w:rsid w:val="00254537"/>
    <w:rsid w:val="00254C58"/>
    <w:rsid w:val="00254DF6"/>
    <w:rsid w:val="0025583A"/>
    <w:rsid w:val="00256234"/>
    <w:rsid w:val="00256315"/>
    <w:rsid w:val="0025652E"/>
    <w:rsid w:val="002576CB"/>
    <w:rsid w:val="00257F1F"/>
    <w:rsid w:val="002600F2"/>
    <w:rsid w:val="0026061E"/>
    <w:rsid w:val="0026147D"/>
    <w:rsid w:val="002615D9"/>
    <w:rsid w:val="00261A7E"/>
    <w:rsid w:val="002620CF"/>
    <w:rsid w:val="00262583"/>
    <w:rsid w:val="002625BF"/>
    <w:rsid w:val="00262930"/>
    <w:rsid w:val="00262BD7"/>
    <w:rsid w:val="00262CC2"/>
    <w:rsid w:val="002630AD"/>
    <w:rsid w:val="00263569"/>
    <w:rsid w:val="002635DE"/>
    <w:rsid w:val="00263648"/>
    <w:rsid w:val="00263B50"/>
    <w:rsid w:val="0026423A"/>
    <w:rsid w:val="002646FF"/>
    <w:rsid w:val="002647D7"/>
    <w:rsid w:val="00265C2F"/>
    <w:rsid w:val="00265C9A"/>
    <w:rsid w:val="00265FB2"/>
    <w:rsid w:val="00266B0C"/>
    <w:rsid w:val="00266B54"/>
    <w:rsid w:val="00266D7D"/>
    <w:rsid w:val="00266E16"/>
    <w:rsid w:val="0026732E"/>
    <w:rsid w:val="002677F8"/>
    <w:rsid w:val="00267C35"/>
    <w:rsid w:val="0027071D"/>
    <w:rsid w:val="00270DFC"/>
    <w:rsid w:val="00271139"/>
    <w:rsid w:val="00272252"/>
    <w:rsid w:val="002725EA"/>
    <w:rsid w:val="0027265C"/>
    <w:rsid w:val="00272909"/>
    <w:rsid w:val="00273846"/>
    <w:rsid w:val="00274366"/>
    <w:rsid w:val="002743B1"/>
    <w:rsid w:val="00274656"/>
    <w:rsid w:val="00274CC0"/>
    <w:rsid w:val="002759ED"/>
    <w:rsid w:val="00276431"/>
    <w:rsid w:val="00276438"/>
    <w:rsid w:val="00276560"/>
    <w:rsid w:val="00276690"/>
    <w:rsid w:val="0027677D"/>
    <w:rsid w:val="00277808"/>
    <w:rsid w:val="00277A73"/>
    <w:rsid w:val="00280518"/>
    <w:rsid w:val="00280A2E"/>
    <w:rsid w:val="00280BD4"/>
    <w:rsid w:val="00281816"/>
    <w:rsid w:val="00281BC8"/>
    <w:rsid w:val="00282284"/>
    <w:rsid w:val="00282CBC"/>
    <w:rsid w:val="002832BF"/>
    <w:rsid w:val="00283412"/>
    <w:rsid w:val="002834E7"/>
    <w:rsid w:val="0028392F"/>
    <w:rsid w:val="00283AF7"/>
    <w:rsid w:val="00283C70"/>
    <w:rsid w:val="00283CD3"/>
    <w:rsid w:val="00283D71"/>
    <w:rsid w:val="002840C6"/>
    <w:rsid w:val="002844B7"/>
    <w:rsid w:val="002845A0"/>
    <w:rsid w:val="002845C8"/>
    <w:rsid w:val="00284904"/>
    <w:rsid w:val="002852C8"/>
    <w:rsid w:val="002856D0"/>
    <w:rsid w:val="0028584B"/>
    <w:rsid w:val="002863C7"/>
    <w:rsid w:val="00286CCD"/>
    <w:rsid w:val="00287B38"/>
    <w:rsid w:val="00287E80"/>
    <w:rsid w:val="0029069C"/>
    <w:rsid w:val="0029131C"/>
    <w:rsid w:val="00291677"/>
    <w:rsid w:val="0029175F"/>
    <w:rsid w:val="00291ADA"/>
    <w:rsid w:val="002924EA"/>
    <w:rsid w:val="00293A23"/>
    <w:rsid w:val="00293BB4"/>
    <w:rsid w:val="00293C7F"/>
    <w:rsid w:val="00294A08"/>
    <w:rsid w:val="00294A75"/>
    <w:rsid w:val="002953A4"/>
    <w:rsid w:val="0029552C"/>
    <w:rsid w:val="00295E86"/>
    <w:rsid w:val="0029607B"/>
    <w:rsid w:val="0029608B"/>
    <w:rsid w:val="00296184"/>
    <w:rsid w:val="00296B2F"/>
    <w:rsid w:val="002975D2"/>
    <w:rsid w:val="00297D98"/>
    <w:rsid w:val="002A05A2"/>
    <w:rsid w:val="002A094E"/>
    <w:rsid w:val="002A0EA6"/>
    <w:rsid w:val="002A11E5"/>
    <w:rsid w:val="002A13D5"/>
    <w:rsid w:val="002A17C7"/>
    <w:rsid w:val="002A1B85"/>
    <w:rsid w:val="002A3728"/>
    <w:rsid w:val="002A466A"/>
    <w:rsid w:val="002A4CEA"/>
    <w:rsid w:val="002A5559"/>
    <w:rsid w:val="002A5A3F"/>
    <w:rsid w:val="002A5C8D"/>
    <w:rsid w:val="002A66F8"/>
    <w:rsid w:val="002A6C3A"/>
    <w:rsid w:val="002B00CA"/>
    <w:rsid w:val="002B1A1D"/>
    <w:rsid w:val="002B1BA0"/>
    <w:rsid w:val="002B22DC"/>
    <w:rsid w:val="002B2DBB"/>
    <w:rsid w:val="002B2FB9"/>
    <w:rsid w:val="002B31B9"/>
    <w:rsid w:val="002B34FB"/>
    <w:rsid w:val="002B3DF4"/>
    <w:rsid w:val="002B429A"/>
    <w:rsid w:val="002B4CDF"/>
    <w:rsid w:val="002B50FC"/>
    <w:rsid w:val="002B56DA"/>
    <w:rsid w:val="002B6DB2"/>
    <w:rsid w:val="002B71EE"/>
    <w:rsid w:val="002B7371"/>
    <w:rsid w:val="002B738C"/>
    <w:rsid w:val="002B7703"/>
    <w:rsid w:val="002B7820"/>
    <w:rsid w:val="002B7B27"/>
    <w:rsid w:val="002B7C9E"/>
    <w:rsid w:val="002B7D2A"/>
    <w:rsid w:val="002C0505"/>
    <w:rsid w:val="002C0B6A"/>
    <w:rsid w:val="002C0E82"/>
    <w:rsid w:val="002C1C55"/>
    <w:rsid w:val="002C1D7C"/>
    <w:rsid w:val="002C2223"/>
    <w:rsid w:val="002C24A1"/>
    <w:rsid w:val="002C2972"/>
    <w:rsid w:val="002C297A"/>
    <w:rsid w:val="002C344E"/>
    <w:rsid w:val="002C3886"/>
    <w:rsid w:val="002C3AB8"/>
    <w:rsid w:val="002C3C1C"/>
    <w:rsid w:val="002C3C65"/>
    <w:rsid w:val="002C412D"/>
    <w:rsid w:val="002C45DE"/>
    <w:rsid w:val="002C48B0"/>
    <w:rsid w:val="002C67FF"/>
    <w:rsid w:val="002C6871"/>
    <w:rsid w:val="002C7424"/>
    <w:rsid w:val="002C7AEB"/>
    <w:rsid w:val="002D1F04"/>
    <w:rsid w:val="002D245C"/>
    <w:rsid w:val="002D2C78"/>
    <w:rsid w:val="002D2DE8"/>
    <w:rsid w:val="002D314E"/>
    <w:rsid w:val="002D45A5"/>
    <w:rsid w:val="002D45DA"/>
    <w:rsid w:val="002D4808"/>
    <w:rsid w:val="002D4DF5"/>
    <w:rsid w:val="002D5099"/>
    <w:rsid w:val="002D50DA"/>
    <w:rsid w:val="002D6524"/>
    <w:rsid w:val="002D7576"/>
    <w:rsid w:val="002D7DCC"/>
    <w:rsid w:val="002E08C1"/>
    <w:rsid w:val="002E09E3"/>
    <w:rsid w:val="002E0BC5"/>
    <w:rsid w:val="002E0F31"/>
    <w:rsid w:val="002E12E6"/>
    <w:rsid w:val="002E141E"/>
    <w:rsid w:val="002E1EA9"/>
    <w:rsid w:val="002E30CD"/>
    <w:rsid w:val="002E30FF"/>
    <w:rsid w:val="002E3724"/>
    <w:rsid w:val="002E3B80"/>
    <w:rsid w:val="002E3E19"/>
    <w:rsid w:val="002E4CDE"/>
    <w:rsid w:val="002E4EAC"/>
    <w:rsid w:val="002E5999"/>
    <w:rsid w:val="002E5B15"/>
    <w:rsid w:val="002E631D"/>
    <w:rsid w:val="002E636A"/>
    <w:rsid w:val="002E69B3"/>
    <w:rsid w:val="002E7393"/>
    <w:rsid w:val="002E7B10"/>
    <w:rsid w:val="002F0503"/>
    <w:rsid w:val="002F0EA6"/>
    <w:rsid w:val="002F15B0"/>
    <w:rsid w:val="002F1A2A"/>
    <w:rsid w:val="002F1D2A"/>
    <w:rsid w:val="002F1F4F"/>
    <w:rsid w:val="002F2314"/>
    <w:rsid w:val="002F2892"/>
    <w:rsid w:val="002F2DB2"/>
    <w:rsid w:val="002F2FA3"/>
    <w:rsid w:val="002F310B"/>
    <w:rsid w:val="002F39F1"/>
    <w:rsid w:val="002F3CC9"/>
    <w:rsid w:val="002F45AF"/>
    <w:rsid w:val="002F496B"/>
    <w:rsid w:val="002F4F84"/>
    <w:rsid w:val="002F5099"/>
    <w:rsid w:val="002F62B7"/>
    <w:rsid w:val="002F65C3"/>
    <w:rsid w:val="002F695E"/>
    <w:rsid w:val="002F6A81"/>
    <w:rsid w:val="002F6DA4"/>
    <w:rsid w:val="002F7BA0"/>
    <w:rsid w:val="003006B3"/>
    <w:rsid w:val="00300866"/>
    <w:rsid w:val="0030116C"/>
    <w:rsid w:val="003017C4"/>
    <w:rsid w:val="00302D65"/>
    <w:rsid w:val="00302FFB"/>
    <w:rsid w:val="00303039"/>
    <w:rsid w:val="00303430"/>
    <w:rsid w:val="00304637"/>
    <w:rsid w:val="0030465A"/>
    <w:rsid w:val="00304C1C"/>
    <w:rsid w:val="003056AB"/>
    <w:rsid w:val="003057B4"/>
    <w:rsid w:val="00305B55"/>
    <w:rsid w:val="00306034"/>
    <w:rsid w:val="003066AB"/>
    <w:rsid w:val="003074B9"/>
    <w:rsid w:val="00307539"/>
    <w:rsid w:val="00307F82"/>
    <w:rsid w:val="003109B8"/>
    <w:rsid w:val="00310B22"/>
    <w:rsid w:val="00310E3A"/>
    <w:rsid w:val="00311037"/>
    <w:rsid w:val="003111A9"/>
    <w:rsid w:val="00311202"/>
    <w:rsid w:val="00311CA0"/>
    <w:rsid w:val="00311EE5"/>
    <w:rsid w:val="00311FE1"/>
    <w:rsid w:val="0031217F"/>
    <w:rsid w:val="0031233F"/>
    <w:rsid w:val="00312375"/>
    <w:rsid w:val="003124A3"/>
    <w:rsid w:val="00312F32"/>
    <w:rsid w:val="003137DA"/>
    <w:rsid w:val="0031393C"/>
    <w:rsid w:val="00314300"/>
    <w:rsid w:val="00314CFD"/>
    <w:rsid w:val="003158ED"/>
    <w:rsid w:val="00315D3D"/>
    <w:rsid w:val="00316427"/>
    <w:rsid w:val="003178D7"/>
    <w:rsid w:val="00317F7F"/>
    <w:rsid w:val="00320750"/>
    <w:rsid w:val="003208D2"/>
    <w:rsid w:val="00320D5E"/>
    <w:rsid w:val="00320E76"/>
    <w:rsid w:val="003216DC"/>
    <w:rsid w:val="00321921"/>
    <w:rsid w:val="00321D41"/>
    <w:rsid w:val="0032239C"/>
    <w:rsid w:val="003224AC"/>
    <w:rsid w:val="0032253A"/>
    <w:rsid w:val="00323722"/>
    <w:rsid w:val="0032378A"/>
    <w:rsid w:val="00323DDA"/>
    <w:rsid w:val="00324C5C"/>
    <w:rsid w:val="0032530A"/>
    <w:rsid w:val="00326113"/>
    <w:rsid w:val="00326201"/>
    <w:rsid w:val="00326784"/>
    <w:rsid w:val="00326889"/>
    <w:rsid w:val="003269D4"/>
    <w:rsid w:val="00327229"/>
    <w:rsid w:val="0032727F"/>
    <w:rsid w:val="00327A67"/>
    <w:rsid w:val="00330242"/>
    <w:rsid w:val="003303FA"/>
    <w:rsid w:val="00330488"/>
    <w:rsid w:val="00330652"/>
    <w:rsid w:val="003309EB"/>
    <w:rsid w:val="00330BED"/>
    <w:rsid w:val="00330F4B"/>
    <w:rsid w:val="00331294"/>
    <w:rsid w:val="00331E23"/>
    <w:rsid w:val="00331EDA"/>
    <w:rsid w:val="0033200C"/>
    <w:rsid w:val="0033270F"/>
    <w:rsid w:val="00332767"/>
    <w:rsid w:val="003327E0"/>
    <w:rsid w:val="003328CB"/>
    <w:rsid w:val="00332E7F"/>
    <w:rsid w:val="00332EC7"/>
    <w:rsid w:val="00332EE8"/>
    <w:rsid w:val="0033302D"/>
    <w:rsid w:val="003330A7"/>
    <w:rsid w:val="0033311A"/>
    <w:rsid w:val="003333B5"/>
    <w:rsid w:val="003334DC"/>
    <w:rsid w:val="00333713"/>
    <w:rsid w:val="00333AA8"/>
    <w:rsid w:val="00333C9D"/>
    <w:rsid w:val="00334ADA"/>
    <w:rsid w:val="00334BDF"/>
    <w:rsid w:val="00335A06"/>
    <w:rsid w:val="00335A63"/>
    <w:rsid w:val="00335D03"/>
    <w:rsid w:val="00335D97"/>
    <w:rsid w:val="003360EA"/>
    <w:rsid w:val="00336205"/>
    <w:rsid w:val="00336670"/>
    <w:rsid w:val="0033744C"/>
    <w:rsid w:val="0033764F"/>
    <w:rsid w:val="00337E02"/>
    <w:rsid w:val="0034041F"/>
    <w:rsid w:val="0034083E"/>
    <w:rsid w:val="00340924"/>
    <w:rsid w:val="00340A0E"/>
    <w:rsid w:val="00340D4E"/>
    <w:rsid w:val="0034166B"/>
    <w:rsid w:val="00341FFB"/>
    <w:rsid w:val="003420CF"/>
    <w:rsid w:val="003421A9"/>
    <w:rsid w:val="00342291"/>
    <w:rsid w:val="003423DC"/>
    <w:rsid w:val="0034282E"/>
    <w:rsid w:val="00342FF8"/>
    <w:rsid w:val="00343374"/>
    <w:rsid w:val="003434BF"/>
    <w:rsid w:val="00343555"/>
    <w:rsid w:val="00343A43"/>
    <w:rsid w:val="00343CBA"/>
    <w:rsid w:val="00343FD6"/>
    <w:rsid w:val="0034403D"/>
    <w:rsid w:val="00344A22"/>
    <w:rsid w:val="00344EC1"/>
    <w:rsid w:val="00345697"/>
    <w:rsid w:val="003460AE"/>
    <w:rsid w:val="0034634D"/>
    <w:rsid w:val="003477C4"/>
    <w:rsid w:val="00350078"/>
    <w:rsid w:val="00350430"/>
    <w:rsid w:val="00350CC1"/>
    <w:rsid w:val="00350DCC"/>
    <w:rsid w:val="00350ED6"/>
    <w:rsid w:val="0035101F"/>
    <w:rsid w:val="003515F8"/>
    <w:rsid w:val="0035176E"/>
    <w:rsid w:val="00351834"/>
    <w:rsid w:val="00352547"/>
    <w:rsid w:val="00352A57"/>
    <w:rsid w:val="00353717"/>
    <w:rsid w:val="003539E5"/>
    <w:rsid w:val="003540C8"/>
    <w:rsid w:val="003543D7"/>
    <w:rsid w:val="0035485D"/>
    <w:rsid w:val="00355520"/>
    <w:rsid w:val="00356B10"/>
    <w:rsid w:val="00356DC6"/>
    <w:rsid w:val="003576E3"/>
    <w:rsid w:val="00357842"/>
    <w:rsid w:val="00357F5D"/>
    <w:rsid w:val="003600BF"/>
    <w:rsid w:val="00360A43"/>
    <w:rsid w:val="00360E6F"/>
    <w:rsid w:val="003617BC"/>
    <w:rsid w:val="00361AB7"/>
    <w:rsid w:val="00362486"/>
    <w:rsid w:val="00362666"/>
    <w:rsid w:val="003637FA"/>
    <w:rsid w:val="00364307"/>
    <w:rsid w:val="003643BF"/>
    <w:rsid w:val="003652FC"/>
    <w:rsid w:val="00365511"/>
    <w:rsid w:val="00365C69"/>
    <w:rsid w:val="00366105"/>
    <w:rsid w:val="0036640B"/>
    <w:rsid w:val="0036667A"/>
    <w:rsid w:val="0036671A"/>
    <w:rsid w:val="0036720D"/>
    <w:rsid w:val="0036736A"/>
    <w:rsid w:val="0036760A"/>
    <w:rsid w:val="00370FFB"/>
    <w:rsid w:val="00371520"/>
    <w:rsid w:val="00371EFA"/>
    <w:rsid w:val="00371FAF"/>
    <w:rsid w:val="003724C1"/>
    <w:rsid w:val="00372647"/>
    <w:rsid w:val="00372E3B"/>
    <w:rsid w:val="00373704"/>
    <w:rsid w:val="00374076"/>
    <w:rsid w:val="0037432B"/>
    <w:rsid w:val="003745F1"/>
    <w:rsid w:val="0037464B"/>
    <w:rsid w:val="003749DF"/>
    <w:rsid w:val="00374CB3"/>
    <w:rsid w:val="00374D4F"/>
    <w:rsid w:val="00375310"/>
    <w:rsid w:val="00375363"/>
    <w:rsid w:val="003753F2"/>
    <w:rsid w:val="003755CE"/>
    <w:rsid w:val="003757FC"/>
    <w:rsid w:val="00375DF7"/>
    <w:rsid w:val="00376356"/>
    <w:rsid w:val="0037651B"/>
    <w:rsid w:val="0037662B"/>
    <w:rsid w:val="00376B57"/>
    <w:rsid w:val="00376BE1"/>
    <w:rsid w:val="00376C04"/>
    <w:rsid w:val="00376C54"/>
    <w:rsid w:val="00376CA7"/>
    <w:rsid w:val="00376CF6"/>
    <w:rsid w:val="00376E54"/>
    <w:rsid w:val="00380738"/>
    <w:rsid w:val="00380DD4"/>
    <w:rsid w:val="00380F16"/>
    <w:rsid w:val="00381573"/>
    <w:rsid w:val="003815F4"/>
    <w:rsid w:val="00381D17"/>
    <w:rsid w:val="00381F3B"/>
    <w:rsid w:val="00382146"/>
    <w:rsid w:val="00382773"/>
    <w:rsid w:val="00382D03"/>
    <w:rsid w:val="003842E1"/>
    <w:rsid w:val="00384491"/>
    <w:rsid w:val="00384910"/>
    <w:rsid w:val="003850FF"/>
    <w:rsid w:val="0038511A"/>
    <w:rsid w:val="003858FF"/>
    <w:rsid w:val="003862F8"/>
    <w:rsid w:val="00386DD0"/>
    <w:rsid w:val="00387384"/>
    <w:rsid w:val="00390F41"/>
    <w:rsid w:val="0039175F"/>
    <w:rsid w:val="00391B6B"/>
    <w:rsid w:val="00391F06"/>
    <w:rsid w:val="00392D6D"/>
    <w:rsid w:val="00393854"/>
    <w:rsid w:val="00393E2F"/>
    <w:rsid w:val="003941FF"/>
    <w:rsid w:val="0039461B"/>
    <w:rsid w:val="003950DE"/>
    <w:rsid w:val="0039514F"/>
    <w:rsid w:val="00395B03"/>
    <w:rsid w:val="00396140"/>
    <w:rsid w:val="003961A5"/>
    <w:rsid w:val="003963D6"/>
    <w:rsid w:val="003964B7"/>
    <w:rsid w:val="0039696D"/>
    <w:rsid w:val="00396D92"/>
    <w:rsid w:val="00397533"/>
    <w:rsid w:val="00397626"/>
    <w:rsid w:val="003A1206"/>
    <w:rsid w:val="003A1449"/>
    <w:rsid w:val="003A146B"/>
    <w:rsid w:val="003A1651"/>
    <w:rsid w:val="003A1CCC"/>
    <w:rsid w:val="003A21C3"/>
    <w:rsid w:val="003A2B1E"/>
    <w:rsid w:val="003A2FF4"/>
    <w:rsid w:val="003A3B27"/>
    <w:rsid w:val="003A423F"/>
    <w:rsid w:val="003A42A6"/>
    <w:rsid w:val="003A44FE"/>
    <w:rsid w:val="003A4A30"/>
    <w:rsid w:val="003A4B9D"/>
    <w:rsid w:val="003A50F1"/>
    <w:rsid w:val="003A5543"/>
    <w:rsid w:val="003A5D6A"/>
    <w:rsid w:val="003A7F68"/>
    <w:rsid w:val="003B103D"/>
    <w:rsid w:val="003B1194"/>
    <w:rsid w:val="003B1229"/>
    <w:rsid w:val="003B1762"/>
    <w:rsid w:val="003B1781"/>
    <w:rsid w:val="003B1876"/>
    <w:rsid w:val="003B1998"/>
    <w:rsid w:val="003B236E"/>
    <w:rsid w:val="003B2914"/>
    <w:rsid w:val="003B2A36"/>
    <w:rsid w:val="003B2B63"/>
    <w:rsid w:val="003B2D24"/>
    <w:rsid w:val="003B310F"/>
    <w:rsid w:val="003B37DC"/>
    <w:rsid w:val="003B3840"/>
    <w:rsid w:val="003B3D8D"/>
    <w:rsid w:val="003B3E3C"/>
    <w:rsid w:val="003B41BE"/>
    <w:rsid w:val="003B4B46"/>
    <w:rsid w:val="003B6489"/>
    <w:rsid w:val="003B6CC5"/>
    <w:rsid w:val="003B73B1"/>
    <w:rsid w:val="003B77A4"/>
    <w:rsid w:val="003B7DE3"/>
    <w:rsid w:val="003B7F5A"/>
    <w:rsid w:val="003C00A8"/>
    <w:rsid w:val="003C13D5"/>
    <w:rsid w:val="003C263A"/>
    <w:rsid w:val="003C282F"/>
    <w:rsid w:val="003C370B"/>
    <w:rsid w:val="003C402B"/>
    <w:rsid w:val="003C4287"/>
    <w:rsid w:val="003C439D"/>
    <w:rsid w:val="003C4513"/>
    <w:rsid w:val="003C466C"/>
    <w:rsid w:val="003C4746"/>
    <w:rsid w:val="003C4AC1"/>
    <w:rsid w:val="003C4B38"/>
    <w:rsid w:val="003C5390"/>
    <w:rsid w:val="003C5954"/>
    <w:rsid w:val="003C6409"/>
    <w:rsid w:val="003C6701"/>
    <w:rsid w:val="003D0530"/>
    <w:rsid w:val="003D0A55"/>
    <w:rsid w:val="003D0D34"/>
    <w:rsid w:val="003D1056"/>
    <w:rsid w:val="003D1509"/>
    <w:rsid w:val="003D1744"/>
    <w:rsid w:val="003D1DBE"/>
    <w:rsid w:val="003D1FE9"/>
    <w:rsid w:val="003D2034"/>
    <w:rsid w:val="003D24A5"/>
    <w:rsid w:val="003D2648"/>
    <w:rsid w:val="003D3571"/>
    <w:rsid w:val="003D372E"/>
    <w:rsid w:val="003D3BFC"/>
    <w:rsid w:val="003D3C2D"/>
    <w:rsid w:val="003D3EA5"/>
    <w:rsid w:val="003D44CA"/>
    <w:rsid w:val="003D4BA5"/>
    <w:rsid w:val="003D4E6C"/>
    <w:rsid w:val="003D5367"/>
    <w:rsid w:val="003D572C"/>
    <w:rsid w:val="003D5F74"/>
    <w:rsid w:val="003D6202"/>
    <w:rsid w:val="003D633E"/>
    <w:rsid w:val="003D6938"/>
    <w:rsid w:val="003D6AB4"/>
    <w:rsid w:val="003D6BAF"/>
    <w:rsid w:val="003D6FE5"/>
    <w:rsid w:val="003D745D"/>
    <w:rsid w:val="003E03C2"/>
    <w:rsid w:val="003E1B8B"/>
    <w:rsid w:val="003E1BF0"/>
    <w:rsid w:val="003E1F65"/>
    <w:rsid w:val="003E2842"/>
    <w:rsid w:val="003E2E3B"/>
    <w:rsid w:val="003E35DF"/>
    <w:rsid w:val="003E3923"/>
    <w:rsid w:val="003E3C1E"/>
    <w:rsid w:val="003E3D30"/>
    <w:rsid w:val="003E40EF"/>
    <w:rsid w:val="003E4211"/>
    <w:rsid w:val="003E4AFC"/>
    <w:rsid w:val="003E4FE2"/>
    <w:rsid w:val="003E53AB"/>
    <w:rsid w:val="003E58F1"/>
    <w:rsid w:val="003E5D12"/>
    <w:rsid w:val="003E62CF"/>
    <w:rsid w:val="003E6B3E"/>
    <w:rsid w:val="003E714A"/>
    <w:rsid w:val="003E7792"/>
    <w:rsid w:val="003F02D0"/>
    <w:rsid w:val="003F0CE2"/>
    <w:rsid w:val="003F0E46"/>
    <w:rsid w:val="003F0FAA"/>
    <w:rsid w:val="003F163E"/>
    <w:rsid w:val="003F1FB0"/>
    <w:rsid w:val="003F20F5"/>
    <w:rsid w:val="003F2F8E"/>
    <w:rsid w:val="003F3387"/>
    <w:rsid w:val="003F3C4E"/>
    <w:rsid w:val="003F4052"/>
    <w:rsid w:val="003F488E"/>
    <w:rsid w:val="003F4E69"/>
    <w:rsid w:val="003F4FB1"/>
    <w:rsid w:val="003F5B65"/>
    <w:rsid w:val="003F638A"/>
    <w:rsid w:val="003F7249"/>
    <w:rsid w:val="003F76DE"/>
    <w:rsid w:val="003F76EF"/>
    <w:rsid w:val="003F7732"/>
    <w:rsid w:val="003F78B3"/>
    <w:rsid w:val="003F7BDB"/>
    <w:rsid w:val="004001A1"/>
    <w:rsid w:val="0040023E"/>
    <w:rsid w:val="00400416"/>
    <w:rsid w:val="00400EF4"/>
    <w:rsid w:val="004010FC"/>
    <w:rsid w:val="004012C3"/>
    <w:rsid w:val="00401FB3"/>
    <w:rsid w:val="0040270F"/>
    <w:rsid w:val="004029B9"/>
    <w:rsid w:val="00402A57"/>
    <w:rsid w:val="00402C54"/>
    <w:rsid w:val="00402C6C"/>
    <w:rsid w:val="00402FFA"/>
    <w:rsid w:val="00403225"/>
    <w:rsid w:val="00403496"/>
    <w:rsid w:val="00403516"/>
    <w:rsid w:val="004036BA"/>
    <w:rsid w:val="00404A93"/>
    <w:rsid w:val="00404CE6"/>
    <w:rsid w:val="00405C5A"/>
    <w:rsid w:val="00405D4C"/>
    <w:rsid w:val="0040622F"/>
    <w:rsid w:val="00406776"/>
    <w:rsid w:val="00406DD7"/>
    <w:rsid w:val="00407AD4"/>
    <w:rsid w:val="004102E1"/>
    <w:rsid w:val="004107FC"/>
    <w:rsid w:val="0041093B"/>
    <w:rsid w:val="00410F0D"/>
    <w:rsid w:val="004123B9"/>
    <w:rsid w:val="00412AE3"/>
    <w:rsid w:val="00412C49"/>
    <w:rsid w:val="00412CC4"/>
    <w:rsid w:val="00412DCE"/>
    <w:rsid w:val="00413014"/>
    <w:rsid w:val="004132D5"/>
    <w:rsid w:val="00413F5C"/>
    <w:rsid w:val="00414BAF"/>
    <w:rsid w:val="004155D6"/>
    <w:rsid w:val="00415880"/>
    <w:rsid w:val="004159D6"/>
    <w:rsid w:val="00416397"/>
    <w:rsid w:val="004168A9"/>
    <w:rsid w:val="00417183"/>
    <w:rsid w:val="00417875"/>
    <w:rsid w:val="00417C2D"/>
    <w:rsid w:val="004200AB"/>
    <w:rsid w:val="00420FD0"/>
    <w:rsid w:val="00421B5E"/>
    <w:rsid w:val="00421C8A"/>
    <w:rsid w:val="0042285B"/>
    <w:rsid w:val="00422B4F"/>
    <w:rsid w:val="00423670"/>
    <w:rsid w:val="00424799"/>
    <w:rsid w:val="00425244"/>
    <w:rsid w:val="00425CB1"/>
    <w:rsid w:val="0042698C"/>
    <w:rsid w:val="00426CC0"/>
    <w:rsid w:val="00426D39"/>
    <w:rsid w:val="00426FBF"/>
    <w:rsid w:val="004270A2"/>
    <w:rsid w:val="00427878"/>
    <w:rsid w:val="004278A5"/>
    <w:rsid w:val="00431030"/>
    <w:rsid w:val="004313C5"/>
    <w:rsid w:val="004316A8"/>
    <w:rsid w:val="004316F6"/>
    <w:rsid w:val="0043188A"/>
    <w:rsid w:val="00432229"/>
    <w:rsid w:val="00432644"/>
    <w:rsid w:val="004326B9"/>
    <w:rsid w:val="004326C2"/>
    <w:rsid w:val="004329C5"/>
    <w:rsid w:val="00432B4A"/>
    <w:rsid w:val="00434132"/>
    <w:rsid w:val="00434985"/>
    <w:rsid w:val="00435DCD"/>
    <w:rsid w:val="00435F04"/>
    <w:rsid w:val="00436A61"/>
    <w:rsid w:val="00436DC3"/>
    <w:rsid w:val="00436F4B"/>
    <w:rsid w:val="0043734A"/>
    <w:rsid w:val="00437488"/>
    <w:rsid w:val="00440249"/>
    <w:rsid w:val="004402EE"/>
    <w:rsid w:val="004403C3"/>
    <w:rsid w:val="00440581"/>
    <w:rsid w:val="00440D24"/>
    <w:rsid w:val="00441061"/>
    <w:rsid w:val="004412D4"/>
    <w:rsid w:val="00441731"/>
    <w:rsid w:val="00441754"/>
    <w:rsid w:val="004418BC"/>
    <w:rsid w:val="00441ED3"/>
    <w:rsid w:val="00441F0E"/>
    <w:rsid w:val="00442041"/>
    <w:rsid w:val="004423B9"/>
    <w:rsid w:val="004426C7"/>
    <w:rsid w:val="00442E81"/>
    <w:rsid w:val="004432D8"/>
    <w:rsid w:val="00444DDA"/>
    <w:rsid w:val="00445A75"/>
    <w:rsid w:val="00445C53"/>
    <w:rsid w:val="00445D95"/>
    <w:rsid w:val="00445E3D"/>
    <w:rsid w:val="0044629C"/>
    <w:rsid w:val="004462A0"/>
    <w:rsid w:val="00447774"/>
    <w:rsid w:val="004477CD"/>
    <w:rsid w:val="00447889"/>
    <w:rsid w:val="00447A03"/>
    <w:rsid w:val="00447A98"/>
    <w:rsid w:val="00447E16"/>
    <w:rsid w:val="00450844"/>
    <w:rsid w:val="00450A54"/>
    <w:rsid w:val="00450AB7"/>
    <w:rsid w:val="0045128F"/>
    <w:rsid w:val="00451BEE"/>
    <w:rsid w:val="0045256B"/>
    <w:rsid w:val="00452902"/>
    <w:rsid w:val="00452E23"/>
    <w:rsid w:val="00452F56"/>
    <w:rsid w:val="00453573"/>
    <w:rsid w:val="00453579"/>
    <w:rsid w:val="004541F5"/>
    <w:rsid w:val="004552D1"/>
    <w:rsid w:val="0045565A"/>
    <w:rsid w:val="004559F7"/>
    <w:rsid w:val="00455BE7"/>
    <w:rsid w:val="00455E6B"/>
    <w:rsid w:val="00455EA5"/>
    <w:rsid w:val="004560E6"/>
    <w:rsid w:val="00457AB5"/>
    <w:rsid w:val="00460DD5"/>
    <w:rsid w:val="00460F1B"/>
    <w:rsid w:val="00461162"/>
    <w:rsid w:val="0046128C"/>
    <w:rsid w:val="004615C6"/>
    <w:rsid w:val="00461A1E"/>
    <w:rsid w:val="0046231F"/>
    <w:rsid w:val="0046268A"/>
    <w:rsid w:val="0046283D"/>
    <w:rsid w:val="004630A8"/>
    <w:rsid w:val="0046341B"/>
    <w:rsid w:val="00463CD8"/>
    <w:rsid w:val="004640D2"/>
    <w:rsid w:val="004641EF"/>
    <w:rsid w:val="00464EFB"/>
    <w:rsid w:val="0046531F"/>
    <w:rsid w:val="0046617C"/>
    <w:rsid w:val="00466415"/>
    <w:rsid w:val="00466E5D"/>
    <w:rsid w:val="00467233"/>
    <w:rsid w:val="004678B4"/>
    <w:rsid w:val="00470098"/>
    <w:rsid w:val="004700F9"/>
    <w:rsid w:val="004704F3"/>
    <w:rsid w:val="0047052F"/>
    <w:rsid w:val="00471D33"/>
    <w:rsid w:val="004738DF"/>
    <w:rsid w:val="00473EBC"/>
    <w:rsid w:val="004746A6"/>
    <w:rsid w:val="004747A5"/>
    <w:rsid w:val="00474F54"/>
    <w:rsid w:val="004750C2"/>
    <w:rsid w:val="004752E6"/>
    <w:rsid w:val="00475584"/>
    <w:rsid w:val="00477677"/>
    <w:rsid w:val="00477878"/>
    <w:rsid w:val="00480117"/>
    <w:rsid w:val="00480161"/>
    <w:rsid w:val="0048070E"/>
    <w:rsid w:val="00481199"/>
    <w:rsid w:val="004822DE"/>
    <w:rsid w:val="0048255A"/>
    <w:rsid w:val="00482A7B"/>
    <w:rsid w:val="00482E90"/>
    <w:rsid w:val="00482ECA"/>
    <w:rsid w:val="004831FF"/>
    <w:rsid w:val="00483925"/>
    <w:rsid w:val="00484151"/>
    <w:rsid w:val="0048418F"/>
    <w:rsid w:val="00484263"/>
    <w:rsid w:val="004849C8"/>
    <w:rsid w:val="00484A63"/>
    <w:rsid w:val="00484B64"/>
    <w:rsid w:val="00485698"/>
    <w:rsid w:val="00485A3E"/>
    <w:rsid w:val="00485C1E"/>
    <w:rsid w:val="00485C7E"/>
    <w:rsid w:val="0048612E"/>
    <w:rsid w:val="00486EB5"/>
    <w:rsid w:val="00486F4E"/>
    <w:rsid w:val="00487F00"/>
    <w:rsid w:val="00487F38"/>
    <w:rsid w:val="0049005C"/>
    <w:rsid w:val="00490269"/>
    <w:rsid w:val="0049029C"/>
    <w:rsid w:val="00490376"/>
    <w:rsid w:val="00490800"/>
    <w:rsid w:val="00490A3A"/>
    <w:rsid w:val="00490A8D"/>
    <w:rsid w:val="00490B49"/>
    <w:rsid w:val="00490EE2"/>
    <w:rsid w:val="00491681"/>
    <w:rsid w:val="0049253D"/>
    <w:rsid w:val="00492B39"/>
    <w:rsid w:val="00492E19"/>
    <w:rsid w:val="00493030"/>
    <w:rsid w:val="004945C3"/>
    <w:rsid w:val="00494602"/>
    <w:rsid w:val="00495000"/>
    <w:rsid w:val="0049691A"/>
    <w:rsid w:val="00497083"/>
    <w:rsid w:val="004A0025"/>
    <w:rsid w:val="004A05DB"/>
    <w:rsid w:val="004A112A"/>
    <w:rsid w:val="004A18F5"/>
    <w:rsid w:val="004A1FB8"/>
    <w:rsid w:val="004A23E5"/>
    <w:rsid w:val="004A253B"/>
    <w:rsid w:val="004A3732"/>
    <w:rsid w:val="004A458F"/>
    <w:rsid w:val="004A4C0C"/>
    <w:rsid w:val="004A52F1"/>
    <w:rsid w:val="004A5453"/>
    <w:rsid w:val="004A5D9C"/>
    <w:rsid w:val="004A6346"/>
    <w:rsid w:val="004A7276"/>
    <w:rsid w:val="004A7C5C"/>
    <w:rsid w:val="004B0275"/>
    <w:rsid w:val="004B0558"/>
    <w:rsid w:val="004B0C08"/>
    <w:rsid w:val="004B0DC1"/>
    <w:rsid w:val="004B0FC8"/>
    <w:rsid w:val="004B1253"/>
    <w:rsid w:val="004B1E89"/>
    <w:rsid w:val="004B2012"/>
    <w:rsid w:val="004B22F8"/>
    <w:rsid w:val="004B2B19"/>
    <w:rsid w:val="004B2F8C"/>
    <w:rsid w:val="004B3383"/>
    <w:rsid w:val="004B3E9E"/>
    <w:rsid w:val="004B40F0"/>
    <w:rsid w:val="004B412A"/>
    <w:rsid w:val="004B43E0"/>
    <w:rsid w:val="004B467A"/>
    <w:rsid w:val="004B4685"/>
    <w:rsid w:val="004B4BE1"/>
    <w:rsid w:val="004B4EEC"/>
    <w:rsid w:val="004B4FBE"/>
    <w:rsid w:val="004B58B0"/>
    <w:rsid w:val="004B5967"/>
    <w:rsid w:val="004B59B1"/>
    <w:rsid w:val="004B6500"/>
    <w:rsid w:val="004B6AB0"/>
    <w:rsid w:val="004B6B60"/>
    <w:rsid w:val="004B6D90"/>
    <w:rsid w:val="004B7347"/>
    <w:rsid w:val="004B7377"/>
    <w:rsid w:val="004B7642"/>
    <w:rsid w:val="004B7705"/>
    <w:rsid w:val="004B78D8"/>
    <w:rsid w:val="004B7AFB"/>
    <w:rsid w:val="004B7BC5"/>
    <w:rsid w:val="004C015B"/>
    <w:rsid w:val="004C03B9"/>
    <w:rsid w:val="004C12ED"/>
    <w:rsid w:val="004C1ABD"/>
    <w:rsid w:val="004C233A"/>
    <w:rsid w:val="004C2819"/>
    <w:rsid w:val="004C2E9C"/>
    <w:rsid w:val="004C4368"/>
    <w:rsid w:val="004C50F5"/>
    <w:rsid w:val="004C5F4C"/>
    <w:rsid w:val="004C607D"/>
    <w:rsid w:val="004C619F"/>
    <w:rsid w:val="004C6468"/>
    <w:rsid w:val="004C7958"/>
    <w:rsid w:val="004C7E67"/>
    <w:rsid w:val="004D00DB"/>
    <w:rsid w:val="004D021F"/>
    <w:rsid w:val="004D12E7"/>
    <w:rsid w:val="004D1AF0"/>
    <w:rsid w:val="004D1AF2"/>
    <w:rsid w:val="004D1C71"/>
    <w:rsid w:val="004D2592"/>
    <w:rsid w:val="004D2CC1"/>
    <w:rsid w:val="004D3053"/>
    <w:rsid w:val="004D4AAE"/>
    <w:rsid w:val="004D533A"/>
    <w:rsid w:val="004D5E5E"/>
    <w:rsid w:val="004D620E"/>
    <w:rsid w:val="004D635F"/>
    <w:rsid w:val="004D64AC"/>
    <w:rsid w:val="004D6780"/>
    <w:rsid w:val="004D6A81"/>
    <w:rsid w:val="004D70F4"/>
    <w:rsid w:val="004D7BE0"/>
    <w:rsid w:val="004D7CF6"/>
    <w:rsid w:val="004E0783"/>
    <w:rsid w:val="004E07D8"/>
    <w:rsid w:val="004E1814"/>
    <w:rsid w:val="004E1B50"/>
    <w:rsid w:val="004E1E32"/>
    <w:rsid w:val="004E1F01"/>
    <w:rsid w:val="004E2759"/>
    <w:rsid w:val="004E285B"/>
    <w:rsid w:val="004E2D8A"/>
    <w:rsid w:val="004E2EEE"/>
    <w:rsid w:val="004E3405"/>
    <w:rsid w:val="004E3E1D"/>
    <w:rsid w:val="004E4089"/>
    <w:rsid w:val="004E440F"/>
    <w:rsid w:val="004E4D66"/>
    <w:rsid w:val="004E4DF8"/>
    <w:rsid w:val="004E5235"/>
    <w:rsid w:val="004E5E08"/>
    <w:rsid w:val="004E675F"/>
    <w:rsid w:val="004E6B55"/>
    <w:rsid w:val="004E6BA4"/>
    <w:rsid w:val="004E74A5"/>
    <w:rsid w:val="004E7661"/>
    <w:rsid w:val="004E7EE0"/>
    <w:rsid w:val="004E7F4C"/>
    <w:rsid w:val="004F0413"/>
    <w:rsid w:val="004F085A"/>
    <w:rsid w:val="004F09CD"/>
    <w:rsid w:val="004F0FD0"/>
    <w:rsid w:val="004F17D6"/>
    <w:rsid w:val="004F19D0"/>
    <w:rsid w:val="004F1B7B"/>
    <w:rsid w:val="004F1BFF"/>
    <w:rsid w:val="004F1CDD"/>
    <w:rsid w:val="004F1E44"/>
    <w:rsid w:val="004F2B31"/>
    <w:rsid w:val="004F2BAB"/>
    <w:rsid w:val="004F2C74"/>
    <w:rsid w:val="004F3AF8"/>
    <w:rsid w:val="004F3E7B"/>
    <w:rsid w:val="004F41CE"/>
    <w:rsid w:val="004F4DF3"/>
    <w:rsid w:val="004F6101"/>
    <w:rsid w:val="004F6289"/>
    <w:rsid w:val="004F6774"/>
    <w:rsid w:val="004F6EA4"/>
    <w:rsid w:val="004F774D"/>
    <w:rsid w:val="004F7E1C"/>
    <w:rsid w:val="00500231"/>
    <w:rsid w:val="00501EAF"/>
    <w:rsid w:val="00502750"/>
    <w:rsid w:val="00502B27"/>
    <w:rsid w:val="005030FF"/>
    <w:rsid w:val="00503218"/>
    <w:rsid w:val="005036D3"/>
    <w:rsid w:val="005047CD"/>
    <w:rsid w:val="005050DD"/>
    <w:rsid w:val="00505782"/>
    <w:rsid w:val="00505DC9"/>
    <w:rsid w:val="00506C38"/>
    <w:rsid w:val="00506C89"/>
    <w:rsid w:val="00507FD8"/>
    <w:rsid w:val="005102B7"/>
    <w:rsid w:val="005108C0"/>
    <w:rsid w:val="00510B43"/>
    <w:rsid w:val="00510B5E"/>
    <w:rsid w:val="00510C3F"/>
    <w:rsid w:val="005116DB"/>
    <w:rsid w:val="005118A0"/>
    <w:rsid w:val="00511FA8"/>
    <w:rsid w:val="00512103"/>
    <w:rsid w:val="00512237"/>
    <w:rsid w:val="005124C3"/>
    <w:rsid w:val="00512841"/>
    <w:rsid w:val="00513015"/>
    <w:rsid w:val="00513B5E"/>
    <w:rsid w:val="005149BC"/>
    <w:rsid w:val="005150A9"/>
    <w:rsid w:val="00515575"/>
    <w:rsid w:val="005157EE"/>
    <w:rsid w:val="005158DA"/>
    <w:rsid w:val="005159B4"/>
    <w:rsid w:val="00516216"/>
    <w:rsid w:val="00516781"/>
    <w:rsid w:val="00516A7D"/>
    <w:rsid w:val="00517436"/>
    <w:rsid w:val="005209C3"/>
    <w:rsid w:val="005209F2"/>
    <w:rsid w:val="00521493"/>
    <w:rsid w:val="0052223D"/>
    <w:rsid w:val="0052247F"/>
    <w:rsid w:val="0052248E"/>
    <w:rsid w:val="0052298C"/>
    <w:rsid w:val="005229CE"/>
    <w:rsid w:val="00522F03"/>
    <w:rsid w:val="0052341F"/>
    <w:rsid w:val="005234A6"/>
    <w:rsid w:val="0052393F"/>
    <w:rsid w:val="00523A3C"/>
    <w:rsid w:val="00523B55"/>
    <w:rsid w:val="00523C74"/>
    <w:rsid w:val="00524398"/>
    <w:rsid w:val="005257DC"/>
    <w:rsid w:val="00525895"/>
    <w:rsid w:val="00525947"/>
    <w:rsid w:val="00527009"/>
    <w:rsid w:val="00527197"/>
    <w:rsid w:val="005276BD"/>
    <w:rsid w:val="005278EF"/>
    <w:rsid w:val="00527C0C"/>
    <w:rsid w:val="005318D4"/>
    <w:rsid w:val="00531D55"/>
    <w:rsid w:val="00531DDF"/>
    <w:rsid w:val="00531F18"/>
    <w:rsid w:val="005320A4"/>
    <w:rsid w:val="005329A3"/>
    <w:rsid w:val="00533EA4"/>
    <w:rsid w:val="00534C63"/>
    <w:rsid w:val="00536808"/>
    <w:rsid w:val="00536CDB"/>
    <w:rsid w:val="00537509"/>
    <w:rsid w:val="005377FE"/>
    <w:rsid w:val="00537D05"/>
    <w:rsid w:val="005400AE"/>
    <w:rsid w:val="005403CB"/>
    <w:rsid w:val="00540471"/>
    <w:rsid w:val="005406F3"/>
    <w:rsid w:val="00540A90"/>
    <w:rsid w:val="00540C31"/>
    <w:rsid w:val="00541247"/>
    <w:rsid w:val="0054199F"/>
    <w:rsid w:val="00541D6D"/>
    <w:rsid w:val="005425EA"/>
    <w:rsid w:val="00542EC3"/>
    <w:rsid w:val="0054378D"/>
    <w:rsid w:val="00544999"/>
    <w:rsid w:val="00544C74"/>
    <w:rsid w:val="0054573C"/>
    <w:rsid w:val="005460F5"/>
    <w:rsid w:val="00546A36"/>
    <w:rsid w:val="005470C1"/>
    <w:rsid w:val="005473C6"/>
    <w:rsid w:val="00547490"/>
    <w:rsid w:val="00550156"/>
    <w:rsid w:val="005502AB"/>
    <w:rsid w:val="00550C59"/>
    <w:rsid w:val="00550C97"/>
    <w:rsid w:val="00550D2F"/>
    <w:rsid w:val="00551EDF"/>
    <w:rsid w:val="0055205A"/>
    <w:rsid w:val="005520A1"/>
    <w:rsid w:val="005531A3"/>
    <w:rsid w:val="00553302"/>
    <w:rsid w:val="00553690"/>
    <w:rsid w:val="00553772"/>
    <w:rsid w:val="005537AF"/>
    <w:rsid w:val="00553D6A"/>
    <w:rsid w:val="00553D95"/>
    <w:rsid w:val="00554063"/>
    <w:rsid w:val="005542D5"/>
    <w:rsid w:val="00554305"/>
    <w:rsid w:val="00554382"/>
    <w:rsid w:val="00554441"/>
    <w:rsid w:val="00554969"/>
    <w:rsid w:val="00554A77"/>
    <w:rsid w:val="00554BD6"/>
    <w:rsid w:val="0055547B"/>
    <w:rsid w:val="005554CB"/>
    <w:rsid w:val="0055748F"/>
    <w:rsid w:val="005574C3"/>
    <w:rsid w:val="00557B3A"/>
    <w:rsid w:val="00557F53"/>
    <w:rsid w:val="005602C1"/>
    <w:rsid w:val="00560F76"/>
    <w:rsid w:val="00561B28"/>
    <w:rsid w:val="00561D08"/>
    <w:rsid w:val="00562FB7"/>
    <w:rsid w:val="005631E8"/>
    <w:rsid w:val="00563B18"/>
    <w:rsid w:val="00563BB3"/>
    <w:rsid w:val="005641B6"/>
    <w:rsid w:val="00564D1D"/>
    <w:rsid w:val="00564E14"/>
    <w:rsid w:val="005655B3"/>
    <w:rsid w:val="00565727"/>
    <w:rsid w:val="00565E21"/>
    <w:rsid w:val="00566350"/>
    <w:rsid w:val="00566371"/>
    <w:rsid w:val="005665F5"/>
    <w:rsid w:val="00566A1B"/>
    <w:rsid w:val="0056714E"/>
    <w:rsid w:val="005674FB"/>
    <w:rsid w:val="00567609"/>
    <w:rsid w:val="00567654"/>
    <w:rsid w:val="00567AF0"/>
    <w:rsid w:val="00567BD9"/>
    <w:rsid w:val="00570164"/>
    <w:rsid w:val="00570514"/>
    <w:rsid w:val="00570CA3"/>
    <w:rsid w:val="00570F77"/>
    <w:rsid w:val="005710A1"/>
    <w:rsid w:val="00571849"/>
    <w:rsid w:val="005718B2"/>
    <w:rsid w:val="005718FF"/>
    <w:rsid w:val="005719C4"/>
    <w:rsid w:val="00571BFA"/>
    <w:rsid w:val="005724BF"/>
    <w:rsid w:val="00572652"/>
    <w:rsid w:val="00573DC1"/>
    <w:rsid w:val="00573F6A"/>
    <w:rsid w:val="00574085"/>
    <w:rsid w:val="005744FD"/>
    <w:rsid w:val="005746FF"/>
    <w:rsid w:val="00574831"/>
    <w:rsid w:val="00574941"/>
    <w:rsid w:val="00574C25"/>
    <w:rsid w:val="00574FBF"/>
    <w:rsid w:val="00575169"/>
    <w:rsid w:val="00575182"/>
    <w:rsid w:val="00575299"/>
    <w:rsid w:val="005755C9"/>
    <w:rsid w:val="00575769"/>
    <w:rsid w:val="0057576D"/>
    <w:rsid w:val="00575AC9"/>
    <w:rsid w:val="00576334"/>
    <w:rsid w:val="005775D3"/>
    <w:rsid w:val="005779A2"/>
    <w:rsid w:val="00577D4B"/>
    <w:rsid w:val="00577DEE"/>
    <w:rsid w:val="0058012C"/>
    <w:rsid w:val="005803FD"/>
    <w:rsid w:val="00580F6B"/>
    <w:rsid w:val="00580F8A"/>
    <w:rsid w:val="00581876"/>
    <w:rsid w:val="00582A56"/>
    <w:rsid w:val="00582AB8"/>
    <w:rsid w:val="005834A4"/>
    <w:rsid w:val="0058371F"/>
    <w:rsid w:val="00583933"/>
    <w:rsid w:val="00584B1B"/>
    <w:rsid w:val="00584D25"/>
    <w:rsid w:val="00584E80"/>
    <w:rsid w:val="00584E98"/>
    <w:rsid w:val="00584F3B"/>
    <w:rsid w:val="005853C6"/>
    <w:rsid w:val="005861A2"/>
    <w:rsid w:val="00586569"/>
    <w:rsid w:val="00586768"/>
    <w:rsid w:val="00586A1F"/>
    <w:rsid w:val="00586E83"/>
    <w:rsid w:val="00587568"/>
    <w:rsid w:val="00587632"/>
    <w:rsid w:val="005879B3"/>
    <w:rsid w:val="00587F7B"/>
    <w:rsid w:val="00590A01"/>
    <w:rsid w:val="00590BD7"/>
    <w:rsid w:val="005920DE"/>
    <w:rsid w:val="0059214A"/>
    <w:rsid w:val="005921BC"/>
    <w:rsid w:val="00592498"/>
    <w:rsid w:val="005931DA"/>
    <w:rsid w:val="00593D8E"/>
    <w:rsid w:val="00594163"/>
    <w:rsid w:val="00595078"/>
    <w:rsid w:val="005952A8"/>
    <w:rsid w:val="005961E6"/>
    <w:rsid w:val="00597298"/>
    <w:rsid w:val="00597CBD"/>
    <w:rsid w:val="005A033B"/>
    <w:rsid w:val="005A058B"/>
    <w:rsid w:val="005A05CD"/>
    <w:rsid w:val="005A0982"/>
    <w:rsid w:val="005A14A9"/>
    <w:rsid w:val="005A1A0F"/>
    <w:rsid w:val="005A2F17"/>
    <w:rsid w:val="005A381B"/>
    <w:rsid w:val="005A403E"/>
    <w:rsid w:val="005A444F"/>
    <w:rsid w:val="005A57CD"/>
    <w:rsid w:val="005A58B2"/>
    <w:rsid w:val="005A5C63"/>
    <w:rsid w:val="005A61F7"/>
    <w:rsid w:val="005A6852"/>
    <w:rsid w:val="005B08E4"/>
    <w:rsid w:val="005B0A5F"/>
    <w:rsid w:val="005B1613"/>
    <w:rsid w:val="005B1F68"/>
    <w:rsid w:val="005B2008"/>
    <w:rsid w:val="005B21CD"/>
    <w:rsid w:val="005B21EC"/>
    <w:rsid w:val="005B273A"/>
    <w:rsid w:val="005B2AD3"/>
    <w:rsid w:val="005B2BEC"/>
    <w:rsid w:val="005B2F6B"/>
    <w:rsid w:val="005B318E"/>
    <w:rsid w:val="005B3BB3"/>
    <w:rsid w:val="005B3DD9"/>
    <w:rsid w:val="005B4528"/>
    <w:rsid w:val="005B457A"/>
    <w:rsid w:val="005B4597"/>
    <w:rsid w:val="005B46E5"/>
    <w:rsid w:val="005B5058"/>
    <w:rsid w:val="005B5998"/>
    <w:rsid w:val="005B6BF5"/>
    <w:rsid w:val="005C025B"/>
    <w:rsid w:val="005C0409"/>
    <w:rsid w:val="005C053E"/>
    <w:rsid w:val="005C05BA"/>
    <w:rsid w:val="005C12AA"/>
    <w:rsid w:val="005C137C"/>
    <w:rsid w:val="005C1743"/>
    <w:rsid w:val="005C1B2A"/>
    <w:rsid w:val="005C24B2"/>
    <w:rsid w:val="005C25BC"/>
    <w:rsid w:val="005C2616"/>
    <w:rsid w:val="005C2CD9"/>
    <w:rsid w:val="005C300A"/>
    <w:rsid w:val="005C52AA"/>
    <w:rsid w:val="005C68FA"/>
    <w:rsid w:val="005C74DD"/>
    <w:rsid w:val="005C7AA0"/>
    <w:rsid w:val="005C7DA6"/>
    <w:rsid w:val="005D02C5"/>
    <w:rsid w:val="005D052D"/>
    <w:rsid w:val="005D0A96"/>
    <w:rsid w:val="005D2176"/>
    <w:rsid w:val="005D2673"/>
    <w:rsid w:val="005D288D"/>
    <w:rsid w:val="005D2A2D"/>
    <w:rsid w:val="005D392C"/>
    <w:rsid w:val="005D5B6F"/>
    <w:rsid w:val="005D5CCB"/>
    <w:rsid w:val="005D6480"/>
    <w:rsid w:val="005D67E6"/>
    <w:rsid w:val="005D6AEB"/>
    <w:rsid w:val="005D6DEE"/>
    <w:rsid w:val="005D73E4"/>
    <w:rsid w:val="005D766B"/>
    <w:rsid w:val="005D76B3"/>
    <w:rsid w:val="005D7D43"/>
    <w:rsid w:val="005E0934"/>
    <w:rsid w:val="005E1086"/>
    <w:rsid w:val="005E1248"/>
    <w:rsid w:val="005E15C5"/>
    <w:rsid w:val="005E29F6"/>
    <w:rsid w:val="005E2AB8"/>
    <w:rsid w:val="005E34D3"/>
    <w:rsid w:val="005E3916"/>
    <w:rsid w:val="005E44C4"/>
    <w:rsid w:val="005E46A0"/>
    <w:rsid w:val="005E4E13"/>
    <w:rsid w:val="005E565E"/>
    <w:rsid w:val="005E5A18"/>
    <w:rsid w:val="005E6788"/>
    <w:rsid w:val="005E6DA4"/>
    <w:rsid w:val="005E760A"/>
    <w:rsid w:val="005E779C"/>
    <w:rsid w:val="005E79DB"/>
    <w:rsid w:val="005E7EDE"/>
    <w:rsid w:val="005F00C6"/>
    <w:rsid w:val="005F021C"/>
    <w:rsid w:val="005F135A"/>
    <w:rsid w:val="005F14B3"/>
    <w:rsid w:val="005F16E6"/>
    <w:rsid w:val="005F1B59"/>
    <w:rsid w:val="005F1FE6"/>
    <w:rsid w:val="005F1FF3"/>
    <w:rsid w:val="005F532E"/>
    <w:rsid w:val="005F6672"/>
    <w:rsid w:val="005F6856"/>
    <w:rsid w:val="005F70BA"/>
    <w:rsid w:val="005F7132"/>
    <w:rsid w:val="005F75E8"/>
    <w:rsid w:val="005F7AE2"/>
    <w:rsid w:val="005F7BE8"/>
    <w:rsid w:val="00600BC1"/>
    <w:rsid w:val="00600E11"/>
    <w:rsid w:val="00601188"/>
    <w:rsid w:val="00601E7E"/>
    <w:rsid w:val="00602665"/>
    <w:rsid w:val="00603E0C"/>
    <w:rsid w:val="00603FDB"/>
    <w:rsid w:val="006043BA"/>
    <w:rsid w:val="00604716"/>
    <w:rsid w:val="00604CA2"/>
    <w:rsid w:val="00604E9F"/>
    <w:rsid w:val="0060520C"/>
    <w:rsid w:val="006059A4"/>
    <w:rsid w:val="00605C3C"/>
    <w:rsid w:val="006063D6"/>
    <w:rsid w:val="00606591"/>
    <w:rsid w:val="006067FA"/>
    <w:rsid w:val="006068DE"/>
    <w:rsid w:val="00606EF6"/>
    <w:rsid w:val="00606FA4"/>
    <w:rsid w:val="00607CFB"/>
    <w:rsid w:val="00610168"/>
    <w:rsid w:val="00610C03"/>
    <w:rsid w:val="00610F78"/>
    <w:rsid w:val="006113B3"/>
    <w:rsid w:val="00611483"/>
    <w:rsid w:val="00611522"/>
    <w:rsid w:val="006115A8"/>
    <w:rsid w:val="0061185F"/>
    <w:rsid w:val="0061193C"/>
    <w:rsid w:val="0061195D"/>
    <w:rsid w:val="00611A14"/>
    <w:rsid w:val="00611D49"/>
    <w:rsid w:val="006131BE"/>
    <w:rsid w:val="006139FA"/>
    <w:rsid w:val="00614678"/>
    <w:rsid w:val="006147BE"/>
    <w:rsid w:val="00614AB3"/>
    <w:rsid w:val="0061514A"/>
    <w:rsid w:val="00615238"/>
    <w:rsid w:val="00615805"/>
    <w:rsid w:val="0061653C"/>
    <w:rsid w:val="0061661A"/>
    <w:rsid w:val="006169FB"/>
    <w:rsid w:val="00616BB6"/>
    <w:rsid w:val="006201CE"/>
    <w:rsid w:val="006202E8"/>
    <w:rsid w:val="0062036D"/>
    <w:rsid w:val="0062084B"/>
    <w:rsid w:val="006209D8"/>
    <w:rsid w:val="00620A47"/>
    <w:rsid w:val="006213EF"/>
    <w:rsid w:val="00621B90"/>
    <w:rsid w:val="00621C8D"/>
    <w:rsid w:val="00621E48"/>
    <w:rsid w:val="00622609"/>
    <w:rsid w:val="006229E2"/>
    <w:rsid w:val="00623470"/>
    <w:rsid w:val="006235BC"/>
    <w:rsid w:val="006246F0"/>
    <w:rsid w:val="00624B25"/>
    <w:rsid w:val="00625412"/>
    <w:rsid w:val="00625476"/>
    <w:rsid w:val="00625BB7"/>
    <w:rsid w:val="0062634F"/>
    <w:rsid w:val="006275A4"/>
    <w:rsid w:val="006278B8"/>
    <w:rsid w:val="00627B89"/>
    <w:rsid w:val="0063010F"/>
    <w:rsid w:val="00630ABC"/>
    <w:rsid w:val="00630BFB"/>
    <w:rsid w:val="00630C0A"/>
    <w:rsid w:val="00630E3C"/>
    <w:rsid w:val="00631B53"/>
    <w:rsid w:val="006323AE"/>
    <w:rsid w:val="006346E7"/>
    <w:rsid w:val="00634952"/>
    <w:rsid w:val="00634ACB"/>
    <w:rsid w:val="00634EEE"/>
    <w:rsid w:val="006355E3"/>
    <w:rsid w:val="006356EA"/>
    <w:rsid w:val="006357DB"/>
    <w:rsid w:val="0063596F"/>
    <w:rsid w:val="00635EEC"/>
    <w:rsid w:val="0063682C"/>
    <w:rsid w:val="00636C2B"/>
    <w:rsid w:val="006378E1"/>
    <w:rsid w:val="00640306"/>
    <w:rsid w:val="006403EA"/>
    <w:rsid w:val="00640A17"/>
    <w:rsid w:val="00640F09"/>
    <w:rsid w:val="00641461"/>
    <w:rsid w:val="00641970"/>
    <w:rsid w:val="00642084"/>
    <w:rsid w:val="006420FC"/>
    <w:rsid w:val="006422A6"/>
    <w:rsid w:val="006424E1"/>
    <w:rsid w:val="00643241"/>
    <w:rsid w:val="00643B8B"/>
    <w:rsid w:val="00644E2F"/>
    <w:rsid w:val="00645B68"/>
    <w:rsid w:val="00645EB5"/>
    <w:rsid w:val="0064626F"/>
    <w:rsid w:val="00646383"/>
    <w:rsid w:val="00646EC6"/>
    <w:rsid w:val="00647165"/>
    <w:rsid w:val="006473FB"/>
    <w:rsid w:val="006476B8"/>
    <w:rsid w:val="006504BA"/>
    <w:rsid w:val="006505BA"/>
    <w:rsid w:val="006508D7"/>
    <w:rsid w:val="00650D0F"/>
    <w:rsid w:val="00651154"/>
    <w:rsid w:val="0065126F"/>
    <w:rsid w:val="00652115"/>
    <w:rsid w:val="00652233"/>
    <w:rsid w:val="00652540"/>
    <w:rsid w:val="00653620"/>
    <w:rsid w:val="00653643"/>
    <w:rsid w:val="00653667"/>
    <w:rsid w:val="006538FB"/>
    <w:rsid w:val="00653F6C"/>
    <w:rsid w:val="006540BE"/>
    <w:rsid w:val="006542D6"/>
    <w:rsid w:val="0065457C"/>
    <w:rsid w:val="00654CD0"/>
    <w:rsid w:val="00654D6D"/>
    <w:rsid w:val="00654F15"/>
    <w:rsid w:val="006558BA"/>
    <w:rsid w:val="006558CD"/>
    <w:rsid w:val="006566FB"/>
    <w:rsid w:val="00656E4A"/>
    <w:rsid w:val="006616C7"/>
    <w:rsid w:val="006616CD"/>
    <w:rsid w:val="00661D59"/>
    <w:rsid w:val="006626B9"/>
    <w:rsid w:val="00662770"/>
    <w:rsid w:val="006627BB"/>
    <w:rsid w:val="00662A9C"/>
    <w:rsid w:val="00663148"/>
    <w:rsid w:val="00663AEE"/>
    <w:rsid w:val="00663C65"/>
    <w:rsid w:val="006640B1"/>
    <w:rsid w:val="0066452F"/>
    <w:rsid w:val="006649E1"/>
    <w:rsid w:val="006652BB"/>
    <w:rsid w:val="0066578B"/>
    <w:rsid w:val="00665F88"/>
    <w:rsid w:val="00666186"/>
    <w:rsid w:val="006664FE"/>
    <w:rsid w:val="0066661E"/>
    <w:rsid w:val="006667B5"/>
    <w:rsid w:val="00666C00"/>
    <w:rsid w:val="00666E41"/>
    <w:rsid w:val="00666EA6"/>
    <w:rsid w:val="00667922"/>
    <w:rsid w:val="00667C58"/>
    <w:rsid w:val="00670284"/>
    <w:rsid w:val="00670949"/>
    <w:rsid w:val="00670A35"/>
    <w:rsid w:val="00670B54"/>
    <w:rsid w:val="00670D76"/>
    <w:rsid w:val="0067117C"/>
    <w:rsid w:val="00671180"/>
    <w:rsid w:val="00671B3E"/>
    <w:rsid w:val="00671B6E"/>
    <w:rsid w:val="00671BBA"/>
    <w:rsid w:val="00671D15"/>
    <w:rsid w:val="00671FF0"/>
    <w:rsid w:val="006726C7"/>
    <w:rsid w:val="006726DD"/>
    <w:rsid w:val="006728B6"/>
    <w:rsid w:val="006733E0"/>
    <w:rsid w:val="00673471"/>
    <w:rsid w:val="00673516"/>
    <w:rsid w:val="006735E5"/>
    <w:rsid w:val="00673D40"/>
    <w:rsid w:val="00674021"/>
    <w:rsid w:val="00674E36"/>
    <w:rsid w:val="00675CD3"/>
    <w:rsid w:val="00676038"/>
    <w:rsid w:val="00677102"/>
    <w:rsid w:val="006777E5"/>
    <w:rsid w:val="00677E6C"/>
    <w:rsid w:val="006805A5"/>
    <w:rsid w:val="006808A4"/>
    <w:rsid w:val="00681392"/>
    <w:rsid w:val="00681584"/>
    <w:rsid w:val="00682123"/>
    <w:rsid w:val="00682D6F"/>
    <w:rsid w:val="00683492"/>
    <w:rsid w:val="00684477"/>
    <w:rsid w:val="00684A0A"/>
    <w:rsid w:val="00685130"/>
    <w:rsid w:val="00686809"/>
    <w:rsid w:val="00686814"/>
    <w:rsid w:val="0068701B"/>
    <w:rsid w:val="006871A8"/>
    <w:rsid w:val="00687AEB"/>
    <w:rsid w:val="006904E8"/>
    <w:rsid w:val="0069058C"/>
    <w:rsid w:val="00690CFB"/>
    <w:rsid w:val="006912E3"/>
    <w:rsid w:val="00691776"/>
    <w:rsid w:val="00691936"/>
    <w:rsid w:val="00691CF9"/>
    <w:rsid w:val="00692381"/>
    <w:rsid w:val="0069276F"/>
    <w:rsid w:val="00692F3A"/>
    <w:rsid w:val="0069424F"/>
    <w:rsid w:val="00694579"/>
    <w:rsid w:val="00694730"/>
    <w:rsid w:val="006948BD"/>
    <w:rsid w:val="00694F8C"/>
    <w:rsid w:val="00695152"/>
    <w:rsid w:val="00695620"/>
    <w:rsid w:val="00696B2F"/>
    <w:rsid w:val="0069721E"/>
    <w:rsid w:val="006973D5"/>
    <w:rsid w:val="006977AA"/>
    <w:rsid w:val="006A0395"/>
    <w:rsid w:val="006A0806"/>
    <w:rsid w:val="006A0CB7"/>
    <w:rsid w:val="006A11FA"/>
    <w:rsid w:val="006A167A"/>
    <w:rsid w:val="006A2BE4"/>
    <w:rsid w:val="006A2E7B"/>
    <w:rsid w:val="006A354C"/>
    <w:rsid w:val="006A3D0C"/>
    <w:rsid w:val="006A3DC8"/>
    <w:rsid w:val="006A3F68"/>
    <w:rsid w:val="006A4A3F"/>
    <w:rsid w:val="006A52F1"/>
    <w:rsid w:val="006A5929"/>
    <w:rsid w:val="006A5E29"/>
    <w:rsid w:val="006A67D7"/>
    <w:rsid w:val="006A6C21"/>
    <w:rsid w:val="006A7C32"/>
    <w:rsid w:val="006B03C5"/>
    <w:rsid w:val="006B10DD"/>
    <w:rsid w:val="006B113B"/>
    <w:rsid w:val="006B2506"/>
    <w:rsid w:val="006B26B5"/>
    <w:rsid w:val="006B2ACC"/>
    <w:rsid w:val="006B2AF9"/>
    <w:rsid w:val="006B3567"/>
    <w:rsid w:val="006B40F7"/>
    <w:rsid w:val="006B4593"/>
    <w:rsid w:val="006B542F"/>
    <w:rsid w:val="006B59A9"/>
    <w:rsid w:val="006B5FA5"/>
    <w:rsid w:val="006B665B"/>
    <w:rsid w:val="006B6B51"/>
    <w:rsid w:val="006B76DB"/>
    <w:rsid w:val="006B7B9F"/>
    <w:rsid w:val="006C01B5"/>
    <w:rsid w:val="006C052D"/>
    <w:rsid w:val="006C1E24"/>
    <w:rsid w:val="006C20DC"/>
    <w:rsid w:val="006C2209"/>
    <w:rsid w:val="006C264A"/>
    <w:rsid w:val="006C3D6F"/>
    <w:rsid w:val="006C413B"/>
    <w:rsid w:val="006C459E"/>
    <w:rsid w:val="006C46A2"/>
    <w:rsid w:val="006C4AE9"/>
    <w:rsid w:val="006C5586"/>
    <w:rsid w:val="006C56D9"/>
    <w:rsid w:val="006C5720"/>
    <w:rsid w:val="006C6D54"/>
    <w:rsid w:val="006C76B0"/>
    <w:rsid w:val="006C7766"/>
    <w:rsid w:val="006D05B2"/>
    <w:rsid w:val="006D095E"/>
    <w:rsid w:val="006D0C1D"/>
    <w:rsid w:val="006D0FF1"/>
    <w:rsid w:val="006D14A5"/>
    <w:rsid w:val="006D1757"/>
    <w:rsid w:val="006D19FE"/>
    <w:rsid w:val="006D1B9D"/>
    <w:rsid w:val="006D314E"/>
    <w:rsid w:val="006D317F"/>
    <w:rsid w:val="006D3234"/>
    <w:rsid w:val="006D3278"/>
    <w:rsid w:val="006D36C2"/>
    <w:rsid w:val="006D3AD2"/>
    <w:rsid w:val="006D3FBE"/>
    <w:rsid w:val="006D43BE"/>
    <w:rsid w:val="006D532C"/>
    <w:rsid w:val="006D5452"/>
    <w:rsid w:val="006D5481"/>
    <w:rsid w:val="006D5A5B"/>
    <w:rsid w:val="006D67AC"/>
    <w:rsid w:val="006D6F26"/>
    <w:rsid w:val="006D754D"/>
    <w:rsid w:val="006D7627"/>
    <w:rsid w:val="006E0156"/>
    <w:rsid w:val="006E0851"/>
    <w:rsid w:val="006E0E2E"/>
    <w:rsid w:val="006E15CF"/>
    <w:rsid w:val="006E16A1"/>
    <w:rsid w:val="006E1EFE"/>
    <w:rsid w:val="006E1F48"/>
    <w:rsid w:val="006E21BC"/>
    <w:rsid w:val="006E2867"/>
    <w:rsid w:val="006E2BDB"/>
    <w:rsid w:val="006E344E"/>
    <w:rsid w:val="006E4D57"/>
    <w:rsid w:val="006E4FE9"/>
    <w:rsid w:val="006E518C"/>
    <w:rsid w:val="006E5498"/>
    <w:rsid w:val="006E591B"/>
    <w:rsid w:val="006E63E3"/>
    <w:rsid w:val="006E664A"/>
    <w:rsid w:val="006E6733"/>
    <w:rsid w:val="006E6BD2"/>
    <w:rsid w:val="006E6C55"/>
    <w:rsid w:val="006E6E55"/>
    <w:rsid w:val="006E6F17"/>
    <w:rsid w:val="006E7867"/>
    <w:rsid w:val="006E794E"/>
    <w:rsid w:val="006F0BD3"/>
    <w:rsid w:val="006F0DC5"/>
    <w:rsid w:val="006F11FE"/>
    <w:rsid w:val="006F15B9"/>
    <w:rsid w:val="006F15D6"/>
    <w:rsid w:val="006F1780"/>
    <w:rsid w:val="006F2811"/>
    <w:rsid w:val="006F34DC"/>
    <w:rsid w:val="006F38FE"/>
    <w:rsid w:val="006F39B2"/>
    <w:rsid w:val="006F43F9"/>
    <w:rsid w:val="006F46C3"/>
    <w:rsid w:val="006F49DF"/>
    <w:rsid w:val="006F5A45"/>
    <w:rsid w:val="006F5E44"/>
    <w:rsid w:val="006F67A1"/>
    <w:rsid w:val="006F7001"/>
    <w:rsid w:val="006F700C"/>
    <w:rsid w:val="006F703E"/>
    <w:rsid w:val="006F7062"/>
    <w:rsid w:val="006F7488"/>
    <w:rsid w:val="00700083"/>
    <w:rsid w:val="0070136F"/>
    <w:rsid w:val="0070187B"/>
    <w:rsid w:val="0070196A"/>
    <w:rsid w:val="0070253A"/>
    <w:rsid w:val="00702F77"/>
    <w:rsid w:val="0070386E"/>
    <w:rsid w:val="00703E69"/>
    <w:rsid w:val="00703FCF"/>
    <w:rsid w:val="0070418B"/>
    <w:rsid w:val="00704243"/>
    <w:rsid w:val="007045FB"/>
    <w:rsid w:val="00704F6E"/>
    <w:rsid w:val="0070504D"/>
    <w:rsid w:val="00705133"/>
    <w:rsid w:val="00705431"/>
    <w:rsid w:val="00705586"/>
    <w:rsid w:val="00705EC5"/>
    <w:rsid w:val="00706462"/>
    <w:rsid w:val="007067A3"/>
    <w:rsid w:val="00706941"/>
    <w:rsid w:val="00706F74"/>
    <w:rsid w:val="00707828"/>
    <w:rsid w:val="007079CD"/>
    <w:rsid w:val="00707C76"/>
    <w:rsid w:val="007103A6"/>
    <w:rsid w:val="0071087F"/>
    <w:rsid w:val="00710B82"/>
    <w:rsid w:val="00711039"/>
    <w:rsid w:val="0071117B"/>
    <w:rsid w:val="00711971"/>
    <w:rsid w:val="00711985"/>
    <w:rsid w:val="007119F7"/>
    <w:rsid w:val="007123A0"/>
    <w:rsid w:val="00712CDC"/>
    <w:rsid w:val="007133AC"/>
    <w:rsid w:val="007133D1"/>
    <w:rsid w:val="00713585"/>
    <w:rsid w:val="007139A0"/>
    <w:rsid w:val="007139AD"/>
    <w:rsid w:val="00713CE1"/>
    <w:rsid w:val="00713FA1"/>
    <w:rsid w:val="00714066"/>
    <w:rsid w:val="007145AB"/>
    <w:rsid w:val="0071542E"/>
    <w:rsid w:val="00715B9D"/>
    <w:rsid w:val="00715C26"/>
    <w:rsid w:val="00715C91"/>
    <w:rsid w:val="00716276"/>
    <w:rsid w:val="007169F1"/>
    <w:rsid w:val="00716FD7"/>
    <w:rsid w:val="00717007"/>
    <w:rsid w:val="0071774D"/>
    <w:rsid w:val="00717AEB"/>
    <w:rsid w:val="0072044B"/>
    <w:rsid w:val="00720DB7"/>
    <w:rsid w:val="007212CB"/>
    <w:rsid w:val="00721444"/>
    <w:rsid w:val="007215E4"/>
    <w:rsid w:val="00722253"/>
    <w:rsid w:val="0072267E"/>
    <w:rsid w:val="00723902"/>
    <w:rsid w:val="00723D99"/>
    <w:rsid w:val="00724247"/>
    <w:rsid w:val="007243F4"/>
    <w:rsid w:val="00724753"/>
    <w:rsid w:val="0072476B"/>
    <w:rsid w:val="00724C38"/>
    <w:rsid w:val="007251DC"/>
    <w:rsid w:val="007252B5"/>
    <w:rsid w:val="007268C8"/>
    <w:rsid w:val="00726BAA"/>
    <w:rsid w:val="007277A1"/>
    <w:rsid w:val="00727F46"/>
    <w:rsid w:val="0073060E"/>
    <w:rsid w:val="007311C8"/>
    <w:rsid w:val="007313A8"/>
    <w:rsid w:val="00731471"/>
    <w:rsid w:val="007319BA"/>
    <w:rsid w:val="00731DBB"/>
    <w:rsid w:val="007326A0"/>
    <w:rsid w:val="00732A47"/>
    <w:rsid w:val="00732FF5"/>
    <w:rsid w:val="0073325E"/>
    <w:rsid w:val="00733FA5"/>
    <w:rsid w:val="00734ABF"/>
    <w:rsid w:val="0073521C"/>
    <w:rsid w:val="0073537F"/>
    <w:rsid w:val="007359CD"/>
    <w:rsid w:val="00735AAE"/>
    <w:rsid w:val="00735EFC"/>
    <w:rsid w:val="00735FD4"/>
    <w:rsid w:val="0073604C"/>
    <w:rsid w:val="0073630C"/>
    <w:rsid w:val="00736469"/>
    <w:rsid w:val="007364E8"/>
    <w:rsid w:val="00736667"/>
    <w:rsid w:val="00736673"/>
    <w:rsid w:val="007370C4"/>
    <w:rsid w:val="0073713E"/>
    <w:rsid w:val="007373E9"/>
    <w:rsid w:val="00737530"/>
    <w:rsid w:val="00737CF5"/>
    <w:rsid w:val="00737D64"/>
    <w:rsid w:val="00740485"/>
    <w:rsid w:val="007408F3"/>
    <w:rsid w:val="00740911"/>
    <w:rsid w:val="00740CB8"/>
    <w:rsid w:val="00741AFA"/>
    <w:rsid w:val="00741E87"/>
    <w:rsid w:val="00742BAC"/>
    <w:rsid w:val="0074326C"/>
    <w:rsid w:val="007443EF"/>
    <w:rsid w:val="00744BE6"/>
    <w:rsid w:val="00744C8D"/>
    <w:rsid w:val="00745006"/>
    <w:rsid w:val="007454EC"/>
    <w:rsid w:val="007456CC"/>
    <w:rsid w:val="007458D8"/>
    <w:rsid w:val="0074643D"/>
    <w:rsid w:val="00746874"/>
    <w:rsid w:val="00746BD9"/>
    <w:rsid w:val="00746C47"/>
    <w:rsid w:val="00746CDA"/>
    <w:rsid w:val="0074734F"/>
    <w:rsid w:val="0074737C"/>
    <w:rsid w:val="00747627"/>
    <w:rsid w:val="007478AC"/>
    <w:rsid w:val="00747EAA"/>
    <w:rsid w:val="00750164"/>
    <w:rsid w:val="007502EB"/>
    <w:rsid w:val="007505C1"/>
    <w:rsid w:val="00750691"/>
    <w:rsid w:val="00750AA9"/>
    <w:rsid w:val="007511C1"/>
    <w:rsid w:val="00751536"/>
    <w:rsid w:val="00751A4A"/>
    <w:rsid w:val="00751DA3"/>
    <w:rsid w:val="007522ED"/>
    <w:rsid w:val="0075238E"/>
    <w:rsid w:val="00752712"/>
    <w:rsid w:val="00752942"/>
    <w:rsid w:val="00753B28"/>
    <w:rsid w:val="00753DDC"/>
    <w:rsid w:val="00753F32"/>
    <w:rsid w:val="00754D7D"/>
    <w:rsid w:val="00755BAD"/>
    <w:rsid w:val="00756086"/>
    <w:rsid w:val="00756141"/>
    <w:rsid w:val="00756815"/>
    <w:rsid w:val="00756ABA"/>
    <w:rsid w:val="007572E9"/>
    <w:rsid w:val="00757695"/>
    <w:rsid w:val="007579B7"/>
    <w:rsid w:val="00760410"/>
    <w:rsid w:val="00760478"/>
    <w:rsid w:val="007604BC"/>
    <w:rsid w:val="00760B82"/>
    <w:rsid w:val="00761383"/>
    <w:rsid w:val="00762ADB"/>
    <w:rsid w:val="00762C67"/>
    <w:rsid w:val="00762D16"/>
    <w:rsid w:val="0076384C"/>
    <w:rsid w:val="00763B18"/>
    <w:rsid w:val="00763BB1"/>
    <w:rsid w:val="00764270"/>
    <w:rsid w:val="00764567"/>
    <w:rsid w:val="00764A30"/>
    <w:rsid w:val="00764B59"/>
    <w:rsid w:val="0076509E"/>
    <w:rsid w:val="00765931"/>
    <w:rsid w:val="00765FB5"/>
    <w:rsid w:val="007661A9"/>
    <w:rsid w:val="00766EDA"/>
    <w:rsid w:val="0076703D"/>
    <w:rsid w:val="007671A4"/>
    <w:rsid w:val="007675A0"/>
    <w:rsid w:val="00767628"/>
    <w:rsid w:val="007701B2"/>
    <w:rsid w:val="007706A0"/>
    <w:rsid w:val="0077136F"/>
    <w:rsid w:val="007724C7"/>
    <w:rsid w:val="00772789"/>
    <w:rsid w:val="007731BD"/>
    <w:rsid w:val="0077329C"/>
    <w:rsid w:val="0077335A"/>
    <w:rsid w:val="00773524"/>
    <w:rsid w:val="00773E7E"/>
    <w:rsid w:val="0077467E"/>
    <w:rsid w:val="00774A03"/>
    <w:rsid w:val="00774DB1"/>
    <w:rsid w:val="00774E03"/>
    <w:rsid w:val="00774E48"/>
    <w:rsid w:val="00774FB2"/>
    <w:rsid w:val="00775935"/>
    <w:rsid w:val="00775AF6"/>
    <w:rsid w:val="00775DE5"/>
    <w:rsid w:val="00775DF6"/>
    <w:rsid w:val="00775EEE"/>
    <w:rsid w:val="0077690C"/>
    <w:rsid w:val="0077698A"/>
    <w:rsid w:val="00776D4A"/>
    <w:rsid w:val="00776F7A"/>
    <w:rsid w:val="00777333"/>
    <w:rsid w:val="007775E6"/>
    <w:rsid w:val="00777783"/>
    <w:rsid w:val="00780625"/>
    <w:rsid w:val="0078079E"/>
    <w:rsid w:val="007807E6"/>
    <w:rsid w:val="007811F1"/>
    <w:rsid w:val="00781217"/>
    <w:rsid w:val="00782B9C"/>
    <w:rsid w:val="007832B6"/>
    <w:rsid w:val="00783566"/>
    <w:rsid w:val="007838D1"/>
    <w:rsid w:val="00783A7E"/>
    <w:rsid w:val="00783AEA"/>
    <w:rsid w:val="0078443C"/>
    <w:rsid w:val="007847A5"/>
    <w:rsid w:val="007854CD"/>
    <w:rsid w:val="00785A4A"/>
    <w:rsid w:val="0078615C"/>
    <w:rsid w:val="0078617E"/>
    <w:rsid w:val="00786181"/>
    <w:rsid w:val="00786190"/>
    <w:rsid w:val="00786A01"/>
    <w:rsid w:val="0078717D"/>
    <w:rsid w:val="007874B1"/>
    <w:rsid w:val="00787DEB"/>
    <w:rsid w:val="0079031D"/>
    <w:rsid w:val="00790BBF"/>
    <w:rsid w:val="007919BE"/>
    <w:rsid w:val="00791A63"/>
    <w:rsid w:val="00791F45"/>
    <w:rsid w:val="007920AA"/>
    <w:rsid w:val="007929E5"/>
    <w:rsid w:val="007930AE"/>
    <w:rsid w:val="00793290"/>
    <w:rsid w:val="00793878"/>
    <w:rsid w:val="00793C83"/>
    <w:rsid w:val="007940BA"/>
    <w:rsid w:val="00794708"/>
    <w:rsid w:val="00794E87"/>
    <w:rsid w:val="00795011"/>
    <w:rsid w:val="00795CFC"/>
    <w:rsid w:val="0079632A"/>
    <w:rsid w:val="0079648B"/>
    <w:rsid w:val="00796B82"/>
    <w:rsid w:val="007970BE"/>
    <w:rsid w:val="00797608"/>
    <w:rsid w:val="007977B1"/>
    <w:rsid w:val="007979A0"/>
    <w:rsid w:val="00797B4F"/>
    <w:rsid w:val="00797DD1"/>
    <w:rsid w:val="007A0911"/>
    <w:rsid w:val="007A0C7F"/>
    <w:rsid w:val="007A0CCE"/>
    <w:rsid w:val="007A0E50"/>
    <w:rsid w:val="007A1213"/>
    <w:rsid w:val="007A1B5E"/>
    <w:rsid w:val="007A23BA"/>
    <w:rsid w:val="007A2E4E"/>
    <w:rsid w:val="007A34A3"/>
    <w:rsid w:val="007A3904"/>
    <w:rsid w:val="007A3E3A"/>
    <w:rsid w:val="007A3F10"/>
    <w:rsid w:val="007A4035"/>
    <w:rsid w:val="007A41DC"/>
    <w:rsid w:val="007A5609"/>
    <w:rsid w:val="007A57DD"/>
    <w:rsid w:val="007A6E8E"/>
    <w:rsid w:val="007A7B23"/>
    <w:rsid w:val="007B01C4"/>
    <w:rsid w:val="007B01FD"/>
    <w:rsid w:val="007B074D"/>
    <w:rsid w:val="007B0D5E"/>
    <w:rsid w:val="007B1491"/>
    <w:rsid w:val="007B2FEB"/>
    <w:rsid w:val="007B3449"/>
    <w:rsid w:val="007B35AF"/>
    <w:rsid w:val="007B3C9F"/>
    <w:rsid w:val="007B42D2"/>
    <w:rsid w:val="007B4499"/>
    <w:rsid w:val="007B4F36"/>
    <w:rsid w:val="007B51C6"/>
    <w:rsid w:val="007B5260"/>
    <w:rsid w:val="007B5913"/>
    <w:rsid w:val="007B591A"/>
    <w:rsid w:val="007B594A"/>
    <w:rsid w:val="007B5A07"/>
    <w:rsid w:val="007B668F"/>
    <w:rsid w:val="007B6C97"/>
    <w:rsid w:val="007B700F"/>
    <w:rsid w:val="007B7A6C"/>
    <w:rsid w:val="007B7CC5"/>
    <w:rsid w:val="007C0951"/>
    <w:rsid w:val="007C17BB"/>
    <w:rsid w:val="007C1AF4"/>
    <w:rsid w:val="007C22B3"/>
    <w:rsid w:val="007C2B71"/>
    <w:rsid w:val="007C2F0F"/>
    <w:rsid w:val="007C3221"/>
    <w:rsid w:val="007C3254"/>
    <w:rsid w:val="007C3D19"/>
    <w:rsid w:val="007C4291"/>
    <w:rsid w:val="007C493F"/>
    <w:rsid w:val="007C4F2A"/>
    <w:rsid w:val="007C536D"/>
    <w:rsid w:val="007C5980"/>
    <w:rsid w:val="007C5D39"/>
    <w:rsid w:val="007C5F31"/>
    <w:rsid w:val="007C7872"/>
    <w:rsid w:val="007C7CE4"/>
    <w:rsid w:val="007C7FE9"/>
    <w:rsid w:val="007D03C9"/>
    <w:rsid w:val="007D0428"/>
    <w:rsid w:val="007D082D"/>
    <w:rsid w:val="007D0C20"/>
    <w:rsid w:val="007D0E51"/>
    <w:rsid w:val="007D1B44"/>
    <w:rsid w:val="007D1DE3"/>
    <w:rsid w:val="007D5540"/>
    <w:rsid w:val="007D5C4A"/>
    <w:rsid w:val="007D645B"/>
    <w:rsid w:val="007D648B"/>
    <w:rsid w:val="007D6CBC"/>
    <w:rsid w:val="007D6E31"/>
    <w:rsid w:val="007D6EFF"/>
    <w:rsid w:val="007D7662"/>
    <w:rsid w:val="007D7B47"/>
    <w:rsid w:val="007E01F5"/>
    <w:rsid w:val="007E0551"/>
    <w:rsid w:val="007E0B94"/>
    <w:rsid w:val="007E0F4C"/>
    <w:rsid w:val="007E1959"/>
    <w:rsid w:val="007E2178"/>
    <w:rsid w:val="007E4140"/>
    <w:rsid w:val="007E42EA"/>
    <w:rsid w:val="007E4C21"/>
    <w:rsid w:val="007E4CCA"/>
    <w:rsid w:val="007E5750"/>
    <w:rsid w:val="007E578A"/>
    <w:rsid w:val="007E5B65"/>
    <w:rsid w:val="007E5C9F"/>
    <w:rsid w:val="007E5F9D"/>
    <w:rsid w:val="007E6216"/>
    <w:rsid w:val="007E7173"/>
    <w:rsid w:val="007E7CF7"/>
    <w:rsid w:val="007F00C3"/>
    <w:rsid w:val="007F0AF0"/>
    <w:rsid w:val="007F0E02"/>
    <w:rsid w:val="007F0FB3"/>
    <w:rsid w:val="007F1062"/>
    <w:rsid w:val="007F1508"/>
    <w:rsid w:val="007F1B34"/>
    <w:rsid w:val="007F1CE4"/>
    <w:rsid w:val="007F2058"/>
    <w:rsid w:val="007F2145"/>
    <w:rsid w:val="007F2879"/>
    <w:rsid w:val="007F30E6"/>
    <w:rsid w:val="007F3A72"/>
    <w:rsid w:val="007F4097"/>
    <w:rsid w:val="007F4243"/>
    <w:rsid w:val="007F4CD2"/>
    <w:rsid w:val="007F4F45"/>
    <w:rsid w:val="007F580C"/>
    <w:rsid w:val="007F5FDF"/>
    <w:rsid w:val="007F60BE"/>
    <w:rsid w:val="007F7085"/>
    <w:rsid w:val="007F7127"/>
    <w:rsid w:val="007F74A8"/>
    <w:rsid w:val="007F75EE"/>
    <w:rsid w:val="007F78F3"/>
    <w:rsid w:val="007F7E60"/>
    <w:rsid w:val="0080164F"/>
    <w:rsid w:val="00802133"/>
    <w:rsid w:val="008021B4"/>
    <w:rsid w:val="00802376"/>
    <w:rsid w:val="00802E8F"/>
    <w:rsid w:val="0080334E"/>
    <w:rsid w:val="00803F02"/>
    <w:rsid w:val="00803F5E"/>
    <w:rsid w:val="00804757"/>
    <w:rsid w:val="008052CF"/>
    <w:rsid w:val="008056DF"/>
    <w:rsid w:val="00805B4E"/>
    <w:rsid w:val="00806E5E"/>
    <w:rsid w:val="008072A1"/>
    <w:rsid w:val="008074BE"/>
    <w:rsid w:val="00810478"/>
    <w:rsid w:val="0081117E"/>
    <w:rsid w:val="0081120A"/>
    <w:rsid w:val="00811417"/>
    <w:rsid w:val="00811845"/>
    <w:rsid w:val="0081252D"/>
    <w:rsid w:val="00812A81"/>
    <w:rsid w:val="00812D94"/>
    <w:rsid w:val="00813052"/>
    <w:rsid w:val="008131B0"/>
    <w:rsid w:val="008133CC"/>
    <w:rsid w:val="00813665"/>
    <w:rsid w:val="00815085"/>
    <w:rsid w:val="0081527B"/>
    <w:rsid w:val="00815B14"/>
    <w:rsid w:val="00815D79"/>
    <w:rsid w:val="008165C2"/>
    <w:rsid w:val="00816889"/>
    <w:rsid w:val="00816A44"/>
    <w:rsid w:val="00816C71"/>
    <w:rsid w:val="00816E6E"/>
    <w:rsid w:val="008176CE"/>
    <w:rsid w:val="008176E4"/>
    <w:rsid w:val="00820722"/>
    <w:rsid w:val="00820737"/>
    <w:rsid w:val="00820ADA"/>
    <w:rsid w:val="00820E5E"/>
    <w:rsid w:val="00820F2C"/>
    <w:rsid w:val="00821600"/>
    <w:rsid w:val="00823143"/>
    <w:rsid w:val="008238A9"/>
    <w:rsid w:val="00823C95"/>
    <w:rsid w:val="00824C15"/>
    <w:rsid w:val="0082688B"/>
    <w:rsid w:val="00826CFA"/>
    <w:rsid w:val="00826D44"/>
    <w:rsid w:val="0082712A"/>
    <w:rsid w:val="00827D11"/>
    <w:rsid w:val="00827D40"/>
    <w:rsid w:val="0083090D"/>
    <w:rsid w:val="008309D0"/>
    <w:rsid w:val="00830B32"/>
    <w:rsid w:val="00830B8A"/>
    <w:rsid w:val="00830FF2"/>
    <w:rsid w:val="0083141A"/>
    <w:rsid w:val="00831784"/>
    <w:rsid w:val="00831904"/>
    <w:rsid w:val="00831CD4"/>
    <w:rsid w:val="008324B3"/>
    <w:rsid w:val="00832923"/>
    <w:rsid w:val="008337AC"/>
    <w:rsid w:val="00833AC9"/>
    <w:rsid w:val="00833EFD"/>
    <w:rsid w:val="00834156"/>
    <w:rsid w:val="00834FDD"/>
    <w:rsid w:val="008350C8"/>
    <w:rsid w:val="008351C6"/>
    <w:rsid w:val="0083566D"/>
    <w:rsid w:val="0083573A"/>
    <w:rsid w:val="00835815"/>
    <w:rsid w:val="00835ABF"/>
    <w:rsid w:val="00835D76"/>
    <w:rsid w:val="00835FCC"/>
    <w:rsid w:val="00836574"/>
    <w:rsid w:val="00836C62"/>
    <w:rsid w:val="00837574"/>
    <w:rsid w:val="0084013D"/>
    <w:rsid w:val="0084051E"/>
    <w:rsid w:val="008405AE"/>
    <w:rsid w:val="008405F2"/>
    <w:rsid w:val="00840871"/>
    <w:rsid w:val="00840A7D"/>
    <w:rsid w:val="008413D2"/>
    <w:rsid w:val="00841418"/>
    <w:rsid w:val="00841651"/>
    <w:rsid w:val="00843573"/>
    <w:rsid w:val="00843745"/>
    <w:rsid w:val="00843840"/>
    <w:rsid w:val="00844025"/>
    <w:rsid w:val="008448E0"/>
    <w:rsid w:val="00844E8A"/>
    <w:rsid w:val="00844EBD"/>
    <w:rsid w:val="00844EEC"/>
    <w:rsid w:val="008450A8"/>
    <w:rsid w:val="00845160"/>
    <w:rsid w:val="00845442"/>
    <w:rsid w:val="00845BBD"/>
    <w:rsid w:val="00845C48"/>
    <w:rsid w:val="0084650F"/>
    <w:rsid w:val="008466A9"/>
    <w:rsid w:val="00846F52"/>
    <w:rsid w:val="008500B0"/>
    <w:rsid w:val="00850126"/>
    <w:rsid w:val="008503F3"/>
    <w:rsid w:val="0085066E"/>
    <w:rsid w:val="00850E39"/>
    <w:rsid w:val="008511E6"/>
    <w:rsid w:val="008538B8"/>
    <w:rsid w:val="00853B58"/>
    <w:rsid w:val="00853D86"/>
    <w:rsid w:val="00854E01"/>
    <w:rsid w:val="00855B0A"/>
    <w:rsid w:val="00855B89"/>
    <w:rsid w:val="008576B3"/>
    <w:rsid w:val="008605A3"/>
    <w:rsid w:val="008606ED"/>
    <w:rsid w:val="00861499"/>
    <w:rsid w:val="00861843"/>
    <w:rsid w:val="00862AFF"/>
    <w:rsid w:val="00862EAF"/>
    <w:rsid w:val="008634C1"/>
    <w:rsid w:val="0086376D"/>
    <w:rsid w:val="0086398D"/>
    <w:rsid w:val="00863AC2"/>
    <w:rsid w:val="00865289"/>
    <w:rsid w:val="00865D52"/>
    <w:rsid w:val="00865DAC"/>
    <w:rsid w:val="00867339"/>
    <w:rsid w:val="00870F05"/>
    <w:rsid w:val="008712AC"/>
    <w:rsid w:val="008716AF"/>
    <w:rsid w:val="008719A8"/>
    <w:rsid w:val="00871A15"/>
    <w:rsid w:val="00871A25"/>
    <w:rsid w:val="00871C44"/>
    <w:rsid w:val="0087201E"/>
    <w:rsid w:val="00872C8C"/>
    <w:rsid w:val="00873B24"/>
    <w:rsid w:val="00873EF0"/>
    <w:rsid w:val="00874037"/>
    <w:rsid w:val="00874098"/>
    <w:rsid w:val="008748BB"/>
    <w:rsid w:val="00875079"/>
    <w:rsid w:val="008751C7"/>
    <w:rsid w:val="0087521A"/>
    <w:rsid w:val="008753CA"/>
    <w:rsid w:val="00875990"/>
    <w:rsid w:val="00876127"/>
    <w:rsid w:val="008761F9"/>
    <w:rsid w:val="00876581"/>
    <w:rsid w:val="00876981"/>
    <w:rsid w:val="00876AC5"/>
    <w:rsid w:val="00876D05"/>
    <w:rsid w:val="00877DE8"/>
    <w:rsid w:val="00880925"/>
    <w:rsid w:val="00880B4E"/>
    <w:rsid w:val="0088112F"/>
    <w:rsid w:val="00881691"/>
    <w:rsid w:val="008816EA"/>
    <w:rsid w:val="00881779"/>
    <w:rsid w:val="00881E3F"/>
    <w:rsid w:val="00881E84"/>
    <w:rsid w:val="0088294D"/>
    <w:rsid w:val="00883801"/>
    <w:rsid w:val="00883A93"/>
    <w:rsid w:val="00884FEF"/>
    <w:rsid w:val="008853AE"/>
    <w:rsid w:val="008854BE"/>
    <w:rsid w:val="0088601E"/>
    <w:rsid w:val="00886213"/>
    <w:rsid w:val="008868FD"/>
    <w:rsid w:val="00886B12"/>
    <w:rsid w:val="00886B30"/>
    <w:rsid w:val="00886DF8"/>
    <w:rsid w:val="00886F58"/>
    <w:rsid w:val="00887106"/>
    <w:rsid w:val="00887208"/>
    <w:rsid w:val="00887CA8"/>
    <w:rsid w:val="00891304"/>
    <w:rsid w:val="0089160B"/>
    <w:rsid w:val="00891729"/>
    <w:rsid w:val="008917BD"/>
    <w:rsid w:val="00891852"/>
    <w:rsid w:val="00892339"/>
    <w:rsid w:val="008925E9"/>
    <w:rsid w:val="00892E93"/>
    <w:rsid w:val="00893031"/>
    <w:rsid w:val="00893643"/>
    <w:rsid w:val="008936C5"/>
    <w:rsid w:val="00894015"/>
    <w:rsid w:val="008940B0"/>
    <w:rsid w:val="00894486"/>
    <w:rsid w:val="008944A7"/>
    <w:rsid w:val="00894E09"/>
    <w:rsid w:val="008953F3"/>
    <w:rsid w:val="00895433"/>
    <w:rsid w:val="00895465"/>
    <w:rsid w:val="00895C41"/>
    <w:rsid w:val="00895E40"/>
    <w:rsid w:val="00896386"/>
    <w:rsid w:val="008968CF"/>
    <w:rsid w:val="00896A0D"/>
    <w:rsid w:val="008973B2"/>
    <w:rsid w:val="008976E4"/>
    <w:rsid w:val="00897D54"/>
    <w:rsid w:val="008A14CC"/>
    <w:rsid w:val="008A167C"/>
    <w:rsid w:val="008A172B"/>
    <w:rsid w:val="008A193F"/>
    <w:rsid w:val="008A1F66"/>
    <w:rsid w:val="008A208B"/>
    <w:rsid w:val="008A2316"/>
    <w:rsid w:val="008A2508"/>
    <w:rsid w:val="008A290B"/>
    <w:rsid w:val="008A29E1"/>
    <w:rsid w:val="008A3AC8"/>
    <w:rsid w:val="008A3E2B"/>
    <w:rsid w:val="008A3EC6"/>
    <w:rsid w:val="008A40BB"/>
    <w:rsid w:val="008A4163"/>
    <w:rsid w:val="008A4164"/>
    <w:rsid w:val="008A42B7"/>
    <w:rsid w:val="008A4DEA"/>
    <w:rsid w:val="008A50A0"/>
    <w:rsid w:val="008A57D1"/>
    <w:rsid w:val="008A6B5E"/>
    <w:rsid w:val="008A6D63"/>
    <w:rsid w:val="008B02A2"/>
    <w:rsid w:val="008B06C6"/>
    <w:rsid w:val="008B097B"/>
    <w:rsid w:val="008B0C7D"/>
    <w:rsid w:val="008B0E54"/>
    <w:rsid w:val="008B1243"/>
    <w:rsid w:val="008B175E"/>
    <w:rsid w:val="008B1865"/>
    <w:rsid w:val="008B1B5B"/>
    <w:rsid w:val="008B1C40"/>
    <w:rsid w:val="008B2B5C"/>
    <w:rsid w:val="008B2F00"/>
    <w:rsid w:val="008B2F29"/>
    <w:rsid w:val="008B3C53"/>
    <w:rsid w:val="008B403E"/>
    <w:rsid w:val="008B4188"/>
    <w:rsid w:val="008B450D"/>
    <w:rsid w:val="008B47B9"/>
    <w:rsid w:val="008B47F4"/>
    <w:rsid w:val="008B4EE9"/>
    <w:rsid w:val="008B4FA9"/>
    <w:rsid w:val="008B58E5"/>
    <w:rsid w:val="008B5998"/>
    <w:rsid w:val="008B5F57"/>
    <w:rsid w:val="008B5F65"/>
    <w:rsid w:val="008B5FBB"/>
    <w:rsid w:val="008B60E5"/>
    <w:rsid w:val="008B689F"/>
    <w:rsid w:val="008B6E4D"/>
    <w:rsid w:val="008B741B"/>
    <w:rsid w:val="008B7A52"/>
    <w:rsid w:val="008B7CA4"/>
    <w:rsid w:val="008B7CF3"/>
    <w:rsid w:val="008B7E53"/>
    <w:rsid w:val="008C0296"/>
    <w:rsid w:val="008C02AC"/>
    <w:rsid w:val="008C1A49"/>
    <w:rsid w:val="008C1DBE"/>
    <w:rsid w:val="008C230A"/>
    <w:rsid w:val="008C24CB"/>
    <w:rsid w:val="008C3886"/>
    <w:rsid w:val="008C3B04"/>
    <w:rsid w:val="008C4183"/>
    <w:rsid w:val="008C4264"/>
    <w:rsid w:val="008C4854"/>
    <w:rsid w:val="008C50D8"/>
    <w:rsid w:val="008C528D"/>
    <w:rsid w:val="008C53D3"/>
    <w:rsid w:val="008C5528"/>
    <w:rsid w:val="008C60CB"/>
    <w:rsid w:val="008C633B"/>
    <w:rsid w:val="008C64F6"/>
    <w:rsid w:val="008C6613"/>
    <w:rsid w:val="008C6DC3"/>
    <w:rsid w:val="008C7111"/>
    <w:rsid w:val="008C786C"/>
    <w:rsid w:val="008C79C8"/>
    <w:rsid w:val="008C7AC6"/>
    <w:rsid w:val="008C7C5C"/>
    <w:rsid w:val="008D0029"/>
    <w:rsid w:val="008D004E"/>
    <w:rsid w:val="008D0FDB"/>
    <w:rsid w:val="008D106C"/>
    <w:rsid w:val="008D153C"/>
    <w:rsid w:val="008D1C0B"/>
    <w:rsid w:val="008D2370"/>
    <w:rsid w:val="008D24F5"/>
    <w:rsid w:val="008D2E8F"/>
    <w:rsid w:val="008D35E9"/>
    <w:rsid w:val="008D3734"/>
    <w:rsid w:val="008D391B"/>
    <w:rsid w:val="008D3A46"/>
    <w:rsid w:val="008D535C"/>
    <w:rsid w:val="008D5905"/>
    <w:rsid w:val="008D5B6A"/>
    <w:rsid w:val="008D5CD8"/>
    <w:rsid w:val="008D5E44"/>
    <w:rsid w:val="008D5EB8"/>
    <w:rsid w:val="008D62D4"/>
    <w:rsid w:val="008D62EA"/>
    <w:rsid w:val="008D67A9"/>
    <w:rsid w:val="008D6B3D"/>
    <w:rsid w:val="008D6B52"/>
    <w:rsid w:val="008D6D40"/>
    <w:rsid w:val="008D6D6B"/>
    <w:rsid w:val="008D7032"/>
    <w:rsid w:val="008D729E"/>
    <w:rsid w:val="008D7AD9"/>
    <w:rsid w:val="008E049F"/>
    <w:rsid w:val="008E0988"/>
    <w:rsid w:val="008E1964"/>
    <w:rsid w:val="008E36EF"/>
    <w:rsid w:val="008E373F"/>
    <w:rsid w:val="008E37F7"/>
    <w:rsid w:val="008E39A6"/>
    <w:rsid w:val="008E3F3B"/>
    <w:rsid w:val="008E47A3"/>
    <w:rsid w:val="008E4C74"/>
    <w:rsid w:val="008E4D93"/>
    <w:rsid w:val="008E4F5B"/>
    <w:rsid w:val="008E5789"/>
    <w:rsid w:val="008E58EA"/>
    <w:rsid w:val="008E5A06"/>
    <w:rsid w:val="008E604A"/>
    <w:rsid w:val="008E6677"/>
    <w:rsid w:val="008E7032"/>
    <w:rsid w:val="008E742C"/>
    <w:rsid w:val="008E7931"/>
    <w:rsid w:val="008F015C"/>
    <w:rsid w:val="008F1C4C"/>
    <w:rsid w:val="008F1EC1"/>
    <w:rsid w:val="008F21AF"/>
    <w:rsid w:val="008F21EB"/>
    <w:rsid w:val="008F2201"/>
    <w:rsid w:val="008F2599"/>
    <w:rsid w:val="008F2FA2"/>
    <w:rsid w:val="008F33BE"/>
    <w:rsid w:val="008F4613"/>
    <w:rsid w:val="008F5422"/>
    <w:rsid w:val="008F5521"/>
    <w:rsid w:val="008F599B"/>
    <w:rsid w:val="008F5D67"/>
    <w:rsid w:val="008F5F00"/>
    <w:rsid w:val="008F6AC3"/>
    <w:rsid w:val="008F796E"/>
    <w:rsid w:val="008F7EAE"/>
    <w:rsid w:val="00901967"/>
    <w:rsid w:val="00901F81"/>
    <w:rsid w:val="00902508"/>
    <w:rsid w:val="009026A8"/>
    <w:rsid w:val="009026AC"/>
    <w:rsid w:val="00902E51"/>
    <w:rsid w:val="0090305E"/>
    <w:rsid w:val="00903139"/>
    <w:rsid w:val="00903234"/>
    <w:rsid w:val="00903501"/>
    <w:rsid w:val="00904AEE"/>
    <w:rsid w:val="00904C36"/>
    <w:rsid w:val="00904E8B"/>
    <w:rsid w:val="00905A79"/>
    <w:rsid w:val="00905C04"/>
    <w:rsid w:val="00905F0B"/>
    <w:rsid w:val="009064DF"/>
    <w:rsid w:val="00906513"/>
    <w:rsid w:val="00906AEF"/>
    <w:rsid w:val="00906E64"/>
    <w:rsid w:val="00907301"/>
    <w:rsid w:val="0090754D"/>
    <w:rsid w:val="00910A72"/>
    <w:rsid w:val="00910B6C"/>
    <w:rsid w:val="00910CE7"/>
    <w:rsid w:val="009119B2"/>
    <w:rsid w:val="00911C79"/>
    <w:rsid w:val="00911EDC"/>
    <w:rsid w:val="00911F55"/>
    <w:rsid w:val="0091213B"/>
    <w:rsid w:val="00912388"/>
    <w:rsid w:val="00912CAE"/>
    <w:rsid w:val="00912F3C"/>
    <w:rsid w:val="009132C4"/>
    <w:rsid w:val="0091428E"/>
    <w:rsid w:val="0091451F"/>
    <w:rsid w:val="00914638"/>
    <w:rsid w:val="00915288"/>
    <w:rsid w:val="009152FF"/>
    <w:rsid w:val="009155D1"/>
    <w:rsid w:val="00915696"/>
    <w:rsid w:val="00915735"/>
    <w:rsid w:val="00915A8A"/>
    <w:rsid w:val="00915E4F"/>
    <w:rsid w:val="00915FB0"/>
    <w:rsid w:val="00916BC3"/>
    <w:rsid w:val="00916F40"/>
    <w:rsid w:val="009170E3"/>
    <w:rsid w:val="00917145"/>
    <w:rsid w:val="009173F8"/>
    <w:rsid w:val="009178A8"/>
    <w:rsid w:val="00917EFF"/>
    <w:rsid w:val="009204F7"/>
    <w:rsid w:val="009208AD"/>
    <w:rsid w:val="00920D41"/>
    <w:rsid w:val="00920F10"/>
    <w:rsid w:val="0092192C"/>
    <w:rsid w:val="0092250E"/>
    <w:rsid w:val="00922572"/>
    <w:rsid w:val="00922F1C"/>
    <w:rsid w:val="00924539"/>
    <w:rsid w:val="0092508A"/>
    <w:rsid w:val="009254B9"/>
    <w:rsid w:val="009257A5"/>
    <w:rsid w:val="00925C47"/>
    <w:rsid w:val="00925CE4"/>
    <w:rsid w:val="00925D2A"/>
    <w:rsid w:val="00927498"/>
    <w:rsid w:val="00927660"/>
    <w:rsid w:val="0093003B"/>
    <w:rsid w:val="00930149"/>
    <w:rsid w:val="009305F3"/>
    <w:rsid w:val="00930A35"/>
    <w:rsid w:val="009310AA"/>
    <w:rsid w:val="009311C9"/>
    <w:rsid w:val="009320AC"/>
    <w:rsid w:val="0093214B"/>
    <w:rsid w:val="009325C1"/>
    <w:rsid w:val="009330E8"/>
    <w:rsid w:val="009337EF"/>
    <w:rsid w:val="00933857"/>
    <w:rsid w:val="00933E37"/>
    <w:rsid w:val="00933F9D"/>
    <w:rsid w:val="00934550"/>
    <w:rsid w:val="00934F44"/>
    <w:rsid w:val="00935B21"/>
    <w:rsid w:val="00936C84"/>
    <w:rsid w:val="00937049"/>
    <w:rsid w:val="0093715D"/>
    <w:rsid w:val="009375BC"/>
    <w:rsid w:val="00937A8E"/>
    <w:rsid w:val="009400DA"/>
    <w:rsid w:val="0094045C"/>
    <w:rsid w:val="00940636"/>
    <w:rsid w:val="00940831"/>
    <w:rsid w:val="00941126"/>
    <w:rsid w:val="00942631"/>
    <w:rsid w:val="0094282F"/>
    <w:rsid w:val="00942A08"/>
    <w:rsid w:val="00942C20"/>
    <w:rsid w:val="0094354F"/>
    <w:rsid w:val="00943AA7"/>
    <w:rsid w:val="00943E88"/>
    <w:rsid w:val="009446C6"/>
    <w:rsid w:val="00944794"/>
    <w:rsid w:val="00944894"/>
    <w:rsid w:val="00944B97"/>
    <w:rsid w:val="00944E08"/>
    <w:rsid w:val="00944ED3"/>
    <w:rsid w:val="00945B08"/>
    <w:rsid w:val="00945E2F"/>
    <w:rsid w:val="00947554"/>
    <w:rsid w:val="00947B56"/>
    <w:rsid w:val="00947DD8"/>
    <w:rsid w:val="0095016C"/>
    <w:rsid w:val="009509F6"/>
    <w:rsid w:val="00950AAE"/>
    <w:rsid w:val="00950DB9"/>
    <w:rsid w:val="009517D4"/>
    <w:rsid w:val="00951DE2"/>
    <w:rsid w:val="00953080"/>
    <w:rsid w:val="0095326F"/>
    <w:rsid w:val="00954877"/>
    <w:rsid w:val="00954AA1"/>
    <w:rsid w:val="00955AAA"/>
    <w:rsid w:val="009560D8"/>
    <w:rsid w:val="00957B5B"/>
    <w:rsid w:val="00960016"/>
    <w:rsid w:val="0096072F"/>
    <w:rsid w:val="00960737"/>
    <w:rsid w:val="0096234A"/>
    <w:rsid w:val="00962555"/>
    <w:rsid w:val="0096300A"/>
    <w:rsid w:val="00963250"/>
    <w:rsid w:val="00963A34"/>
    <w:rsid w:val="00963EFC"/>
    <w:rsid w:val="00964776"/>
    <w:rsid w:val="00964C83"/>
    <w:rsid w:val="00964CCC"/>
    <w:rsid w:val="00964EC4"/>
    <w:rsid w:val="00964F82"/>
    <w:rsid w:val="00966BA4"/>
    <w:rsid w:val="009679E7"/>
    <w:rsid w:val="00967A30"/>
    <w:rsid w:val="00967F9A"/>
    <w:rsid w:val="00970067"/>
    <w:rsid w:val="00970C80"/>
    <w:rsid w:val="00970D59"/>
    <w:rsid w:val="009715FF"/>
    <w:rsid w:val="00971C64"/>
    <w:rsid w:val="009725FE"/>
    <w:rsid w:val="00973002"/>
    <w:rsid w:val="00973BBD"/>
    <w:rsid w:val="009745B5"/>
    <w:rsid w:val="00974656"/>
    <w:rsid w:val="00974961"/>
    <w:rsid w:val="009749DC"/>
    <w:rsid w:val="009749E6"/>
    <w:rsid w:val="00974C45"/>
    <w:rsid w:val="00974F0B"/>
    <w:rsid w:val="009750E5"/>
    <w:rsid w:val="00975443"/>
    <w:rsid w:val="00975CC1"/>
    <w:rsid w:val="0097624B"/>
    <w:rsid w:val="009762FC"/>
    <w:rsid w:val="0097712F"/>
    <w:rsid w:val="00977501"/>
    <w:rsid w:val="00977534"/>
    <w:rsid w:val="0098060E"/>
    <w:rsid w:val="00980BEA"/>
    <w:rsid w:val="00980E33"/>
    <w:rsid w:val="0098106A"/>
    <w:rsid w:val="00981E2A"/>
    <w:rsid w:val="00981EF0"/>
    <w:rsid w:val="00983694"/>
    <w:rsid w:val="0098390E"/>
    <w:rsid w:val="00983C14"/>
    <w:rsid w:val="00983D1D"/>
    <w:rsid w:val="00984B50"/>
    <w:rsid w:val="00985C63"/>
    <w:rsid w:val="00986C1D"/>
    <w:rsid w:val="00986C39"/>
    <w:rsid w:val="00986D2A"/>
    <w:rsid w:val="00986DD1"/>
    <w:rsid w:val="009876FA"/>
    <w:rsid w:val="0098782A"/>
    <w:rsid w:val="00987879"/>
    <w:rsid w:val="00987DE7"/>
    <w:rsid w:val="0099029F"/>
    <w:rsid w:val="00990346"/>
    <w:rsid w:val="0099054B"/>
    <w:rsid w:val="009909FB"/>
    <w:rsid w:val="00990FE6"/>
    <w:rsid w:val="00991172"/>
    <w:rsid w:val="0099119A"/>
    <w:rsid w:val="0099175F"/>
    <w:rsid w:val="00991C94"/>
    <w:rsid w:val="009920E5"/>
    <w:rsid w:val="0099222F"/>
    <w:rsid w:val="009922BF"/>
    <w:rsid w:val="00992955"/>
    <w:rsid w:val="009931C0"/>
    <w:rsid w:val="00994010"/>
    <w:rsid w:val="00995085"/>
    <w:rsid w:val="0099543B"/>
    <w:rsid w:val="00995560"/>
    <w:rsid w:val="009957B2"/>
    <w:rsid w:val="00996323"/>
    <w:rsid w:val="00996537"/>
    <w:rsid w:val="00996AFE"/>
    <w:rsid w:val="00996CBD"/>
    <w:rsid w:val="00996FFB"/>
    <w:rsid w:val="0099731A"/>
    <w:rsid w:val="0099761E"/>
    <w:rsid w:val="00997C83"/>
    <w:rsid w:val="009A022D"/>
    <w:rsid w:val="009A04A9"/>
    <w:rsid w:val="009A07F8"/>
    <w:rsid w:val="009A0D4D"/>
    <w:rsid w:val="009A0D6E"/>
    <w:rsid w:val="009A18B6"/>
    <w:rsid w:val="009A18EE"/>
    <w:rsid w:val="009A2E74"/>
    <w:rsid w:val="009A336C"/>
    <w:rsid w:val="009A34FA"/>
    <w:rsid w:val="009A35FF"/>
    <w:rsid w:val="009A3F6D"/>
    <w:rsid w:val="009A42F1"/>
    <w:rsid w:val="009A4AE0"/>
    <w:rsid w:val="009A4F49"/>
    <w:rsid w:val="009A554B"/>
    <w:rsid w:val="009A5D50"/>
    <w:rsid w:val="009A6192"/>
    <w:rsid w:val="009A6F2A"/>
    <w:rsid w:val="009A7B47"/>
    <w:rsid w:val="009A7FC9"/>
    <w:rsid w:val="009B061B"/>
    <w:rsid w:val="009B06ED"/>
    <w:rsid w:val="009B1604"/>
    <w:rsid w:val="009B1E6B"/>
    <w:rsid w:val="009B2683"/>
    <w:rsid w:val="009B29F3"/>
    <w:rsid w:val="009B3300"/>
    <w:rsid w:val="009B4134"/>
    <w:rsid w:val="009B42DB"/>
    <w:rsid w:val="009B464B"/>
    <w:rsid w:val="009B5ADB"/>
    <w:rsid w:val="009B5D7C"/>
    <w:rsid w:val="009B6459"/>
    <w:rsid w:val="009B710E"/>
    <w:rsid w:val="009C069F"/>
    <w:rsid w:val="009C1CC8"/>
    <w:rsid w:val="009C256E"/>
    <w:rsid w:val="009C3014"/>
    <w:rsid w:val="009C309F"/>
    <w:rsid w:val="009C3BC9"/>
    <w:rsid w:val="009C3D0E"/>
    <w:rsid w:val="009C5017"/>
    <w:rsid w:val="009C566A"/>
    <w:rsid w:val="009C5676"/>
    <w:rsid w:val="009C58F4"/>
    <w:rsid w:val="009C5A6A"/>
    <w:rsid w:val="009C5B09"/>
    <w:rsid w:val="009C5E68"/>
    <w:rsid w:val="009C5F86"/>
    <w:rsid w:val="009C63B8"/>
    <w:rsid w:val="009C63C1"/>
    <w:rsid w:val="009C63EC"/>
    <w:rsid w:val="009C6B04"/>
    <w:rsid w:val="009C6B4C"/>
    <w:rsid w:val="009C6BC8"/>
    <w:rsid w:val="009C7C14"/>
    <w:rsid w:val="009D010A"/>
    <w:rsid w:val="009D09D4"/>
    <w:rsid w:val="009D0D29"/>
    <w:rsid w:val="009D12DF"/>
    <w:rsid w:val="009D13D4"/>
    <w:rsid w:val="009D17E8"/>
    <w:rsid w:val="009D1CA4"/>
    <w:rsid w:val="009D255C"/>
    <w:rsid w:val="009D258B"/>
    <w:rsid w:val="009D2602"/>
    <w:rsid w:val="009D3662"/>
    <w:rsid w:val="009D36BB"/>
    <w:rsid w:val="009D37E6"/>
    <w:rsid w:val="009D3CB8"/>
    <w:rsid w:val="009D3D9B"/>
    <w:rsid w:val="009D4434"/>
    <w:rsid w:val="009D45A8"/>
    <w:rsid w:val="009D49E6"/>
    <w:rsid w:val="009D5033"/>
    <w:rsid w:val="009D553D"/>
    <w:rsid w:val="009D56B9"/>
    <w:rsid w:val="009D6035"/>
    <w:rsid w:val="009D65A2"/>
    <w:rsid w:val="009D6989"/>
    <w:rsid w:val="009D7077"/>
    <w:rsid w:val="009D7A59"/>
    <w:rsid w:val="009D7D65"/>
    <w:rsid w:val="009E2359"/>
    <w:rsid w:val="009E29EB"/>
    <w:rsid w:val="009E3AB2"/>
    <w:rsid w:val="009E3D1A"/>
    <w:rsid w:val="009E3EB5"/>
    <w:rsid w:val="009E4357"/>
    <w:rsid w:val="009E43C7"/>
    <w:rsid w:val="009E4740"/>
    <w:rsid w:val="009E4BA4"/>
    <w:rsid w:val="009E4E28"/>
    <w:rsid w:val="009E4FE1"/>
    <w:rsid w:val="009E506E"/>
    <w:rsid w:val="009E607D"/>
    <w:rsid w:val="009E61A0"/>
    <w:rsid w:val="009E6240"/>
    <w:rsid w:val="009E65D0"/>
    <w:rsid w:val="009E6C39"/>
    <w:rsid w:val="009E6F62"/>
    <w:rsid w:val="009E720F"/>
    <w:rsid w:val="009E75CD"/>
    <w:rsid w:val="009E7654"/>
    <w:rsid w:val="009E7ADD"/>
    <w:rsid w:val="009F055D"/>
    <w:rsid w:val="009F096B"/>
    <w:rsid w:val="009F1BF7"/>
    <w:rsid w:val="009F2192"/>
    <w:rsid w:val="009F2240"/>
    <w:rsid w:val="009F2AB2"/>
    <w:rsid w:val="009F2C18"/>
    <w:rsid w:val="009F2F37"/>
    <w:rsid w:val="009F3505"/>
    <w:rsid w:val="009F37A5"/>
    <w:rsid w:val="009F3A05"/>
    <w:rsid w:val="009F3A34"/>
    <w:rsid w:val="009F3DF1"/>
    <w:rsid w:val="009F3F23"/>
    <w:rsid w:val="009F420A"/>
    <w:rsid w:val="009F4408"/>
    <w:rsid w:val="009F4CD6"/>
    <w:rsid w:val="009F4F49"/>
    <w:rsid w:val="009F4FAA"/>
    <w:rsid w:val="009F5A80"/>
    <w:rsid w:val="009F5B62"/>
    <w:rsid w:val="009F60DA"/>
    <w:rsid w:val="009F6A2E"/>
    <w:rsid w:val="009F6B2B"/>
    <w:rsid w:val="009F75CE"/>
    <w:rsid w:val="009F7928"/>
    <w:rsid w:val="00A00016"/>
    <w:rsid w:val="00A003A9"/>
    <w:rsid w:val="00A004F7"/>
    <w:rsid w:val="00A0092A"/>
    <w:rsid w:val="00A00A5F"/>
    <w:rsid w:val="00A00FE9"/>
    <w:rsid w:val="00A015B8"/>
    <w:rsid w:val="00A016AA"/>
    <w:rsid w:val="00A01A1D"/>
    <w:rsid w:val="00A01EE9"/>
    <w:rsid w:val="00A02516"/>
    <w:rsid w:val="00A02536"/>
    <w:rsid w:val="00A029C9"/>
    <w:rsid w:val="00A03991"/>
    <w:rsid w:val="00A045D8"/>
    <w:rsid w:val="00A0486F"/>
    <w:rsid w:val="00A04B3F"/>
    <w:rsid w:val="00A04FDE"/>
    <w:rsid w:val="00A0525E"/>
    <w:rsid w:val="00A05652"/>
    <w:rsid w:val="00A059F2"/>
    <w:rsid w:val="00A05A01"/>
    <w:rsid w:val="00A068B1"/>
    <w:rsid w:val="00A07C07"/>
    <w:rsid w:val="00A07EA4"/>
    <w:rsid w:val="00A10063"/>
    <w:rsid w:val="00A10160"/>
    <w:rsid w:val="00A10EA1"/>
    <w:rsid w:val="00A1111F"/>
    <w:rsid w:val="00A120F6"/>
    <w:rsid w:val="00A123BC"/>
    <w:rsid w:val="00A12BFE"/>
    <w:rsid w:val="00A13903"/>
    <w:rsid w:val="00A139D2"/>
    <w:rsid w:val="00A13CD7"/>
    <w:rsid w:val="00A13DB8"/>
    <w:rsid w:val="00A14051"/>
    <w:rsid w:val="00A14985"/>
    <w:rsid w:val="00A14D2E"/>
    <w:rsid w:val="00A15022"/>
    <w:rsid w:val="00A151EE"/>
    <w:rsid w:val="00A15444"/>
    <w:rsid w:val="00A16100"/>
    <w:rsid w:val="00A16242"/>
    <w:rsid w:val="00A16B23"/>
    <w:rsid w:val="00A1712E"/>
    <w:rsid w:val="00A17607"/>
    <w:rsid w:val="00A1779F"/>
    <w:rsid w:val="00A179AA"/>
    <w:rsid w:val="00A207AD"/>
    <w:rsid w:val="00A21851"/>
    <w:rsid w:val="00A2191B"/>
    <w:rsid w:val="00A22148"/>
    <w:rsid w:val="00A22527"/>
    <w:rsid w:val="00A22BE9"/>
    <w:rsid w:val="00A22CC9"/>
    <w:rsid w:val="00A23370"/>
    <w:rsid w:val="00A23457"/>
    <w:rsid w:val="00A23491"/>
    <w:rsid w:val="00A23597"/>
    <w:rsid w:val="00A23EF0"/>
    <w:rsid w:val="00A25602"/>
    <w:rsid w:val="00A2608B"/>
    <w:rsid w:val="00A26C76"/>
    <w:rsid w:val="00A273C2"/>
    <w:rsid w:val="00A307D2"/>
    <w:rsid w:val="00A30826"/>
    <w:rsid w:val="00A30966"/>
    <w:rsid w:val="00A30BB3"/>
    <w:rsid w:val="00A30C9A"/>
    <w:rsid w:val="00A30CB7"/>
    <w:rsid w:val="00A3173E"/>
    <w:rsid w:val="00A3264B"/>
    <w:rsid w:val="00A327AF"/>
    <w:rsid w:val="00A32AFD"/>
    <w:rsid w:val="00A33406"/>
    <w:rsid w:val="00A33B75"/>
    <w:rsid w:val="00A343E1"/>
    <w:rsid w:val="00A344FE"/>
    <w:rsid w:val="00A359F2"/>
    <w:rsid w:val="00A35DFC"/>
    <w:rsid w:val="00A36231"/>
    <w:rsid w:val="00A370D3"/>
    <w:rsid w:val="00A3738E"/>
    <w:rsid w:val="00A37768"/>
    <w:rsid w:val="00A37A11"/>
    <w:rsid w:val="00A37A27"/>
    <w:rsid w:val="00A37BAF"/>
    <w:rsid w:val="00A4014B"/>
    <w:rsid w:val="00A413B3"/>
    <w:rsid w:val="00A415A3"/>
    <w:rsid w:val="00A4178F"/>
    <w:rsid w:val="00A41F9B"/>
    <w:rsid w:val="00A425F7"/>
    <w:rsid w:val="00A4296D"/>
    <w:rsid w:val="00A43A7D"/>
    <w:rsid w:val="00A447DD"/>
    <w:rsid w:val="00A44949"/>
    <w:rsid w:val="00A450A3"/>
    <w:rsid w:val="00A4670B"/>
    <w:rsid w:val="00A4693E"/>
    <w:rsid w:val="00A47D86"/>
    <w:rsid w:val="00A47E28"/>
    <w:rsid w:val="00A47F74"/>
    <w:rsid w:val="00A50792"/>
    <w:rsid w:val="00A50CA6"/>
    <w:rsid w:val="00A51708"/>
    <w:rsid w:val="00A51845"/>
    <w:rsid w:val="00A51AA2"/>
    <w:rsid w:val="00A52656"/>
    <w:rsid w:val="00A530FD"/>
    <w:rsid w:val="00A53164"/>
    <w:rsid w:val="00A5328A"/>
    <w:rsid w:val="00A53D2F"/>
    <w:rsid w:val="00A54210"/>
    <w:rsid w:val="00A5424D"/>
    <w:rsid w:val="00A55247"/>
    <w:rsid w:val="00A5548E"/>
    <w:rsid w:val="00A554F8"/>
    <w:rsid w:val="00A55CA7"/>
    <w:rsid w:val="00A56BD5"/>
    <w:rsid w:val="00A56C0D"/>
    <w:rsid w:val="00A57F2A"/>
    <w:rsid w:val="00A60132"/>
    <w:rsid w:val="00A60366"/>
    <w:rsid w:val="00A60AD4"/>
    <w:rsid w:val="00A60C6A"/>
    <w:rsid w:val="00A60F86"/>
    <w:rsid w:val="00A61A50"/>
    <w:rsid w:val="00A61F95"/>
    <w:rsid w:val="00A6201A"/>
    <w:rsid w:val="00A62439"/>
    <w:rsid w:val="00A63794"/>
    <w:rsid w:val="00A63A58"/>
    <w:rsid w:val="00A641F5"/>
    <w:rsid w:val="00A64B64"/>
    <w:rsid w:val="00A6541B"/>
    <w:rsid w:val="00A65557"/>
    <w:rsid w:val="00A6585E"/>
    <w:rsid w:val="00A65D24"/>
    <w:rsid w:val="00A66AC4"/>
    <w:rsid w:val="00A7031A"/>
    <w:rsid w:val="00A703C1"/>
    <w:rsid w:val="00A707CB"/>
    <w:rsid w:val="00A70CBA"/>
    <w:rsid w:val="00A71AE8"/>
    <w:rsid w:val="00A723E5"/>
    <w:rsid w:val="00A72675"/>
    <w:rsid w:val="00A72A19"/>
    <w:rsid w:val="00A72AF9"/>
    <w:rsid w:val="00A72B66"/>
    <w:rsid w:val="00A738D5"/>
    <w:rsid w:val="00A74256"/>
    <w:rsid w:val="00A744A3"/>
    <w:rsid w:val="00A7507C"/>
    <w:rsid w:val="00A75E38"/>
    <w:rsid w:val="00A76ACA"/>
    <w:rsid w:val="00A76DB5"/>
    <w:rsid w:val="00A774B8"/>
    <w:rsid w:val="00A77818"/>
    <w:rsid w:val="00A77893"/>
    <w:rsid w:val="00A77AAF"/>
    <w:rsid w:val="00A803AF"/>
    <w:rsid w:val="00A8040C"/>
    <w:rsid w:val="00A80ECE"/>
    <w:rsid w:val="00A80FEE"/>
    <w:rsid w:val="00A81555"/>
    <w:rsid w:val="00A8231A"/>
    <w:rsid w:val="00A828EB"/>
    <w:rsid w:val="00A83A32"/>
    <w:rsid w:val="00A8424B"/>
    <w:rsid w:val="00A8424C"/>
    <w:rsid w:val="00A84DC8"/>
    <w:rsid w:val="00A859FE"/>
    <w:rsid w:val="00A85CAD"/>
    <w:rsid w:val="00A85DAA"/>
    <w:rsid w:val="00A86035"/>
    <w:rsid w:val="00A8639C"/>
    <w:rsid w:val="00A8644F"/>
    <w:rsid w:val="00A86A40"/>
    <w:rsid w:val="00A86B72"/>
    <w:rsid w:val="00A86B92"/>
    <w:rsid w:val="00A86F72"/>
    <w:rsid w:val="00A871BE"/>
    <w:rsid w:val="00A904E6"/>
    <w:rsid w:val="00A91C91"/>
    <w:rsid w:val="00A92186"/>
    <w:rsid w:val="00A9231E"/>
    <w:rsid w:val="00A923F7"/>
    <w:rsid w:val="00A929DC"/>
    <w:rsid w:val="00A9329F"/>
    <w:rsid w:val="00A9350E"/>
    <w:rsid w:val="00A93A3D"/>
    <w:rsid w:val="00A94211"/>
    <w:rsid w:val="00A942D9"/>
    <w:rsid w:val="00A94817"/>
    <w:rsid w:val="00A94E02"/>
    <w:rsid w:val="00A952BF"/>
    <w:rsid w:val="00A955CD"/>
    <w:rsid w:val="00A95F1E"/>
    <w:rsid w:val="00A961C1"/>
    <w:rsid w:val="00A966E7"/>
    <w:rsid w:val="00A96FBB"/>
    <w:rsid w:val="00A978C7"/>
    <w:rsid w:val="00A97952"/>
    <w:rsid w:val="00AA15AA"/>
    <w:rsid w:val="00AA16D8"/>
    <w:rsid w:val="00AA19FB"/>
    <w:rsid w:val="00AA24C4"/>
    <w:rsid w:val="00AA27D2"/>
    <w:rsid w:val="00AA2E35"/>
    <w:rsid w:val="00AA3006"/>
    <w:rsid w:val="00AA36C9"/>
    <w:rsid w:val="00AA3990"/>
    <w:rsid w:val="00AA3994"/>
    <w:rsid w:val="00AA3A46"/>
    <w:rsid w:val="00AA4DBC"/>
    <w:rsid w:val="00AA50B8"/>
    <w:rsid w:val="00AA5413"/>
    <w:rsid w:val="00AA55DA"/>
    <w:rsid w:val="00AA5BF8"/>
    <w:rsid w:val="00AA61ED"/>
    <w:rsid w:val="00AA623F"/>
    <w:rsid w:val="00AA6954"/>
    <w:rsid w:val="00AA750F"/>
    <w:rsid w:val="00AA76F6"/>
    <w:rsid w:val="00AA783E"/>
    <w:rsid w:val="00AA79CA"/>
    <w:rsid w:val="00AA7C4D"/>
    <w:rsid w:val="00AB0055"/>
    <w:rsid w:val="00AB06D0"/>
    <w:rsid w:val="00AB0C68"/>
    <w:rsid w:val="00AB0ED7"/>
    <w:rsid w:val="00AB1CF8"/>
    <w:rsid w:val="00AB1EB1"/>
    <w:rsid w:val="00AB2530"/>
    <w:rsid w:val="00AB260C"/>
    <w:rsid w:val="00AB2C7B"/>
    <w:rsid w:val="00AB321A"/>
    <w:rsid w:val="00AB4326"/>
    <w:rsid w:val="00AB4731"/>
    <w:rsid w:val="00AB4989"/>
    <w:rsid w:val="00AB499B"/>
    <w:rsid w:val="00AB4AA8"/>
    <w:rsid w:val="00AB5934"/>
    <w:rsid w:val="00AB64C7"/>
    <w:rsid w:val="00AB6675"/>
    <w:rsid w:val="00AB6757"/>
    <w:rsid w:val="00AB6A05"/>
    <w:rsid w:val="00AB6ED9"/>
    <w:rsid w:val="00AB6FB6"/>
    <w:rsid w:val="00AB7225"/>
    <w:rsid w:val="00AB723E"/>
    <w:rsid w:val="00AB789E"/>
    <w:rsid w:val="00AC02FC"/>
    <w:rsid w:val="00AC0443"/>
    <w:rsid w:val="00AC07DE"/>
    <w:rsid w:val="00AC0CB6"/>
    <w:rsid w:val="00AC0CD9"/>
    <w:rsid w:val="00AC0F70"/>
    <w:rsid w:val="00AC2261"/>
    <w:rsid w:val="00AC235B"/>
    <w:rsid w:val="00AC2ADF"/>
    <w:rsid w:val="00AC329D"/>
    <w:rsid w:val="00AC35A4"/>
    <w:rsid w:val="00AC3874"/>
    <w:rsid w:val="00AC4C59"/>
    <w:rsid w:val="00AC4D9A"/>
    <w:rsid w:val="00AC50EB"/>
    <w:rsid w:val="00AC51E2"/>
    <w:rsid w:val="00AC5847"/>
    <w:rsid w:val="00AC5908"/>
    <w:rsid w:val="00AC5D6F"/>
    <w:rsid w:val="00AC6349"/>
    <w:rsid w:val="00AC67EC"/>
    <w:rsid w:val="00AC765F"/>
    <w:rsid w:val="00AC79EE"/>
    <w:rsid w:val="00AC7B27"/>
    <w:rsid w:val="00AD1858"/>
    <w:rsid w:val="00AD218B"/>
    <w:rsid w:val="00AD230B"/>
    <w:rsid w:val="00AD2840"/>
    <w:rsid w:val="00AD3184"/>
    <w:rsid w:val="00AD3251"/>
    <w:rsid w:val="00AD34D3"/>
    <w:rsid w:val="00AD3609"/>
    <w:rsid w:val="00AD397F"/>
    <w:rsid w:val="00AD4347"/>
    <w:rsid w:val="00AD44EB"/>
    <w:rsid w:val="00AD5471"/>
    <w:rsid w:val="00AD54D5"/>
    <w:rsid w:val="00AD5A4A"/>
    <w:rsid w:val="00AD5D7C"/>
    <w:rsid w:val="00AD723F"/>
    <w:rsid w:val="00AD7758"/>
    <w:rsid w:val="00AD77E1"/>
    <w:rsid w:val="00AE02F4"/>
    <w:rsid w:val="00AE049F"/>
    <w:rsid w:val="00AE0790"/>
    <w:rsid w:val="00AE0EAC"/>
    <w:rsid w:val="00AE12B3"/>
    <w:rsid w:val="00AE1795"/>
    <w:rsid w:val="00AE199A"/>
    <w:rsid w:val="00AE21B9"/>
    <w:rsid w:val="00AE21EA"/>
    <w:rsid w:val="00AE2346"/>
    <w:rsid w:val="00AE2B26"/>
    <w:rsid w:val="00AE2C62"/>
    <w:rsid w:val="00AE2EEC"/>
    <w:rsid w:val="00AE329B"/>
    <w:rsid w:val="00AE399E"/>
    <w:rsid w:val="00AE45DF"/>
    <w:rsid w:val="00AE4EFC"/>
    <w:rsid w:val="00AE547A"/>
    <w:rsid w:val="00AE5AF9"/>
    <w:rsid w:val="00AE5B90"/>
    <w:rsid w:val="00AE7099"/>
    <w:rsid w:val="00AE75D4"/>
    <w:rsid w:val="00AF023F"/>
    <w:rsid w:val="00AF08E3"/>
    <w:rsid w:val="00AF0A9E"/>
    <w:rsid w:val="00AF0C23"/>
    <w:rsid w:val="00AF0D8A"/>
    <w:rsid w:val="00AF1CA6"/>
    <w:rsid w:val="00AF2274"/>
    <w:rsid w:val="00AF23D6"/>
    <w:rsid w:val="00AF2DB8"/>
    <w:rsid w:val="00AF472B"/>
    <w:rsid w:val="00AF4D21"/>
    <w:rsid w:val="00AF539C"/>
    <w:rsid w:val="00AF5E59"/>
    <w:rsid w:val="00AF689D"/>
    <w:rsid w:val="00AF6A0C"/>
    <w:rsid w:val="00AF79C2"/>
    <w:rsid w:val="00AF7CE3"/>
    <w:rsid w:val="00B00A54"/>
    <w:rsid w:val="00B00FC5"/>
    <w:rsid w:val="00B01682"/>
    <w:rsid w:val="00B01970"/>
    <w:rsid w:val="00B01C52"/>
    <w:rsid w:val="00B02007"/>
    <w:rsid w:val="00B0276B"/>
    <w:rsid w:val="00B03379"/>
    <w:rsid w:val="00B051D1"/>
    <w:rsid w:val="00B0545D"/>
    <w:rsid w:val="00B05622"/>
    <w:rsid w:val="00B05633"/>
    <w:rsid w:val="00B05964"/>
    <w:rsid w:val="00B05B52"/>
    <w:rsid w:val="00B06096"/>
    <w:rsid w:val="00B063AD"/>
    <w:rsid w:val="00B06406"/>
    <w:rsid w:val="00B06570"/>
    <w:rsid w:val="00B066E8"/>
    <w:rsid w:val="00B06C41"/>
    <w:rsid w:val="00B07017"/>
    <w:rsid w:val="00B079A7"/>
    <w:rsid w:val="00B07C7A"/>
    <w:rsid w:val="00B07F12"/>
    <w:rsid w:val="00B104AA"/>
    <w:rsid w:val="00B106EE"/>
    <w:rsid w:val="00B10B57"/>
    <w:rsid w:val="00B10DD4"/>
    <w:rsid w:val="00B11619"/>
    <w:rsid w:val="00B11789"/>
    <w:rsid w:val="00B13140"/>
    <w:rsid w:val="00B13E48"/>
    <w:rsid w:val="00B14119"/>
    <w:rsid w:val="00B147B6"/>
    <w:rsid w:val="00B14FBA"/>
    <w:rsid w:val="00B15094"/>
    <w:rsid w:val="00B150C7"/>
    <w:rsid w:val="00B15C5C"/>
    <w:rsid w:val="00B16460"/>
    <w:rsid w:val="00B16C4E"/>
    <w:rsid w:val="00B16C60"/>
    <w:rsid w:val="00B16ED3"/>
    <w:rsid w:val="00B17B7D"/>
    <w:rsid w:val="00B17C95"/>
    <w:rsid w:val="00B20EE4"/>
    <w:rsid w:val="00B21251"/>
    <w:rsid w:val="00B2157B"/>
    <w:rsid w:val="00B216C3"/>
    <w:rsid w:val="00B219BC"/>
    <w:rsid w:val="00B22279"/>
    <w:rsid w:val="00B22430"/>
    <w:rsid w:val="00B229F1"/>
    <w:rsid w:val="00B22E2F"/>
    <w:rsid w:val="00B23EE2"/>
    <w:rsid w:val="00B2438A"/>
    <w:rsid w:val="00B24607"/>
    <w:rsid w:val="00B24616"/>
    <w:rsid w:val="00B24A6D"/>
    <w:rsid w:val="00B255E7"/>
    <w:rsid w:val="00B26169"/>
    <w:rsid w:val="00B263B0"/>
    <w:rsid w:val="00B2706C"/>
    <w:rsid w:val="00B27C3E"/>
    <w:rsid w:val="00B27FD2"/>
    <w:rsid w:val="00B303ED"/>
    <w:rsid w:val="00B308A9"/>
    <w:rsid w:val="00B30B8C"/>
    <w:rsid w:val="00B30C31"/>
    <w:rsid w:val="00B31658"/>
    <w:rsid w:val="00B31B0A"/>
    <w:rsid w:val="00B31BD6"/>
    <w:rsid w:val="00B31CFE"/>
    <w:rsid w:val="00B31EFF"/>
    <w:rsid w:val="00B32C82"/>
    <w:rsid w:val="00B33348"/>
    <w:rsid w:val="00B33BAA"/>
    <w:rsid w:val="00B34750"/>
    <w:rsid w:val="00B34755"/>
    <w:rsid w:val="00B35782"/>
    <w:rsid w:val="00B35F74"/>
    <w:rsid w:val="00B3606A"/>
    <w:rsid w:val="00B36952"/>
    <w:rsid w:val="00B37749"/>
    <w:rsid w:val="00B40525"/>
    <w:rsid w:val="00B406A6"/>
    <w:rsid w:val="00B40E64"/>
    <w:rsid w:val="00B41A83"/>
    <w:rsid w:val="00B42588"/>
    <w:rsid w:val="00B42612"/>
    <w:rsid w:val="00B42A9A"/>
    <w:rsid w:val="00B42C47"/>
    <w:rsid w:val="00B42D56"/>
    <w:rsid w:val="00B4352D"/>
    <w:rsid w:val="00B4373C"/>
    <w:rsid w:val="00B43899"/>
    <w:rsid w:val="00B43D33"/>
    <w:rsid w:val="00B44B88"/>
    <w:rsid w:val="00B44BA6"/>
    <w:rsid w:val="00B45124"/>
    <w:rsid w:val="00B462D6"/>
    <w:rsid w:val="00B46588"/>
    <w:rsid w:val="00B4669A"/>
    <w:rsid w:val="00B4694E"/>
    <w:rsid w:val="00B46BBD"/>
    <w:rsid w:val="00B470DF"/>
    <w:rsid w:val="00B47249"/>
    <w:rsid w:val="00B5035E"/>
    <w:rsid w:val="00B50524"/>
    <w:rsid w:val="00B506F3"/>
    <w:rsid w:val="00B51187"/>
    <w:rsid w:val="00B5133B"/>
    <w:rsid w:val="00B514BF"/>
    <w:rsid w:val="00B51790"/>
    <w:rsid w:val="00B527B9"/>
    <w:rsid w:val="00B52E24"/>
    <w:rsid w:val="00B5302E"/>
    <w:rsid w:val="00B530A1"/>
    <w:rsid w:val="00B53698"/>
    <w:rsid w:val="00B53C50"/>
    <w:rsid w:val="00B55565"/>
    <w:rsid w:val="00B55F3A"/>
    <w:rsid w:val="00B56913"/>
    <w:rsid w:val="00B56D85"/>
    <w:rsid w:val="00B57EC4"/>
    <w:rsid w:val="00B57F1C"/>
    <w:rsid w:val="00B604C8"/>
    <w:rsid w:val="00B60B27"/>
    <w:rsid w:val="00B6122E"/>
    <w:rsid w:val="00B61F3B"/>
    <w:rsid w:val="00B61F7F"/>
    <w:rsid w:val="00B62357"/>
    <w:rsid w:val="00B6287C"/>
    <w:rsid w:val="00B62FFE"/>
    <w:rsid w:val="00B63517"/>
    <w:rsid w:val="00B63615"/>
    <w:rsid w:val="00B637A0"/>
    <w:rsid w:val="00B63A87"/>
    <w:rsid w:val="00B649DB"/>
    <w:rsid w:val="00B64A33"/>
    <w:rsid w:val="00B65455"/>
    <w:rsid w:val="00B66DA2"/>
    <w:rsid w:val="00B674F6"/>
    <w:rsid w:val="00B679F4"/>
    <w:rsid w:val="00B67A35"/>
    <w:rsid w:val="00B67DB4"/>
    <w:rsid w:val="00B67F94"/>
    <w:rsid w:val="00B703A1"/>
    <w:rsid w:val="00B7117C"/>
    <w:rsid w:val="00B71506"/>
    <w:rsid w:val="00B71FA6"/>
    <w:rsid w:val="00B72355"/>
    <w:rsid w:val="00B72C53"/>
    <w:rsid w:val="00B73269"/>
    <w:rsid w:val="00B7340F"/>
    <w:rsid w:val="00B7362D"/>
    <w:rsid w:val="00B7380C"/>
    <w:rsid w:val="00B738B8"/>
    <w:rsid w:val="00B73A05"/>
    <w:rsid w:val="00B73B88"/>
    <w:rsid w:val="00B748D4"/>
    <w:rsid w:val="00B74A7C"/>
    <w:rsid w:val="00B74D55"/>
    <w:rsid w:val="00B763E8"/>
    <w:rsid w:val="00B77C63"/>
    <w:rsid w:val="00B77CCB"/>
    <w:rsid w:val="00B77E6A"/>
    <w:rsid w:val="00B8000A"/>
    <w:rsid w:val="00B802D1"/>
    <w:rsid w:val="00B80326"/>
    <w:rsid w:val="00B80473"/>
    <w:rsid w:val="00B80512"/>
    <w:rsid w:val="00B807B8"/>
    <w:rsid w:val="00B8081F"/>
    <w:rsid w:val="00B80A76"/>
    <w:rsid w:val="00B81506"/>
    <w:rsid w:val="00B82145"/>
    <w:rsid w:val="00B821D8"/>
    <w:rsid w:val="00B822B2"/>
    <w:rsid w:val="00B82774"/>
    <w:rsid w:val="00B82D7E"/>
    <w:rsid w:val="00B82E3E"/>
    <w:rsid w:val="00B82FC4"/>
    <w:rsid w:val="00B832B3"/>
    <w:rsid w:val="00B836F6"/>
    <w:rsid w:val="00B8463D"/>
    <w:rsid w:val="00B84E32"/>
    <w:rsid w:val="00B85C6E"/>
    <w:rsid w:val="00B85EB1"/>
    <w:rsid w:val="00B8617C"/>
    <w:rsid w:val="00B875A0"/>
    <w:rsid w:val="00B8761C"/>
    <w:rsid w:val="00B87BC3"/>
    <w:rsid w:val="00B903DE"/>
    <w:rsid w:val="00B90619"/>
    <w:rsid w:val="00B92438"/>
    <w:rsid w:val="00B92965"/>
    <w:rsid w:val="00B92D7F"/>
    <w:rsid w:val="00B93281"/>
    <w:rsid w:val="00B9382E"/>
    <w:rsid w:val="00B93AC6"/>
    <w:rsid w:val="00B93B87"/>
    <w:rsid w:val="00B940BB"/>
    <w:rsid w:val="00B943B2"/>
    <w:rsid w:val="00B94406"/>
    <w:rsid w:val="00B94C07"/>
    <w:rsid w:val="00B94F72"/>
    <w:rsid w:val="00B95E12"/>
    <w:rsid w:val="00B95F86"/>
    <w:rsid w:val="00B964F0"/>
    <w:rsid w:val="00B96767"/>
    <w:rsid w:val="00B9768C"/>
    <w:rsid w:val="00B97894"/>
    <w:rsid w:val="00BA08E8"/>
    <w:rsid w:val="00BA2B01"/>
    <w:rsid w:val="00BA2B86"/>
    <w:rsid w:val="00BA2D41"/>
    <w:rsid w:val="00BA2E68"/>
    <w:rsid w:val="00BA3530"/>
    <w:rsid w:val="00BA359A"/>
    <w:rsid w:val="00BA3A66"/>
    <w:rsid w:val="00BA3DEE"/>
    <w:rsid w:val="00BA4680"/>
    <w:rsid w:val="00BA4E7B"/>
    <w:rsid w:val="00BA4ED9"/>
    <w:rsid w:val="00BA5333"/>
    <w:rsid w:val="00BA54FC"/>
    <w:rsid w:val="00BA5955"/>
    <w:rsid w:val="00BA59B8"/>
    <w:rsid w:val="00BA5E82"/>
    <w:rsid w:val="00BA67BB"/>
    <w:rsid w:val="00BA6C30"/>
    <w:rsid w:val="00BA7998"/>
    <w:rsid w:val="00BB0087"/>
    <w:rsid w:val="00BB03C4"/>
    <w:rsid w:val="00BB0462"/>
    <w:rsid w:val="00BB0561"/>
    <w:rsid w:val="00BB06E8"/>
    <w:rsid w:val="00BB0BD3"/>
    <w:rsid w:val="00BB0BEF"/>
    <w:rsid w:val="00BB0F94"/>
    <w:rsid w:val="00BB1195"/>
    <w:rsid w:val="00BB13FB"/>
    <w:rsid w:val="00BB1555"/>
    <w:rsid w:val="00BB1579"/>
    <w:rsid w:val="00BB1944"/>
    <w:rsid w:val="00BB1E49"/>
    <w:rsid w:val="00BB36E6"/>
    <w:rsid w:val="00BB3AF1"/>
    <w:rsid w:val="00BB3FD7"/>
    <w:rsid w:val="00BB4838"/>
    <w:rsid w:val="00BB4CED"/>
    <w:rsid w:val="00BB553D"/>
    <w:rsid w:val="00BB5860"/>
    <w:rsid w:val="00BB64D1"/>
    <w:rsid w:val="00BB6DD2"/>
    <w:rsid w:val="00BB75E9"/>
    <w:rsid w:val="00BB7976"/>
    <w:rsid w:val="00BB7DE4"/>
    <w:rsid w:val="00BC006E"/>
    <w:rsid w:val="00BC0560"/>
    <w:rsid w:val="00BC0AA5"/>
    <w:rsid w:val="00BC13AD"/>
    <w:rsid w:val="00BC13ED"/>
    <w:rsid w:val="00BC1591"/>
    <w:rsid w:val="00BC4970"/>
    <w:rsid w:val="00BC50B9"/>
    <w:rsid w:val="00BC5384"/>
    <w:rsid w:val="00BC5566"/>
    <w:rsid w:val="00BC57D9"/>
    <w:rsid w:val="00BC5E8F"/>
    <w:rsid w:val="00BC61EE"/>
    <w:rsid w:val="00BC61FA"/>
    <w:rsid w:val="00BC6470"/>
    <w:rsid w:val="00BC66A9"/>
    <w:rsid w:val="00BC6F0B"/>
    <w:rsid w:val="00BC6FDB"/>
    <w:rsid w:val="00BC751C"/>
    <w:rsid w:val="00BC79BC"/>
    <w:rsid w:val="00BC7FD7"/>
    <w:rsid w:val="00BD0925"/>
    <w:rsid w:val="00BD1315"/>
    <w:rsid w:val="00BD13EE"/>
    <w:rsid w:val="00BD146F"/>
    <w:rsid w:val="00BD1AB0"/>
    <w:rsid w:val="00BD271B"/>
    <w:rsid w:val="00BD2754"/>
    <w:rsid w:val="00BD330C"/>
    <w:rsid w:val="00BD41FE"/>
    <w:rsid w:val="00BD51B3"/>
    <w:rsid w:val="00BD521D"/>
    <w:rsid w:val="00BD52F1"/>
    <w:rsid w:val="00BD58F8"/>
    <w:rsid w:val="00BD69FA"/>
    <w:rsid w:val="00BD6CB5"/>
    <w:rsid w:val="00BD7754"/>
    <w:rsid w:val="00BD7AFF"/>
    <w:rsid w:val="00BD7BED"/>
    <w:rsid w:val="00BD7F41"/>
    <w:rsid w:val="00BE1A61"/>
    <w:rsid w:val="00BE1E76"/>
    <w:rsid w:val="00BE1FFF"/>
    <w:rsid w:val="00BE2602"/>
    <w:rsid w:val="00BE268B"/>
    <w:rsid w:val="00BE26C6"/>
    <w:rsid w:val="00BE44E1"/>
    <w:rsid w:val="00BE4D13"/>
    <w:rsid w:val="00BE50A4"/>
    <w:rsid w:val="00BE549B"/>
    <w:rsid w:val="00BE5FA6"/>
    <w:rsid w:val="00BE6451"/>
    <w:rsid w:val="00BE66B5"/>
    <w:rsid w:val="00BE7634"/>
    <w:rsid w:val="00BE7CAD"/>
    <w:rsid w:val="00BE7EDE"/>
    <w:rsid w:val="00BF0142"/>
    <w:rsid w:val="00BF072B"/>
    <w:rsid w:val="00BF0F20"/>
    <w:rsid w:val="00BF195A"/>
    <w:rsid w:val="00BF211C"/>
    <w:rsid w:val="00BF21B8"/>
    <w:rsid w:val="00BF30F7"/>
    <w:rsid w:val="00BF3AC1"/>
    <w:rsid w:val="00BF3ED1"/>
    <w:rsid w:val="00BF43BC"/>
    <w:rsid w:val="00BF534D"/>
    <w:rsid w:val="00BF53FA"/>
    <w:rsid w:val="00BF5551"/>
    <w:rsid w:val="00BF5F75"/>
    <w:rsid w:val="00BF68DC"/>
    <w:rsid w:val="00BF7314"/>
    <w:rsid w:val="00C0005C"/>
    <w:rsid w:val="00C00F36"/>
    <w:rsid w:val="00C01066"/>
    <w:rsid w:val="00C0118F"/>
    <w:rsid w:val="00C0121F"/>
    <w:rsid w:val="00C02B7D"/>
    <w:rsid w:val="00C02F4C"/>
    <w:rsid w:val="00C03E30"/>
    <w:rsid w:val="00C04842"/>
    <w:rsid w:val="00C04941"/>
    <w:rsid w:val="00C04C43"/>
    <w:rsid w:val="00C04D85"/>
    <w:rsid w:val="00C0508C"/>
    <w:rsid w:val="00C05D43"/>
    <w:rsid w:val="00C05F14"/>
    <w:rsid w:val="00C06638"/>
    <w:rsid w:val="00C06D5D"/>
    <w:rsid w:val="00C06ECB"/>
    <w:rsid w:val="00C075C3"/>
    <w:rsid w:val="00C075DC"/>
    <w:rsid w:val="00C10001"/>
    <w:rsid w:val="00C10051"/>
    <w:rsid w:val="00C10507"/>
    <w:rsid w:val="00C10838"/>
    <w:rsid w:val="00C10886"/>
    <w:rsid w:val="00C10D5E"/>
    <w:rsid w:val="00C111A0"/>
    <w:rsid w:val="00C112B6"/>
    <w:rsid w:val="00C11953"/>
    <w:rsid w:val="00C12BA8"/>
    <w:rsid w:val="00C13338"/>
    <w:rsid w:val="00C133C7"/>
    <w:rsid w:val="00C13DA2"/>
    <w:rsid w:val="00C14507"/>
    <w:rsid w:val="00C14573"/>
    <w:rsid w:val="00C14BFF"/>
    <w:rsid w:val="00C14CAA"/>
    <w:rsid w:val="00C14D65"/>
    <w:rsid w:val="00C152CC"/>
    <w:rsid w:val="00C152D3"/>
    <w:rsid w:val="00C15ECA"/>
    <w:rsid w:val="00C1634F"/>
    <w:rsid w:val="00C16468"/>
    <w:rsid w:val="00C16B92"/>
    <w:rsid w:val="00C17108"/>
    <w:rsid w:val="00C17413"/>
    <w:rsid w:val="00C176FF"/>
    <w:rsid w:val="00C17D09"/>
    <w:rsid w:val="00C17E2C"/>
    <w:rsid w:val="00C17FE4"/>
    <w:rsid w:val="00C20283"/>
    <w:rsid w:val="00C21338"/>
    <w:rsid w:val="00C21582"/>
    <w:rsid w:val="00C21951"/>
    <w:rsid w:val="00C2202A"/>
    <w:rsid w:val="00C22359"/>
    <w:rsid w:val="00C23D3F"/>
    <w:rsid w:val="00C23F64"/>
    <w:rsid w:val="00C2435F"/>
    <w:rsid w:val="00C2498A"/>
    <w:rsid w:val="00C253E9"/>
    <w:rsid w:val="00C25C12"/>
    <w:rsid w:val="00C26626"/>
    <w:rsid w:val="00C306A9"/>
    <w:rsid w:val="00C30833"/>
    <w:rsid w:val="00C30EC9"/>
    <w:rsid w:val="00C317D6"/>
    <w:rsid w:val="00C31FA0"/>
    <w:rsid w:val="00C32376"/>
    <w:rsid w:val="00C32B19"/>
    <w:rsid w:val="00C3324E"/>
    <w:rsid w:val="00C338B8"/>
    <w:rsid w:val="00C33FF0"/>
    <w:rsid w:val="00C34F61"/>
    <w:rsid w:val="00C3518B"/>
    <w:rsid w:val="00C3700E"/>
    <w:rsid w:val="00C37077"/>
    <w:rsid w:val="00C37842"/>
    <w:rsid w:val="00C37BC8"/>
    <w:rsid w:val="00C37D73"/>
    <w:rsid w:val="00C400BE"/>
    <w:rsid w:val="00C40E5F"/>
    <w:rsid w:val="00C41332"/>
    <w:rsid w:val="00C41589"/>
    <w:rsid w:val="00C41DAF"/>
    <w:rsid w:val="00C4241E"/>
    <w:rsid w:val="00C42B5C"/>
    <w:rsid w:val="00C42BEF"/>
    <w:rsid w:val="00C43225"/>
    <w:rsid w:val="00C43BE5"/>
    <w:rsid w:val="00C43E28"/>
    <w:rsid w:val="00C44C8C"/>
    <w:rsid w:val="00C44DBD"/>
    <w:rsid w:val="00C46F34"/>
    <w:rsid w:val="00C472BE"/>
    <w:rsid w:val="00C504A4"/>
    <w:rsid w:val="00C5063B"/>
    <w:rsid w:val="00C50662"/>
    <w:rsid w:val="00C510FD"/>
    <w:rsid w:val="00C51DA6"/>
    <w:rsid w:val="00C51DE0"/>
    <w:rsid w:val="00C51FE7"/>
    <w:rsid w:val="00C52011"/>
    <w:rsid w:val="00C52491"/>
    <w:rsid w:val="00C526EE"/>
    <w:rsid w:val="00C52DAE"/>
    <w:rsid w:val="00C52DDD"/>
    <w:rsid w:val="00C530D2"/>
    <w:rsid w:val="00C533E6"/>
    <w:rsid w:val="00C536A8"/>
    <w:rsid w:val="00C53D66"/>
    <w:rsid w:val="00C53DBE"/>
    <w:rsid w:val="00C54290"/>
    <w:rsid w:val="00C54AE9"/>
    <w:rsid w:val="00C54D77"/>
    <w:rsid w:val="00C557CC"/>
    <w:rsid w:val="00C55C75"/>
    <w:rsid w:val="00C562A6"/>
    <w:rsid w:val="00C56361"/>
    <w:rsid w:val="00C56A6B"/>
    <w:rsid w:val="00C56BBB"/>
    <w:rsid w:val="00C57395"/>
    <w:rsid w:val="00C57575"/>
    <w:rsid w:val="00C57A55"/>
    <w:rsid w:val="00C60193"/>
    <w:rsid w:val="00C60240"/>
    <w:rsid w:val="00C6054B"/>
    <w:rsid w:val="00C607A9"/>
    <w:rsid w:val="00C6091F"/>
    <w:rsid w:val="00C60FD2"/>
    <w:rsid w:val="00C61025"/>
    <w:rsid w:val="00C6116F"/>
    <w:rsid w:val="00C618AA"/>
    <w:rsid w:val="00C6195A"/>
    <w:rsid w:val="00C619DC"/>
    <w:rsid w:val="00C62578"/>
    <w:rsid w:val="00C62712"/>
    <w:rsid w:val="00C62A35"/>
    <w:rsid w:val="00C62AB4"/>
    <w:rsid w:val="00C6366B"/>
    <w:rsid w:val="00C63AF0"/>
    <w:rsid w:val="00C654BF"/>
    <w:rsid w:val="00C667EF"/>
    <w:rsid w:val="00C66B5A"/>
    <w:rsid w:val="00C66B71"/>
    <w:rsid w:val="00C66E51"/>
    <w:rsid w:val="00C67AD7"/>
    <w:rsid w:val="00C67BD4"/>
    <w:rsid w:val="00C70ACF"/>
    <w:rsid w:val="00C70BF5"/>
    <w:rsid w:val="00C70D18"/>
    <w:rsid w:val="00C71489"/>
    <w:rsid w:val="00C715CD"/>
    <w:rsid w:val="00C71643"/>
    <w:rsid w:val="00C721A1"/>
    <w:rsid w:val="00C7239C"/>
    <w:rsid w:val="00C72A96"/>
    <w:rsid w:val="00C72ACE"/>
    <w:rsid w:val="00C72D72"/>
    <w:rsid w:val="00C72E67"/>
    <w:rsid w:val="00C73024"/>
    <w:rsid w:val="00C731A5"/>
    <w:rsid w:val="00C735E2"/>
    <w:rsid w:val="00C73A3B"/>
    <w:rsid w:val="00C73C03"/>
    <w:rsid w:val="00C74149"/>
    <w:rsid w:val="00C74A3F"/>
    <w:rsid w:val="00C74A46"/>
    <w:rsid w:val="00C75FF7"/>
    <w:rsid w:val="00C76042"/>
    <w:rsid w:val="00C76A23"/>
    <w:rsid w:val="00C7724C"/>
    <w:rsid w:val="00C772E0"/>
    <w:rsid w:val="00C802CE"/>
    <w:rsid w:val="00C80794"/>
    <w:rsid w:val="00C824B9"/>
    <w:rsid w:val="00C82757"/>
    <w:rsid w:val="00C831D7"/>
    <w:rsid w:val="00C8324B"/>
    <w:rsid w:val="00C83A07"/>
    <w:rsid w:val="00C845C6"/>
    <w:rsid w:val="00C857B0"/>
    <w:rsid w:val="00C85C42"/>
    <w:rsid w:val="00C86101"/>
    <w:rsid w:val="00C8627E"/>
    <w:rsid w:val="00C86434"/>
    <w:rsid w:val="00C86762"/>
    <w:rsid w:val="00C86927"/>
    <w:rsid w:val="00C87860"/>
    <w:rsid w:val="00C87927"/>
    <w:rsid w:val="00C879E5"/>
    <w:rsid w:val="00C87F6B"/>
    <w:rsid w:val="00C910C4"/>
    <w:rsid w:val="00C91CF9"/>
    <w:rsid w:val="00C91DD0"/>
    <w:rsid w:val="00C91EB0"/>
    <w:rsid w:val="00C91F75"/>
    <w:rsid w:val="00C92D78"/>
    <w:rsid w:val="00C9337D"/>
    <w:rsid w:val="00C936E6"/>
    <w:rsid w:val="00C9375C"/>
    <w:rsid w:val="00C93896"/>
    <w:rsid w:val="00C93B68"/>
    <w:rsid w:val="00C949B9"/>
    <w:rsid w:val="00C94E60"/>
    <w:rsid w:val="00C9513D"/>
    <w:rsid w:val="00C95201"/>
    <w:rsid w:val="00C97627"/>
    <w:rsid w:val="00C97901"/>
    <w:rsid w:val="00CA061C"/>
    <w:rsid w:val="00CA0A0A"/>
    <w:rsid w:val="00CA1444"/>
    <w:rsid w:val="00CA1D17"/>
    <w:rsid w:val="00CA2548"/>
    <w:rsid w:val="00CA3727"/>
    <w:rsid w:val="00CA3CC9"/>
    <w:rsid w:val="00CA3DEE"/>
    <w:rsid w:val="00CA4BFE"/>
    <w:rsid w:val="00CA53F1"/>
    <w:rsid w:val="00CA555C"/>
    <w:rsid w:val="00CA58EB"/>
    <w:rsid w:val="00CA67AC"/>
    <w:rsid w:val="00CA6B0F"/>
    <w:rsid w:val="00CB00B7"/>
    <w:rsid w:val="00CB01FE"/>
    <w:rsid w:val="00CB0823"/>
    <w:rsid w:val="00CB08DC"/>
    <w:rsid w:val="00CB08F8"/>
    <w:rsid w:val="00CB1832"/>
    <w:rsid w:val="00CB1E43"/>
    <w:rsid w:val="00CB20EC"/>
    <w:rsid w:val="00CB223D"/>
    <w:rsid w:val="00CB22E4"/>
    <w:rsid w:val="00CB270D"/>
    <w:rsid w:val="00CB272D"/>
    <w:rsid w:val="00CB350D"/>
    <w:rsid w:val="00CB3919"/>
    <w:rsid w:val="00CB3AFD"/>
    <w:rsid w:val="00CB3E11"/>
    <w:rsid w:val="00CB4FD1"/>
    <w:rsid w:val="00CB51BA"/>
    <w:rsid w:val="00CB5FB3"/>
    <w:rsid w:val="00CB667D"/>
    <w:rsid w:val="00CB6A22"/>
    <w:rsid w:val="00CB72B4"/>
    <w:rsid w:val="00CB73C5"/>
    <w:rsid w:val="00CB7A1F"/>
    <w:rsid w:val="00CC0D0B"/>
    <w:rsid w:val="00CC109F"/>
    <w:rsid w:val="00CC115C"/>
    <w:rsid w:val="00CC118F"/>
    <w:rsid w:val="00CC1C9B"/>
    <w:rsid w:val="00CC1F43"/>
    <w:rsid w:val="00CC2688"/>
    <w:rsid w:val="00CC2A28"/>
    <w:rsid w:val="00CC2EFE"/>
    <w:rsid w:val="00CC30EE"/>
    <w:rsid w:val="00CC35B7"/>
    <w:rsid w:val="00CC35C5"/>
    <w:rsid w:val="00CC39D7"/>
    <w:rsid w:val="00CC4A4B"/>
    <w:rsid w:val="00CC5476"/>
    <w:rsid w:val="00CC5703"/>
    <w:rsid w:val="00CC5E23"/>
    <w:rsid w:val="00CC5EA7"/>
    <w:rsid w:val="00CC6EC5"/>
    <w:rsid w:val="00CC713A"/>
    <w:rsid w:val="00CC7561"/>
    <w:rsid w:val="00CC75C1"/>
    <w:rsid w:val="00CC7675"/>
    <w:rsid w:val="00CC7828"/>
    <w:rsid w:val="00CC78F7"/>
    <w:rsid w:val="00CC7A3B"/>
    <w:rsid w:val="00CD0857"/>
    <w:rsid w:val="00CD086C"/>
    <w:rsid w:val="00CD13EE"/>
    <w:rsid w:val="00CD1FF5"/>
    <w:rsid w:val="00CD2349"/>
    <w:rsid w:val="00CD2F24"/>
    <w:rsid w:val="00CD41BA"/>
    <w:rsid w:val="00CD56FB"/>
    <w:rsid w:val="00CD5DD1"/>
    <w:rsid w:val="00CD6512"/>
    <w:rsid w:val="00CD680D"/>
    <w:rsid w:val="00CD6C36"/>
    <w:rsid w:val="00CD6F43"/>
    <w:rsid w:val="00CD7370"/>
    <w:rsid w:val="00CD7819"/>
    <w:rsid w:val="00CE0080"/>
    <w:rsid w:val="00CE1348"/>
    <w:rsid w:val="00CE1AB8"/>
    <w:rsid w:val="00CE20DD"/>
    <w:rsid w:val="00CE2541"/>
    <w:rsid w:val="00CE3119"/>
    <w:rsid w:val="00CE35BD"/>
    <w:rsid w:val="00CE384F"/>
    <w:rsid w:val="00CE3E8A"/>
    <w:rsid w:val="00CE3EA7"/>
    <w:rsid w:val="00CE436F"/>
    <w:rsid w:val="00CE4DD4"/>
    <w:rsid w:val="00CE4E6E"/>
    <w:rsid w:val="00CE517A"/>
    <w:rsid w:val="00CE66A1"/>
    <w:rsid w:val="00CE6766"/>
    <w:rsid w:val="00CE68AF"/>
    <w:rsid w:val="00CE7162"/>
    <w:rsid w:val="00CE7E2B"/>
    <w:rsid w:val="00CF009C"/>
    <w:rsid w:val="00CF031B"/>
    <w:rsid w:val="00CF0375"/>
    <w:rsid w:val="00CF1096"/>
    <w:rsid w:val="00CF1490"/>
    <w:rsid w:val="00CF1537"/>
    <w:rsid w:val="00CF17E3"/>
    <w:rsid w:val="00CF189D"/>
    <w:rsid w:val="00CF2040"/>
    <w:rsid w:val="00CF20E6"/>
    <w:rsid w:val="00CF2141"/>
    <w:rsid w:val="00CF28C7"/>
    <w:rsid w:val="00CF2C17"/>
    <w:rsid w:val="00CF2E57"/>
    <w:rsid w:val="00CF30FA"/>
    <w:rsid w:val="00CF3842"/>
    <w:rsid w:val="00CF47A0"/>
    <w:rsid w:val="00CF635D"/>
    <w:rsid w:val="00CF6E6E"/>
    <w:rsid w:val="00CF746D"/>
    <w:rsid w:val="00CF7DB0"/>
    <w:rsid w:val="00D0014B"/>
    <w:rsid w:val="00D00C5D"/>
    <w:rsid w:val="00D00F6E"/>
    <w:rsid w:val="00D01114"/>
    <w:rsid w:val="00D01568"/>
    <w:rsid w:val="00D01BEC"/>
    <w:rsid w:val="00D034FF"/>
    <w:rsid w:val="00D03592"/>
    <w:rsid w:val="00D03E59"/>
    <w:rsid w:val="00D03E95"/>
    <w:rsid w:val="00D03FDD"/>
    <w:rsid w:val="00D04100"/>
    <w:rsid w:val="00D0489E"/>
    <w:rsid w:val="00D04D83"/>
    <w:rsid w:val="00D04DDA"/>
    <w:rsid w:val="00D05245"/>
    <w:rsid w:val="00D05280"/>
    <w:rsid w:val="00D06002"/>
    <w:rsid w:val="00D0610C"/>
    <w:rsid w:val="00D06B44"/>
    <w:rsid w:val="00D07520"/>
    <w:rsid w:val="00D077D6"/>
    <w:rsid w:val="00D07A74"/>
    <w:rsid w:val="00D07F68"/>
    <w:rsid w:val="00D100B1"/>
    <w:rsid w:val="00D10C6C"/>
    <w:rsid w:val="00D10DD4"/>
    <w:rsid w:val="00D10DDC"/>
    <w:rsid w:val="00D10F1B"/>
    <w:rsid w:val="00D11762"/>
    <w:rsid w:val="00D11915"/>
    <w:rsid w:val="00D11971"/>
    <w:rsid w:val="00D11C78"/>
    <w:rsid w:val="00D11E9D"/>
    <w:rsid w:val="00D12204"/>
    <w:rsid w:val="00D12A91"/>
    <w:rsid w:val="00D13297"/>
    <w:rsid w:val="00D135D1"/>
    <w:rsid w:val="00D13644"/>
    <w:rsid w:val="00D1376A"/>
    <w:rsid w:val="00D13796"/>
    <w:rsid w:val="00D139B8"/>
    <w:rsid w:val="00D13B4B"/>
    <w:rsid w:val="00D142B5"/>
    <w:rsid w:val="00D145AC"/>
    <w:rsid w:val="00D1473F"/>
    <w:rsid w:val="00D14FAB"/>
    <w:rsid w:val="00D15035"/>
    <w:rsid w:val="00D157EE"/>
    <w:rsid w:val="00D1594E"/>
    <w:rsid w:val="00D1653E"/>
    <w:rsid w:val="00D16C47"/>
    <w:rsid w:val="00D16D54"/>
    <w:rsid w:val="00D1712F"/>
    <w:rsid w:val="00D171D5"/>
    <w:rsid w:val="00D17415"/>
    <w:rsid w:val="00D17447"/>
    <w:rsid w:val="00D17D96"/>
    <w:rsid w:val="00D209C6"/>
    <w:rsid w:val="00D213D8"/>
    <w:rsid w:val="00D21484"/>
    <w:rsid w:val="00D21F75"/>
    <w:rsid w:val="00D235BA"/>
    <w:rsid w:val="00D2390F"/>
    <w:rsid w:val="00D239B9"/>
    <w:rsid w:val="00D23EAC"/>
    <w:rsid w:val="00D23F47"/>
    <w:rsid w:val="00D24EEB"/>
    <w:rsid w:val="00D25676"/>
    <w:rsid w:val="00D25ACE"/>
    <w:rsid w:val="00D25D03"/>
    <w:rsid w:val="00D25D15"/>
    <w:rsid w:val="00D25DF6"/>
    <w:rsid w:val="00D270F8"/>
    <w:rsid w:val="00D30336"/>
    <w:rsid w:val="00D304AB"/>
    <w:rsid w:val="00D305DD"/>
    <w:rsid w:val="00D320F9"/>
    <w:rsid w:val="00D329DC"/>
    <w:rsid w:val="00D32D7B"/>
    <w:rsid w:val="00D33530"/>
    <w:rsid w:val="00D33D8F"/>
    <w:rsid w:val="00D34142"/>
    <w:rsid w:val="00D34636"/>
    <w:rsid w:val="00D3478D"/>
    <w:rsid w:val="00D349ED"/>
    <w:rsid w:val="00D351A8"/>
    <w:rsid w:val="00D353BB"/>
    <w:rsid w:val="00D354C1"/>
    <w:rsid w:val="00D3580F"/>
    <w:rsid w:val="00D3584D"/>
    <w:rsid w:val="00D36224"/>
    <w:rsid w:val="00D36B14"/>
    <w:rsid w:val="00D36E0E"/>
    <w:rsid w:val="00D36FD5"/>
    <w:rsid w:val="00D37010"/>
    <w:rsid w:val="00D372BB"/>
    <w:rsid w:val="00D374AF"/>
    <w:rsid w:val="00D374EF"/>
    <w:rsid w:val="00D3753C"/>
    <w:rsid w:val="00D379F8"/>
    <w:rsid w:val="00D37B99"/>
    <w:rsid w:val="00D4077A"/>
    <w:rsid w:val="00D4096C"/>
    <w:rsid w:val="00D42163"/>
    <w:rsid w:val="00D42610"/>
    <w:rsid w:val="00D4286F"/>
    <w:rsid w:val="00D42913"/>
    <w:rsid w:val="00D42BC4"/>
    <w:rsid w:val="00D4302A"/>
    <w:rsid w:val="00D432D8"/>
    <w:rsid w:val="00D4346F"/>
    <w:rsid w:val="00D43A6F"/>
    <w:rsid w:val="00D43A8D"/>
    <w:rsid w:val="00D43F80"/>
    <w:rsid w:val="00D43F8A"/>
    <w:rsid w:val="00D440CF"/>
    <w:rsid w:val="00D443B7"/>
    <w:rsid w:val="00D44BC5"/>
    <w:rsid w:val="00D44C4F"/>
    <w:rsid w:val="00D44E5C"/>
    <w:rsid w:val="00D44F21"/>
    <w:rsid w:val="00D45892"/>
    <w:rsid w:val="00D45A48"/>
    <w:rsid w:val="00D45B44"/>
    <w:rsid w:val="00D47465"/>
    <w:rsid w:val="00D4751B"/>
    <w:rsid w:val="00D47E94"/>
    <w:rsid w:val="00D501B6"/>
    <w:rsid w:val="00D50500"/>
    <w:rsid w:val="00D50A67"/>
    <w:rsid w:val="00D50AB2"/>
    <w:rsid w:val="00D51694"/>
    <w:rsid w:val="00D51EC9"/>
    <w:rsid w:val="00D530B9"/>
    <w:rsid w:val="00D53D77"/>
    <w:rsid w:val="00D545D3"/>
    <w:rsid w:val="00D54F57"/>
    <w:rsid w:val="00D552FB"/>
    <w:rsid w:val="00D554DD"/>
    <w:rsid w:val="00D55859"/>
    <w:rsid w:val="00D55D2E"/>
    <w:rsid w:val="00D56350"/>
    <w:rsid w:val="00D564A9"/>
    <w:rsid w:val="00D5652D"/>
    <w:rsid w:val="00D56AFC"/>
    <w:rsid w:val="00D573EB"/>
    <w:rsid w:val="00D57767"/>
    <w:rsid w:val="00D57A75"/>
    <w:rsid w:val="00D6012F"/>
    <w:rsid w:val="00D60567"/>
    <w:rsid w:val="00D60A5E"/>
    <w:rsid w:val="00D60B2D"/>
    <w:rsid w:val="00D60BCF"/>
    <w:rsid w:val="00D61419"/>
    <w:rsid w:val="00D6159E"/>
    <w:rsid w:val="00D615EB"/>
    <w:rsid w:val="00D617F7"/>
    <w:rsid w:val="00D61B6A"/>
    <w:rsid w:val="00D61D5F"/>
    <w:rsid w:val="00D62127"/>
    <w:rsid w:val="00D62601"/>
    <w:rsid w:val="00D6273D"/>
    <w:rsid w:val="00D627F4"/>
    <w:rsid w:val="00D629D3"/>
    <w:rsid w:val="00D6304E"/>
    <w:rsid w:val="00D63A71"/>
    <w:rsid w:val="00D63AE4"/>
    <w:rsid w:val="00D63BE1"/>
    <w:rsid w:val="00D64824"/>
    <w:rsid w:val="00D64D83"/>
    <w:rsid w:val="00D65375"/>
    <w:rsid w:val="00D6545F"/>
    <w:rsid w:val="00D654D9"/>
    <w:rsid w:val="00D6555B"/>
    <w:rsid w:val="00D65634"/>
    <w:rsid w:val="00D65A10"/>
    <w:rsid w:val="00D66055"/>
    <w:rsid w:val="00D66384"/>
    <w:rsid w:val="00D664DF"/>
    <w:rsid w:val="00D666F5"/>
    <w:rsid w:val="00D672F8"/>
    <w:rsid w:val="00D67841"/>
    <w:rsid w:val="00D67937"/>
    <w:rsid w:val="00D67F87"/>
    <w:rsid w:val="00D70705"/>
    <w:rsid w:val="00D70AC5"/>
    <w:rsid w:val="00D71673"/>
    <w:rsid w:val="00D722B0"/>
    <w:rsid w:val="00D72338"/>
    <w:rsid w:val="00D72882"/>
    <w:rsid w:val="00D72CCC"/>
    <w:rsid w:val="00D7319E"/>
    <w:rsid w:val="00D74064"/>
    <w:rsid w:val="00D74282"/>
    <w:rsid w:val="00D74355"/>
    <w:rsid w:val="00D74993"/>
    <w:rsid w:val="00D74A0F"/>
    <w:rsid w:val="00D7513C"/>
    <w:rsid w:val="00D75334"/>
    <w:rsid w:val="00D75CDB"/>
    <w:rsid w:val="00D75FE3"/>
    <w:rsid w:val="00D76573"/>
    <w:rsid w:val="00D76B10"/>
    <w:rsid w:val="00D777AF"/>
    <w:rsid w:val="00D77DE6"/>
    <w:rsid w:val="00D80044"/>
    <w:rsid w:val="00D803F2"/>
    <w:rsid w:val="00D8046D"/>
    <w:rsid w:val="00D80766"/>
    <w:rsid w:val="00D808A0"/>
    <w:rsid w:val="00D80950"/>
    <w:rsid w:val="00D80A74"/>
    <w:rsid w:val="00D80C91"/>
    <w:rsid w:val="00D8124D"/>
    <w:rsid w:val="00D812BC"/>
    <w:rsid w:val="00D8190A"/>
    <w:rsid w:val="00D81A10"/>
    <w:rsid w:val="00D81ECE"/>
    <w:rsid w:val="00D822B1"/>
    <w:rsid w:val="00D83099"/>
    <w:rsid w:val="00D83802"/>
    <w:rsid w:val="00D83C1A"/>
    <w:rsid w:val="00D83CCB"/>
    <w:rsid w:val="00D83D7D"/>
    <w:rsid w:val="00D83FD2"/>
    <w:rsid w:val="00D84468"/>
    <w:rsid w:val="00D855CC"/>
    <w:rsid w:val="00D8568E"/>
    <w:rsid w:val="00D85908"/>
    <w:rsid w:val="00D85AE7"/>
    <w:rsid w:val="00D85B1B"/>
    <w:rsid w:val="00D865B2"/>
    <w:rsid w:val="00D86A8D"/>
    <w:rsid w:val="00D86E22"/>
    <w:rsid w:val="00D86E66"/>
    <w:rsid w:val="00D90301"/>
    <w:rsid w:val="00D911BE"/>
    <w:rsid w:val="00D91291"/>
    <w:rsid w:val="00D9143A"/>
    <w:rsid w:val="00D917E5"/>
    <w:rsid w:val="00D91EA1"/>
    <w:rsid w:val="00D928E4"/>
    <w:rsid w:val="00D936D7"/>
    <w:rsid w:val="00D94355"/>
    <w:rsid w:val="00D943E2"/>
    <w:rsid w:val="00D9496E"/>
    <w:rsid w:val="00D95345"/>
    <w:rsid w:val="00D956A9"/>
    <w:rsid w:val="00D95E11"/>
    <w:rsid w:val="00D96295"/>
    <w:rsid w:val="00D97A17"/>
    <w:rsid w:val="00DA032D"/>
    <w:rsid w:val="00DA1551"/>
    <w:rsid w:val="00DA1BC4"/>
    <w:rsid w:val="00DA1D63"/>
    <w:rsid w:val="00DA2111"/>
    <w:rsid w:val="00DA3AD6"/>
    <w:rsid w:val="00DA3E4E"/>
    <w:rsid w:val="00DA48C4"/>
    <w:rsid w:val="00DA5803"/>
    <w:rsid w:val="00DA58BB"/>
    <w:rsid w:val="00DA59B9"/>
    <w:rsid w:val="00DA5AF3"/>
    <w:rsid w:val="00DA5C58"/>
    <w:rsid w:val="00DA5E6A"/>
    <w:rsid w:val="00DA6B67"/>
    <w:rsid w:val="00DA70C3"/>
    <w:rsid w:val="00DA7492"/>
    <w:rsid w:val="00DA7A13"/>
    <w:rsid w:val="00DA7B49"/>
    <w:rsid w:val="00DB06A5"/>
    <w:rsid w:val="00DB08A3"/>
    <w:rsid w:val="00DB0AC6"/>
    <w:rsid w:val="00DB0D72"/>
    <w:rsid w:val="00DB0DEB"/>
    <w:rsid w:val="00DB1404"/>
    <w:rsid w:val="00DB17A5"/>
    <w:rsid w:val="00DB190E"/>
    <w:rsid w:val="00DB1CF4"/>
    <w:rsid w:val="00DB23F9"/>
    <w:rsid w:val="00DB2448"/>
    <w:rsid w:val="00DB2532"/>
    <w:rsid w:val="00DB3222"/>
    <w:rsid w:val="00DB3C1C"/>
    <w:rsid w:val="00DB3C92"/>
    <w:rsid w:val="00DB409B"/>
    <w:rsid w:val="00DB47F8"/>
    <w:rsid w:val="00DB4A75"/>
    <w:rsid w:val="00DB54FC"/>
    <w:rsid w:val="00DB58A1"/>
    <w:rsid w:val="00DB5A40"/>
    <w:rsid w:val="00DB5A54"/>
    <w:rsid w:val="00DB653D"/>
    <w:rsid w:val="00DB6A66"/>
    <w:rsid w:val="00DB7010"/>
    <w:rsid w:val="00DB73E9"/>
    <w:rsid w:val="00DB7620"/>
    <w:rsid w:val="00DB7712"/>
    <w:rsid w:val="00DB7CFD"/>
    <w:rsid w:val="00DC03E3"/>
    <w:rsid w:val="00DC06FA"/>
    <w:rsid w:val="00DC0BA7"/>
    <w:rsid w:val="00DC0BE6"/>
    <w:rsid w:val="00DC13B2"/>
    <w:rsid w:val="00DC14CF"/>
    <w:rsid w:val="00DC17D3"/>
    <w:rsid w:val="00DC1D38"/>
    <w:rsid w:val="00DC224D"/>
    <w:rsid w:val="00DC24AE"/>
    <w:rsid w:val="00DC3CEF"/>
    <w:rsid w:val="00DC3F34"/>
    <w:rsid w:val="00DC4FD8"/>
    <w:rsid w:val="00DC503E"/>
    <w:rsid w:val="00DC5B40"/>
    <w:rsid w:val="00DC5EB7"/>
    <w:rsid w:val="00DC695A"/>
    <w:rsid w:val="00DC6A31"/>
    <w:rsid w:val="00DC6ECF"/>
    <w:rsid w:val="00DC6F2C"/>
    <w:rsid w:val="00DC70BF"/>
    <w:rsid w:val="00DC7951"/>
    <w:rsid w:val="00DC7B3E"/>
    <w:rsid w:val="00DC7B49"/>
    <w:rsid w:val="00DD0277"/>
    <w:rsid w:val="00DD03FD"/>
    <w:rsid w:val="00DD069A"/>
    <w:rsid w:val="00DD0E1D"/>
    <w:rsid w:val="00DD1070"/>
    <w:rsid w:val="00DD186F"/>
    <w:rsid w:val="00DD18F7"/>
    <w:rsid w:val="00DD1D3C"/>
    <w:rsid w:val="00DD1F47"/>
    <w:rsid w:val="00DD2713"/>
    <w:rsid w:val="00DD2ABC"/>
    <w:rsid w:val="00DD313E"/>
    <w:rsid w:val="00DD3652"/>
    <w:rsid w:val="00DD3774"/>
    <w:rsid w:val="00DD3931"/>
    <w:rsid w:val="00DD3A69"/>
    <w:rsid w:val="00DD3C87"/>
    <w:rsid w:val="00DD3EA2"/>
    <w:rsid w:val="00DD48E4"/>
    <w:rsid w:val="00DD4927"/>
    <w:rsid w:val="00DD5232"/>
    <w:rsid w:val="00DD52CD"/>
    <w:rsid w:val="00DD54C4"/>
    <w:rsid w:val="00DD6112"/>
    <w:rsid w:val="00DD63C4"/>
    <w:rsid w:val="00DD67C4"/>
    <w:rsid w:val="00DD6E5C"/>
    <w:rsid w:val="00DD7AC9"/>
    <w:rsid w:val="00DE0562"/>
    <w:rsid w:val="00DE05AE"/>
    <w:rsid w:val="00DE19FC"/>
    <w:rsid w:val="00DE2367"/>
    <w:rsid w:val="00DE26D1"/>
    <w:rsid w:val="00DE2F90"/>
    <w:rsid w:val="00DE317D"/>
    <w:rsid w:val="00DE3696"/>
    <w:rsid w:val="00DE3B0A"/>
    <w:rsid w:val="00DE419B"/>
    <w:rsid w:val="00DE4800"/>
    <w:rsid w:val="00DE4C21"/>
    <w:rsid w:val="00DE51BD"/>
    <w:rsid w:val="00DE558E"/>
    <w:rsid w:val="00DE5B24"/>
    <w:rsid w:val="00DE5F2E"/>
    <w:rsid w:val="00DE5FF6"/>
    <w:rsid w:val="00DE6A42"/>
    <w:rsid w:val="00DE70A3"/>
    <w:rsid w:val="00DE7196"/>
    <w:rsid w:val="00DF08FB"/>
    <w:rsid w:val="00DF0A6F"/>
    <w:rsid w:val="00DF0C14"/>
    <w:rsid w:val="00DF0FBF"/>
    <w:rsid w:val="00DF1BA8"/>
    <w:rsid w:val="00DF34D4"/>
    <w:rsid w:val="00DF3CF7"/>
    <w:rsid w:val="00DF3EBE"/>
    <w:rsid w:val="00DF4211"/>
    <w:rsid w:val="00DF4647"/>
    <w:rsid w:val="00DF6297"/>
    <w:rsid w:val="00DF631F"/>
    <w:rsid w:val="00DF67F2"/>
    <w:rsid w:val="00DF6D2C"/>
    <w:rsid w:val="00DF7196"/>
    <w:rsid w:val="00DF7A4D"/>
    <w:rsid w:val="00DF7C97"/>
    <w:rsid w:val="00DF7ED2"/>
    <w:rsid w:val="00E00700"/>
    <w:rsid w:val="00E00A12"/>
    <w:rsid w:val="00E00A3E"/>
    <w:rsid w:val="00E00EC4"/>
    <w:rsid w:val="00E01139"/>
    <w:rsid w:val="00E01289"/>
    <w:rsid w:val="00E0161E"/>
    <w:rsid w:val="00E016CA"/>
    <w:rsid w:val="00E017A1"/>
    <w:rsid w:val="00E01AD1"/>
    <w:rsid w:val="00E01BF0"/>
    <w:rsid w:val="00E01F36"/>
    <w:rsid w:val="00E02EB0"/>
    <w:rsid w:val="00E03026"/>
    <w:rsid w:val="00E03308"/>
    <w:rsid w:val="00E03715"/>
    <w:rsid w:val="00E03752"/>
    <w:rsid w:val="00E038DD"/>
    <w:rsid w:val="00E03B53"/>
    <w:rsid w:val="00E03EE2"/>
    <w:rsid w:val="00E040EB"/>
    <w:rsid w:val="00E0498C"/>
    <w:rsid w:val="00E05B27"/>
    <w:rsid w:val="00E06535"/>
    <w:rsid w:val="00E0661F"/>
    <w:rsid w:val="00E066E2"/>
    <w:rsid w:val="00E06D28"/>
    <w:rsid w:val="00E07E3F"/>
    <w:rsid w:val="00E10286"/>
    <w:rsid w:val="00E10508"/>
    <w:rsid w:val="00E10BA5"/>
    <w:rsid w:val="00E113CC"/>
    <w:rsid w:val="00E118CD"/>
    <w:rsid w:val="00E11E2C"/>
    <w:rsid w:val="00E12471"/>
    <w:rsid w:val="00E1247F"/>
    <w:rsid w:val="00E1293F"/>
    <w:rsid w:val="00E13A39"/>
    <w:rsid w:val="00E13F5E"/>
    <w:rsid w:val="00E154AF"/>
    <w:rsid w:val="00E15F36"/>
    <w:rsid w:val="00E15F76"/>
    <w:rsid w:val="00E16C4E"/>
    <w:rsid w:val="00E17282"/>
    <w:rsid w:val="00E178FC"/>
    <w:rsid w:val="00E17E94"/>
    <w:rsid w:val="00E20261"/>
    <w:rsid w:val="00E20C89"/>
    <w:rsid w:val="00E20D67"/>
    <w:rsid w:val="00E20E1A"/>
    <w:rsid w:val="00E20FB8"/>
    <w:rsid w:val="00E21F3E"/>
    <w:rsid w:val="00E22065"/>
    <w:rsid w:val="00E225A5"/>
    <w:rsid w:val="00E22AB4"/>
    <w:rsid w:val="00E22DE5"/>
    <w:rsid w:val="00E22F67"/>
    <w:rsid w:val="00E230EC"/>
    <w:rsid w:val="00E23482"/>
    <w:rsid w:val="00E24146"/>
    <w:rsid w:val="00E243FB"/>
    <w:rsid w:val="00E24A5E"/>
    <w:rsid w:val="00E256B0"/>
    <w:rsid w:val="00E258E8"/>
    <w:rsid w:val="00E25ED1"/>
    <w:rsid w:val="00E25F5E"/>
    <w:rsid w:val="00E2600D"/>
    <w:rsid w:val="00E26187"/>
    <w:rsid w:val="00E26307"/>
    <w:rsid w:val="00E2686B"/>
    <w:rsid w:val="00E27167"/>
    <w:rsid w:val="00E277CD"/>
    <w:rsid w:val="00E27817"/>
    <w:rsid w:val="00E27D77"/>
    <w:rsid w:val="00E27FF6"/>
    <w:rsid w:val="00E30024"/>
    <w:rsid w:val="00E30B70"/>
    <w:rsid w:val="00E30E11"/>
    <w:rsid w:val="00E3105B"/>
    <w:rsid w:val="00E310D5"/>
    <w:rsid w:val="00E31AD4"/>
    <w:rsid w:val="00E31C0E"/>
    <w:rsid w:val="00E32413"/>
    <w:rsid w:val="00E3260E"/>
    <w:rsid w:val="00E32844"/>
    <w:rsid w:val="00E32EC0"/>
    <w:rsid w:val="00E330C4"/>
    <w:rsid w:val="00E332C9"/>
    <w:rsid w:val="00E3345E"/>
    <w:rsid w:val="00E3354E"/>
    <w:rsid w:val="00E335C3"/>
    <w:rsid w:val="00E337A2"/>
    <w:rsid w:val="00E33CD2"/>
    <w:rsid w:val="00E34AE7"/>
    <w:rsid w:val="00E34D93"/>
    <w:rsid w:val="00E351FB"/>
    <w:rsid w:val="00E352E8"/>
    <w:rsid w:val="00E356A3"/>
    <w:rsid w:val="00E35A70"/>
    <w:rsid w:val="00E3600C"/>
    <w:rsid w:val="00E3644C"/>
    <w:rsid w:val="00E364BA"/>
    <w:rsid w:val="00E367D1"/>
    <w:rsid w:val="00E37162"/>
    <w:rsid w:val="00E3784E"/>
    <w:rsid w:val="00E37DEE"/>
    <w:rsid w:val="00E40278"/>
    <w:rsid w:val="00E40395"/>
    <w:rsid w:val="00E40553"/>
    <w:rsid w:val="00E407EE"/>
    <w:rsid w:val="00E40863"/>
    <w:rsid w:val="00E41C97"/>
    <w:rsid w:val="00E42531"/>
    <w:rsid w:val="00E42575"/>
    <w:rsid w:val="00E427A4"/>
    <w:rsid w:val="00E42BC1"/>
    <w:rsid w:val="00E433C4"/>
    <w:rsid w:val="00E435C0"/>
    <w:rsid w:val="00E4396C"/>
    <w:rsid w:val="00E43A22"/>
    <w:rsid w:val="00E43F91"/>
    <w:rsid w:val="00E443BA"/>
    <w:rsid w:val="00E44503"/>
    <w:rsid w:val="00E44CF8"/>
    <w:rsid w:val="00E45906"/>
    <w:rsid w:val="00E45996"/>
    <w:rsid w:val="00E45A16"/>
    <w:rsid w:val="00E4607B"/>
    <w:rsid w:val="00E464D4"/>
    <w:rsid w:val="00E467FB"/>
    <w:rsid w:val="00E46BD5"/>
    <w:rsid w:val="00E46FA2"/>
    <w:rsid w:val="00E470D6"/>
    <w:rsid w:val="00E472E6"/>
    <w:rsid w:val="00E4758F"/>
    <w:rsid w:val="00E47D25"/>
    <w:rsid w:val="00E5018C"/>
    <w:rsid w:val="00E501F8"/>
    <w:rsid w:val="00E5050E"/>
    <w:rsid w:val="00E50617"/>
    <w:rsid w:val="00E50E3F"/>
    <w:rsid w:val="00E513FF"/>
    <w:rsid w:val="00E5198B"/>
    <w:rsid w:val="00E51AC1"/>
    <w:rsid w:val="00E51AC5"/>
    <w:rsid w:val="00E51B65"/>
    <w:rsid w:val="00E5221F"/>
    <w:rsid w:val="00E529AA"/>
    <w:rsid w:val="00E5333B"/>
    <w:rsid w:val="00E53B39"/>
    <w:rsid w:val="00E54394"/>
    <w:rsid w:val="00E552D8"/>
    <w:rsid w:val="00E5531F"/>
    <w:rsid w:val="00E553D8"/>
    <w:rsid w:val="00E555CF"/>
    <w:rsid w:val="00E5594F"/>
    <w:rsid w:val="00E55ABF"/>
    <w:rsid w:val="00E55C1A"/>
    <w:rsid w:val="00E55FD9"/>
    <w:rsid w:val="00E560C3"/>
    <w:rsid w:val="00E567DC"/>
    <w:rsid w:val="00E56EED"/>
    <w:rsid w:val="00E57143"/>
    <w:rsid w:val="00E576A9"/>
    <w:rsid w:val="00E578F7"/>
    <w:rsid w:val="00E603C3"/>
    <w:rsid w:val="00E6091F"/>
    <w:rsid w:val="00E60E06"/>
    <w:rsid w:val="00E61B60"/>
    <w:rsid w:val="00E61CC4"/>
    <w:rsid w:val="00E6201C"/>
    <w:rsid w:val="00E62BFA"/>
    <w:rsid w:val="00E62C92"/>
    <w:rsid w:val="00E62F42"/>
    <w:rsid w:val="00E636D4"/>
    <w:rsid w:val="00E63E31"/>
    <w:rsid w:val="00E6426D"/>
    <w:rsid w:val="00E646D3"/>
    <w:rsid w:val="00E64768"/>
    <w:rsid w:val="00E647F3"/>
    <w:rsid w:val="00E648F3"/>
    <w:rsid w:val="00E64AB0"/>
    <w:rsid w:val="00E64B7B"/>
    <w:rsid w:val="00E64BA7"/>
    <w:rsid w:val="00E64F05"/>
    <w:rsid w:val="00E64F76"/>
    <w:rsid w:val="00E65B59"/>
    <w:rsid w:val="00E66AA5"/>
    <w:rsid w:val="00E67069"/>
    <w:rsid w:val="00E67A70"/>
    <w:rsid w:val="00E67E83"/>
    <w:rsid w:val="00E700C6"/>
    <w:rsid w:val="00E70746"/>
    <w:rsid w:val="00E71B80"/>
    <w:rsid w:val="00E71E29"/>
    <w:rsid w:val="00E721E2"/>
    <w:rsid w:val="00E72B1E"/>
    <w:rsid w:val="00E73A19"/>
    <w:rsid w:val="00E74304"/>
    <w:rsid w:val="00E7462A"/>
    <w:rsid w:val="00E74797"/>
    <w:rsid w:val="00E75385"/>
    <w:rsid w:val="00E762CE"/>
    <w:rsid w:val="00E763D1"/>
    <w:rsid w:val="00E7710F"/>
    <w:rsid w:val="00E77183"/>
    <w:rsid w:val="00E77D36"/>
    <w:rsid w:val="00E80015"/>
    <w:rsid w:val="00E802C8"/>
    <w:rsid w:val="00E80474"/>
    <w:rsid w:val="00E80F5D"/>
    <w:rsid w:val="00E81957"/>
    <w:rsid w:val="00E81D98"/>
    <w:rsid w:val="00E81DB6"/>
    <w:rsid w:val="00E82542"/>
    <w:rsid w:val="00E82A5C"/>
    <w:rsid w:val="00E834C9"/>
    <w:rsid w:val="00E8365E"/>
    <w:rsid w:val="00E83AB3"/>
    <w:rsid w:val="00E83BAD"/>
    <w:rsid w:val="00E83F16"/>
    <w:rsid w:val="00E845DA"/>
    <w:rsid w:val="00E84AE3"/>
    <w:rsid w:val="00E8544C"/>
    <w:rsid w:val="00E85C30"/>
    <w:rsid w:val="00E85DB6"/>
    <w:rsid w:val="00E87C8A"/>
    <w:rsid w:val="00E90C91"/>
    <w:rsid w:val="00E90CD4"/>
    <w:rsid w:val="00E915EA"/>
    <w:rsid w:val="00E9172A"/>
    <w:rsid w:val="00E91E1D"/>
    <w:rsid w:val="00E923B3"/>
    <w:rsid w:val="00E924EA"/>
    <w:rsid w:val="00E9268E"/>
    <w:rsid w:val="00E92757"/>
    <w:rsid w:val="00E92BED"/>
    <w:rsid w:val="00E93DD2"/>
    <w:rsid w:val="00E94127"/>
    <w:rsid w:val="00E94439"/>
    <w:rsid w:val="00E94520"/>
    <w:rsid w:val="00E947FC"/>
    <w:rsid w:val="00E94F28"/>
    <w:rsid w:val="00E95210"/>
    <w:rsid w:val="00E95588"/>
    <w:rsid w:val="00E955A2"/>
    <w:rsid w:val="00E95CC1"/>
    <w:rsid w:val="00E9672B"/>
    <w:rsid w:val="00E97994"/>
    <w:rsid w:val="00EA0130"/>
    <w:rsid w:val="00EA0A46"/>
    <w:rsid w:val="00EA0B1F"/>
    <w:rsid w:val="00EA0B6D"/>
    <w:rsid w:val="00EA0E40"/>
    <w:rsid w:val="00EA0E78"/>
    <w:rsid w:val="00EA108A"/>
    <w:rsid w:val="00EA1599"/>
    <w:rsid w:val="00EA19D4"/>
    <w:rsid w:val="00EA250B"/>
    <w:rsid w:val="00EA32C9"/>
    <w:rsid w:val="00EA3430"/>
    <w:rsid w:val="00EA386A"/>
    <w:rsid w:val="00EA4012"/>
    <w:rsid w:val="00EA4990"/>
    <w:rsid w:val="00EA58CA"/>
    <w:rsid w:val="00EA5B2E"/>
    <w:rsid w:val="00EA5C5C"/>
    <w:rsid w:val="00EA5FD5"/>
    <w:rsid w:val="00EA6263"/>
    <w:rsid w:val="00EA63FF"/>
    <w:rsid w:val="00EA6516"/>
    <w:rsid w:val="00EA683D"/>
    <w:rsid w:val="00EA6899"/>
    <w:rsid w:val="00EA6A0A"/>
    <w:rsid w:val="00EA7499"/>
    <w:rsid w:val="00EA77B7"/>
    <w:rsid w:val="00EA77C6"/>
    <w:rsid w:val="00EA7981"/>
    <w:rsid w:val="00EA7D02"/>
    <w:rsid w:val="00EA7F95"/>
    <w:rsid w:val="00EB106C"/>
    <w:rsid w:val="00EB11D6"/>
    <w:rsid w:val="00EB1511"/>
    <w:rsid w:val="00EB18C2"/>
    <w:rsid w:val="00EB1A13"/>
    <w:rsid w:val="00EB1A4B"/>
    <w:rsid w:val="00EB2675"/>
    <w:rsid w:val="00EB2D58"/>
    <w:rsid w:val="00EB3FC2"/>
    <w:rsid w:val="00EB48A0"/>
    <w:rsid w:val="00EB48F0"/>
    <w:rsid w:val="00EB5591"/>
    <w:rsid w:val="00EB63A3"/>
    <w:rsid w:val="00EB6594"/>
    <w:rsid w:val="00EB7305"/>
    <w:rsid w:val="00EC004A"/>
    <w:rsid w:val="00EC008D"/>
    <w:rsid w:val="00EC023C"/>
    <w:rsid w:val="00EC144A"/>
    <w:rsid w:val="00EC213C"/>
    <w:rsid w:val="00EC3D4A"/>
    <w:rsid w:val="00EC3DBD"/>
    <w:rsid w:val="00EC3F01"/>
    <w:rsid w:val="00EC4172"/>
    <w:rsid w:val="00EC4297"/>
    <w:rsid w:val="00EC4459"/>
    <w:rsid w:val="00EC45B1"/>
    <w:rsid w:val="00EC4B96"/>
    <w:rsid w:val="00EC4F04"/>
    <w:rsid w:val="00EC5109"/>
    <w:rsid w:val="00EC5182"/>
    <w:rsid w:val="00EC51A7"/>
    <w:rsid w:val="00EC5500"/>
    <w:rsid w:val="00EC5BA9"/>
    <w:rsid w:val="00EC5E27"/>
    <w:rsid w:val="00EC68D1"/>
    <w:rsid w:val="00EC6F4F"/>
    <w:rsid w:val="00EC731C"/>
    <w:rsid w:val="00EC7A31"/>
    <w:rsid w:val="00ED0164"/>
    <w:rsid w:val="00ED0672"/>
    <w:rsid w:val="00ED174A"/>
    <w:rsid w:val="00ED1BAD"/>
    <w:rsid w:val="00ED2016"/>
    <w:rsid w:val="00ED3D3C"/>
    <w:rsid w:val="00ED4303"/>
    <w:rsid w:val="00ED4865"/>
    <w:rsid w:val="00ED49BC"/>
    <w:rsid w:val="00ED4DE4"/>
    <w:rsid w:val="00ED506C"/>
    <w:rsid w:val="00ED5B96"/>
    <w:rsid w:val="00ED5CFC"/>
    <w:rsid w:val="00ED5F79"/>
    <w:rsid w:val="00ED6599"/>
    <w:rsid w:val="00ED6C77"/>
    <w:rsid w:val="00ED6D64"/>
    <w:rsid w:val="00ED6D89"/>
    <w:rsid w:val="00ED6E47"/>
    <w:rsid w:val="00ED7045"/>
    <w:rsid w:val="00ED70AE"/>
    <w:rsid w:val="00ED7A95"/>
    <w:rsid w:val="00ED7B88"/>
    <w:rsid w:val="00EE03CF"/>
    <w:rsid w:val="00EE0459"/>
    <w:rsid w:val="00EE0550"/>
    <w:rsid w:val="00EE0DA6"/>
    <w:rsid w:val="00EE0EDE"/>
    <w:rsid w:val="00EE1B34"/>
    <w:rsid w:val="00EE1CFF"/>
    <w:rsid w:val="00EE2348"/>
    <w:rsid w:val="00EE2711"/>
    <w:rsid w:val="00EE35C3"/>
    <w:rsid w:val="00EE3AF7"/>
    <w:rsid w:val="00EE3B33"/>
    <w:rsid w:val="00EE3F1D"/>
    <w:rsid w:val="00EE410B"/>
    <w:rsid w:val="00EE480B"/>
    <w:rsid w:val="00EE4A5B"/>
    <w:rsid w:val="00EE4F17"/>
    <w:rsid w:val="00EE4F6A"/>
    <w:rsid w:val="00EE5BAE"/>
    <w:rsid w:val="00EE5C4C"/>
    <w:rsid w:val="00EE6119"/>
    <w:rsid w:val="00EE6B20"/>
    <w:rsid w:val="00EE6EF7"/>
    <w:rsid w:val="00EE7305"/>
    <w:rsid w:val="00EF022F"/>
    <w:rsid w:val="00EF08F4"/>
    <w:rsid w:val="00EF0E7D"/>
    <w:rsid w:val="00EF126F"/>
    <w:rsid w:val="00EF1870"/>
    <w:rsid w:val="00EF1B76"/>
    <w:rsid w:val="00EF1C2E"/>
    <w:rsid w:val="00EF1D2C"/>
    <w:rsid w:val="00EF22BF"/>
    <w:rsid w:val="00EF347F"/>
    <w:rsid w:val="00EF3E47"/>
    <w:rsid w:val="00EF436E"/>
    <w:rsid w:val="00EF4A31"/>
    <w:rsid w:val="00EF4B93"/>
    <w:rsid w:val="00EF4CBB"/>
    <w:rsid w:val="00EF4E6F"/>
    <w:rsid w:val="00EF4FC8"/>
    <w:rsid w:val="00EF5830"/>
    <w:rsid w:val="00EF5995"/>
    <w:rsid w:val="00EF73D2"/>
    <w:rsid w:val="00EF783F"/>
    <w:rsid w:val="00F002DC"/>
    <w:rsid w:val="00F0096A"/>
    <w:rsid w:val="00F00C18"/>
    <w:rsid w:val="00F01953"/>
    <w:rsid w:val="00F0248E"/>
    <w:rsid w:val="00F0254E"/>
    <w:rsid w:val="00F039F9"/>
    <w:rsid w:val="00F0416C"/>
    <w:rsid w:val="00F04C20"/>
    <w:rsid w:val="00F05235"/>
    <w:rsid w:val="00F05A4D"/>
    <w:rsid w:val="00F05BDF"/>
    <w:rsid w:val="00F06809"/>
    <w:rsid w:val="00F06860"/>
    <w:rsid w:val="00F06A96"/>
    <w:rsid w:val="00F06AFE"/>
    <w:rsid w:val="00F0708E"/>
    <w:rsid w:val="00F073B7"/>
    <w:rsid w:val="00F0752A"/>
    <w:rsid w:val="00F0766B"/>
    <w:rsid w:val="00F07712"/>
    <w:rsid w:val="00F10015"/>
    <w:rsid w:val="00F102EB"/>
    <w:rsid w:val="00F1114C"/>
    <w:rsid w:val="00F115B7"/>
    <w:rsid w:val="00F11DFE"/>
    <w:rsid w:val="00F12D9E"/>
    <w:rsid w:val="00F1304C"/>
    <w:rsid w:val="00F1307D"/>
    <w:rsid w:val="00F130C2"/>
    <w:rsid w:val="00F134ED"/>
    <w:rsid w:val="00F13E16"/>
    <w:rsid w:val="00F14150"/>
    <w:rsid w:val="00F14271"/>
    <w:rsid w:val="00F1436B"/>
    <w:rsid w:val="00F1486C"/>
    <w:rsid w:val="00F14B08"/>
    <w:rsid w:val="00F151E8"/>
    <w:rsid w:val="00F15744"/>
    <w:rsid w:val="00F15CA3"/>
    <w:rsid w:val="00F1607D"/>
    <w:rsid w:val="00F1648B"/>
    <w:rsid w:val="00F167A8"/>
    <w:rsid w:val="00F16B4E"/>
    <w:rsid w:val="00F17251"/>
    <w:rsid w:val="00F1752E"/>
    <w:rsid w:val="00F17AEF"/>
    <w:rsid w:val="00F17B7D"/>
    <w:rsid w:val="00F2005D"/>
    <w:rsid w:val="00F21077"/>
    <w:rsid w:val="00F213CF"/>
    <w:rsid w:val="00F216C5"/>
    <w:rsid w:val="00F21D1B"/>
    <w:rsid w:val="00F21E08"/>
    <w:rsid w:val="00F21EE3"/>
    <w:rsid w:val="00F229E9"/>
    <w:rsid w:val="00F230D4"/>
    <w:rsid w:val="00F23617"/>
    <w:rsid w:val="00F240FC"/>
    <w:rsid w:val="00F244EF"/>
    <w:rsid w:val="00F24536"/>
    <w:rsid w:val="00F2492D"/>
    <w:rsid w:val="00F24F08"/>
    <w:rsid w:val="00F250DA"/>
    <w:rsid w:val="00F2542C"/>
    <w:rsid w:val="00F254AB"/>
    <w:rsid w:val="00F25523"/>
    <w:rsid w:val="00F257F8"/>
    <w:rsid w:val="00F25EAC"/>
    <w:rsid w:val="00F26501"/>
    <w:rsid w:val="00F265AF"/>
    <w:rsid w:val="00F274F4"/>
    <w:rsid w:val="00F30157"/>
    <w:rsid w:val="00F301F9"/>
    <w:rsid w:val="00F3024D"/>
    <w:rsid w:val="00F3049E"/>
    <w:rsid w:val="00F306CB"/>
    <w:rsid w:val="00F307FB"/>
    <w:rsid w:val="00F3084E"/>
    <w:rsid w:val="00F30A64"/>
    <w:rsid w:val="00F30F1C"/>
    <w:rsid w:val="00F319A2"/>
    <w:rsid w:val="00F322A7"/>
    <w:rsid w:val="00F324ED"/>
    <w:rsid w:val="00F3256B"/>
    <w:rsid w:val="00F33D7F"/>
    <w:rsid w:val="00F3407B"/>
    <w:rsid w:val="00F3449B"/>
    <w:rsid w:val="00F34797"/>
    <w:rsid w:val="00F34F46"/>
    <w:rsid w:val="00F35706"/>
    <w:rsid w:val="00F357CC"/>
    <w:rsid w:val="00F35FC2"/>
    <w:rsid w:val="00F36107"/>
    <w:rsid w:val="00F3624B"/>
    <w:rsid w:val="00F3682B"/>
    <w:rsid w:val="00F36CA7"/>
    <w:rsid w:val="00F36E36"/>
    <w:rsid w:val="00F37151"/>
    <w:rsid w:val="00F37C0E"/>
    <w:rsid w:val="00F37EC8"/>
    <w:rsid w:val="00F40092"/>
    <w:rsid w:val="00F40A86"/>
    <w:rsid w:val="00F41533"/>
    <w:rsid w:val="00F415EA"/>
    <w:rsid w:val="00F41783"/>
    <w:rsid w:val="00F41BCC"/>
    <w:rsid w:val="00F41C0E"/>
    <w:rsid w:val="00F41D2A"/>
    <w:rsid w:val="00F42D6A"/>
    <w:rsid w:val="00F430F2"/>
    <w:rsid w:val="00F43707"/>
    <w:rsid w:val="00F43AC1"/>
    <w:rsid w:val="00F44252"/>
    <w:rsid w:val="00F44657"/>
    <w:rsid w:val="00F448DC"/>
    <w:rsid w:val="00F45011"/>
    <w:rsid w:val="00F453B6"/>
    <w:rsid w:val="00F457CC"/>
    <w:rsid w:val="00F45D2E"/>
    <w:rsid w:val="00F46042"/>
    <w:rsid w:val="00F462FF"/>
    <w:rsid w:val="00F4662E"/>
    <w:rsid w:val="00F46751"/>
    <w:rsid w:val="00F46CF9"/>
    <w:rsid w:val="00F46E9B"/>
    <w:rsid w:val="00F478A9"/>
    <w:rsid w:val="00F47F9F"/>
    <w:rsid w:val="00F50189"/>
    <w:rsid w:val="00F506C3"/>
    <w:rsid w:val="00F5077A"/>
    <w:rsid w:val="00F50BD4"/>
    <w:rsid w:val="00F50BEC"/>
    <w:rsid w:val="00F50EE9"/>
    <w:rsid w:val="00F50FAF"/>
    <w:rsid w:val="00F5136C"/>
    <w:rsid w:val="00F51D13"/>
    <w:rsid w:val="00F51F2C"/>
    <w:rsid w:val="00F5218B"/>
    <w:rsid w:val="00F52BE0"/>
    <w:rsid w:val="00F52D2F"/>
    <w:rsid w:val="00F52E3D"/>
    <w:rsid w:val="00F534EC"/>
    <w:rsid w:val="00F53527"/>
    <w:rsid w:val="00F53A9C"/>
    <w:rsid w:val="00F53DBB"/>
    <w:rsid w:val="00F53F1B"/>
    <w:rsid w:val="00F53FB5"/>
    <w:rsid w:val="00F541E4"/>
    <w:rsid w:val="00F5420B"/>
    <w:rsid w:val="00F543ED"/>
    <w:rsid w:val="00F548D4"/>
    <w:rsid w:val="00F54947"/>
    <w:rsid w:val="00F55111"/>
    <w:rsid w:val="00F5527E"/>
    <w:rsid w:val="00F554DC"/>
    <w:rsid w:val="00F5554C"/>
    <w:rsid w:val="00F55D6B"/>
    <w:rsid w:val="00F57692"/>
    <w:rsid w:val="00F60141"/>
    <w:rsid w:val="00F608C9"/>
    <w:rsid w:val="00F6090A"/>
    <w:rsid w:val="00F60CFA"/>
    <w:rsid w:val="00F615CE"/>
    <w:rsid w:val="00F61C8C"/>
    <w:rsid w:val="00F61E81"/>
    <w:rsid w:val="00F61E8D"/>
    <w:rsid w:val="00F62358"/>
    <w:rsid w:val="00F63013"/>
    <w:rsid w:val="00F63918"/>
    <w:rsid w:val="00F63B0C"/>
    <w:rsid w:val="00F64956"/>
    <w:rsid w:val="00F64CE8"/>
    <w:rsid w:val="00F65AE5"/>
    <w:rsid w:val="00F65DA9"/>
    <w:rsid w:val="00F65E1D"/>
    <w:rsid w:val="00F664DC"/>
    <w:rsid w:val="00F67020"/>
    <w:rsid w:val="00F674AB"/>
    <w:rsid w:val="00F67E31"/>
    <w:rsid w:val="00F7015B"/>
    <w:rsid w:val="00F7091D"/>
    <w:rsid w:val="00F710AF"/>
    <w:rsid w:val="00F71667"/>
    <w:rsid w:val="00F718A9"/>
    <w:rsid w:val="00F71B18"/>
    <w:rsid w:val="00F71B7E"/>
    <w:rsid w:val="00F729C1"/>
    <w:rsid w:val="00F72B0C"/>
    <w:rsid w:val="00F72EAA"/>
    <w:rsid w:val="00F7351E"/>
    <w:rsid w:val="00F73871"/>
    <w:rsid w:val="00F756D6"/>
    <w:rsid w:val="00F75D54"/>
    <w:rsid w:val="00F76504"/>
    <w:rsid w:val="00F76904"/>
    <w:rsid w:val="00F76CF1"/>
    <w:rsid w:val="00F77F66"/>
    <w:rsid w:val="00F804AB"/>
    <w:rsid w:val="00F80779"/>
    <w:rsid w:val="00F81B2D"/>
    <w:rsid w:val="00F81C2C"/>
    <w:rsid w:val="00F82293"/>
    <w:rsid w:val="00F825B8"/>
    <w:rsid w:val="00F82BD6"/>
    <w:rsid w:val="00F83AD0"/>
    <w:rsid w:val="00F83C12"/>
    <w:rsid w:val="00F84B1D"/>
    <w:rsid w:val="00F85120"/>
    <w:rsid w:val="00F85465"/>
    <w:rsid w:val="00F85592"/>
    <w:rsid w:val="00F85886"/>
    <w:rsid w:val="00F85DDE"/>
    <w:rsid w:val="00F86637"/>
    <w:rsid w:val="00F86DF9"/>
    <w:rsid w:val="00F86E7D"/>
    <w:rsid w:val="00F90414"/>
    <w:rsid w:val="00F905AF"/>
    <w:rsid w:val="00F90A99"/>
    <w:rsid w:val="00F923AB"/>
    <w:rsid w:val="00F934E8"/>
    <w:rsid w:val="00F936F9"/>
    <w:rsid w:val="00F9392E"/>
    <w:rsid w:val="00F93E2A"/>
    <w:rsid w:val="00F93E36"/>
    <w:rsid w:val="00F943E1"/>
    <w:rsid w:val="00F9465D"/>
    <w:rsid w:val="00F94743"/>
    <w:rsid w:val="00F94A16"/>
    <w:rsid w:val="00F94C5E"/>
    <w:rsid w:val="00F94CFA"/>
    <w:rsid w:val="00F957D1"/>
    <w:rsid w:val="00F95B1C"/>
    <w:rsid w:val="00F96275"/>
    <w:rsid w:val="00F96403"/>
    <w:rsid w:val="00F9669D"/>
    <w:rsid w:val="00F97080"/>
    <w:rsid w:val="00F9719B"/>
    <w:rsid w:val="00F971C0"/>
    <w:rsid w:val="00F973B9"/>
    <w:rsid w:val="00FA0367"/>
    <w:rsid w:val="00FA06A6"/>
    <w:rsid w:val="00FA0DD8"/>
    <w:rsid w:val="00FA0FF3"/>
    <w:rsid w:val="00FA1182"/>
    <w:rsid w:val="00FA132B"/>
    <w:rsid w:val="00FA14C5"/>
    <w:rsid w:val="00FA1D57"/>
    <w:rsid w:val="00FA1EEB"/>
    <w:rsid w:val="00FA2392"/>
    <w:rsid w:val="00FA275E"/>
    <w:rsid w:val="00FA401C"/>
    <w:rsid w:val="00FA4597"/>
    <w:rsid w:val="00FA475B"/>
    <w:rsid w:val="00FA4A5D"/>
    <w:rsid w:val="00FA4BE7"/>
    <w:rsid w:val="00FA4E41"/>
    <w:rsid w:val="00FA4ED7"/>
    <w:rsid w:val="00FA536D"/>
    <w:rsid w:val="00FA590A"/>
    <w:rsid w:val="00FA5CA7"/>
    <w:rsid w:val="00FA639A"/>
    <w:rsid w:val="00FA6817"/>
    <w:rsid w:val="00FA70F1"/>
    <w:rsid w:val="00FA71BF"/>
    <w:rsid w:val="00FA7794"/>
    <w:rsid w:val="00FA78E3"/>
    <w:rsid w:val="00FA79A6"/>
    <w:rsid w:val="00FA7D58"/>
    <w:rsid w:val="00FA7E2C"/>
    <w:rsid w:val="00FB003A"/>
    <w:rsid w:val="00FB1510"/>
    <w:rsid w:val="00FB2062"/>
    <w:rsid w:val="00FB245E"/>
    <w:rsid w:val="00FB2834"/>
    <w:rsid w:val="00FB2DCC"/>
    <w:rsid w:val="00FB324C"/>
    <w:rsid w:val="00FB3E15"/>
    <w:rsid w:val="00FB4BBF"/>
    <w:rsid w:val="00FB4BE9"/>
    <w:rsid w:val="00FB4DF7"/>
    <w:rsid w:val="00FB4F42"/>
    <w:rsid w:val="00FB4F81"/>
    <w:rsid w:val="00FB52FC"/>
    <w:rsid w:val="00FB582C"/>
    <w:rsid w:val="00FB5836"/>
    <w:rsid w:val="00FB640C"/>
    <w:rsid w:val="00FB6D43"/>
    <w:rsid w:val="00FB6E39"/>
    <w:rsid w:val="00FC01B1"/>
    <w:rsid w:val="00FC0667"/>
    <w:rsid w:val="00FC08BB"/>
    <w:rsid w:val="00FC09E6"/>
    <w:rsid w:val="00FC0EF1"/>
    <w:rsid w:val="00FC1480"/>
    <w:rsid w:val="00FC1B88"/>
    <w:rsid w:val="00FC1C12"/>
    <w:rsid w:val="00FC21A2"/>
    <w:rsid w:val="00FC290C"/>
    <w:rsid w:val="00FC2BA8"/>
    <w:rsid w:val="00FC2C2B"/>
    <w:rsid w:val="00FC380C"/>
    <w:rsid w:val="00FC3C25"/>
    <w:rsid w:val="00FC4333"/>
    <w:rsid w:val="00FC4F99"/>
    <w:rsid w:val="00FC5568"/>
    <w:rsid w:val="00FC6A07"/>
    <w:rsid w:val="00FC6C74"/>
    <w:rsid w:val="00FC6F13"/>
    <w:rsid w:val="00FC7122"/>
    <w:rsid w:val="00FC73D2"/>
    <w:rsid w:val="00FC7C62"/>
    <w:rsid w:val="00FD0068"/>
    <w:rsid w:val="00FD0733"/>
    <w:rsid w:val="00FD1C31"/>
    <w:rsid w:val="00FD24A0"/>
    <w:rsid w:val="00FD25EF"/>
    <w:rsid w:val="00FD30E6"/>
    <w:rsid w:val="00FD31CA"/>
    <w:rsid w:val="00FD3CD1"/>
    <w:rsid w:val="00FD48C5"/>
    <w:rsid w:val="00FD4F2A"/>
    <w:rsid w:val="00FD4F46"/>
    <w:rsid w:val="00FD54F0"/>
    <w:rsid w:val="00FD5F28"/>
    <w:rsid w:val="00FD5F44"/>
    <w:rsid w:val="00FD6476"/>
    <w:rsid w:val="00FD66B5"/>
    <w:rsid w:val="00FD6B0A"/>
    <w:rsid w:val="00FD6BA5"/>
    <w:rsid w:val="00FD7AE7"/>
    <w:rsid w:val="00FE048C"/>
    <w:rsid w:val="00FE0907"/>
    <w:rsid w:val="00FE19B7"/>
    <w:rsid w:val="00FE2298"/>
    <w:rsid w:val="00FE27AB"/>
    <w:rsid w:val="00FE4653"/>
    <w:rsid w:val="00FE4EE1"/>
    <w:rsid w:val="00FE50DC"/>
    <w:rsid w:val="00FE5D27"/>
    <w:rsid w:val="00FE605F"/>
    <w:rsid w:val="00FE6494"/>
    <w:rsid w:val="00FE687E"/>
    <w:rsid w:val="00FE72B1"/>
    <w:rsid w:val="00FE74DE"/>
    <w:rsid w:val="00FE761A"/>
    <w:rsid w:val="00FF04CF"/>
    <w:rsid w:val="00FF0581"/>
    <w:rsid w:val="00FF0784"/>
    <w:rsid w:val="00FF0F37"/>
    <w:rsid w:val="00FF1597"/>
    <w:rsid w:val="00FF15C3"/>
    <w:rsid w:val="00FF1D4C"/>
    <w:rsid w:val="00FF2F28"/>
    <w:rsid w:val="00FF4177"/>
    <w:rsid w:val="00FF4F9E"/>
    <w:rsid w:val="00FF5053"/>
    <w:rsid w:val="00FF5AE5"/>
    <w:rsid w:val="00FF5DE2"/>
    <w:rsid w:val="00FF618D"/>
    <w:rsid w:val="00FF6403"/>
    <w:rsid w:val="00FF650C"/>
    <w:rsid w:val="00FF666A"/>
    <w:rsid w:val="00FF6884"/>
    <w:rsid w:val="00FF6C62"/>
    <w:rsid w:val="00FF6C63"/>
    <w:rsid w:val="00FF74AE"/>
    <w:rsid w:val="00FF7530"/>
    <w:rsid w:val="00FF75E4"/>
    <w:rsid w:val="00FF7915"/>
    <w:rsid w:val="00FF7BC0"/>
    <w:rsid w:val="00FF7D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9" w:unhideWhenUsed="0" w:qFormat="1"/>
    <w:lsdException w:name="footnote reference" w:uiPriority="0"/>
    <w:lsdException w:name="page number" w:uiPriority="0"/>
    <w:lsdException w:name="endnote reference" w:uiPriority="39"/>
    <w:lsdException w:name="endnote text" w:uiPriority="39"/>
    <w:lsdException w:name="List" w:uiPriority="0"/>
    <w:lsdException w:name="List Bullet" w:uiPriority="0"/>
    <w:lsdException w:name="Title" w:semiHidden="0" w:uiPriority="10" w:unhideWhenUsed="0" w:qFormat="1"/>
    <w:lsdException w:name="Default Paragraph Font" w:uiPriority="0"/>
    <w:lsdException w:name="Body Text" w:semiHidden="0" w:unhideWhenUsed="0" w:qFormat="1"/>
    <w:lsdException w:name="Body Text Indent" w:uiPriority="0"/>
    <w:lsdException w:name="Subtitle" w:semiHidden="0" w:uiPriority="11" w:unhideWhenUsed="0" w:qFormat="1"/>
    <w:lsdException w:name="Body Text First Indent" w:semiHidden="0" w:unhideWhenUsed="0"/>
    <w:lsdException w:name="Body Text First Indent 2" w:semiHidden="0" w:unhideWhenUsed="0"/>
    <w:lsdException w:name="Body Text 2" w:semiHidden="0" w:uiPriority="0" w:unhideWhenUsed="0" w:qFormat="1"/>
    <w:lsdException w:name="Body Text 3"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3D effects 1" w:uiPriority="0"/>
    <w:lsdException w:name="Table Grid" w:semiHidden="0" w:uiPriority="1"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C"/>
    <w:pPr>
      <w:widowControl w:val="0"/>
      <w:tabs>
        <w:tab w:val="left" w:pos="1418"/>
      </w:tabs>
      <w:adjustRightInd w:val="0"/>
      <w:snapToGrid w:val="0"/>
      <w:jc w:val="both"/>
    </w:pPr>
    <w:rPr>
      <w:rFonts w:ascii="Arial" w:hAnsi="Arial"/>
      <w:snapToGrid w:val="0"/>
      <w:sz w:val="24"/>
      <w:szCs w:val="24"/>
    </w:rPr>
  </w:style>
  <w:style w:type="paragraph" w:styleId="Heading1">
    <w:name w:val="heading 1"/>
    <w:basedOn w:val="Normal"/>
    <w:next w:val="Normal"/>
    <w:link w:val="Heading1Char"/>
    <w:qFormat/>
    <w:rsid w:val="00F151E8"/>
    <w:pPr>
      <w:keepNext/>
      <w:jc w:val="left"/>
      <w:outlineLvl w:val="0"/>
    </w:pPr>
    <w:rPr>
      <w:b/>
      <w:sz w:val="36"/>
    </w:rPr>
  </w:style>
  <w:style w:type="paragraph" w:styleId="Heading2">
    <w:name w:val="heading 2"/>
    <w:basedOn w:val="Normal"/>
    <w:next w:val="Normal"/>
    <w:link w:val="Heading2Char"/>
    <w:qFormat/>
    <w:rsid w:val="00F151E8"/>
    <w:pPr>
      <w:keepNext/>
      <w:jc w:val="left"/>
      <w:outlineLvl w:val="1"/>
    </w:pPr>
    <w:rPr>
      <w:b/>
      <w:sz w:val="28"/>
    </w:rPr>
  </w:style>
  <w:style w:type="paragraph" w:styleId="Heading3">
    <w:name w:val="heading 3"/>
    <w:basedOn w:val="Normal"/>
    <w:next w:val="Normal"/>
    <w:link w:val="Heading3Char"/>
    <w:qFormat/>
    <w:rsid w:val="00F151E8"/>
    <w:pPr>
      <w:keepNext/>
      <w:jc w:val="left"/>
      <w:outlineLvl w:val="2"/>
    </w:pPr>
    <w:rPr>
      <w:b/>
      <w:i/>
    </w:rPr>
  </w:style>
  <w:style w:type="paragraph" w:styleId="Heading4">
    <w:name w:val="heading 4"/>
    <w:basedOn w:val="Normal"/>
    <w:next w:val="Normal"/>
    <w:link w:val="Heading4Char"/>
    <w:qFormat/>
    <w:rsid w:val="00F151E8"/>
    <w:pPr>
      <w:keepNext/>
      <w:jc w:val="left"/>
      <w:outlineLvl w:val="3"/>
    </w:pPr>
    <w:rPr>
      <w:i/>
    </w:rPr>
  </w:style>
  <w:style w:type="paragraph" w:styleId="Heading5">
    <w:name w:val="heading 5"/>
    <w:basedOn w:val="Normal"/>
    <w:next w:val="Normal"/>
    <w:link w:val="Heading5Char"/>
    <w:qFormat/>
    <w:rsid w:val="00EA4012"/>
    <w:pPr>
      <w:keepNext/>
      <w:numPr>
        <w:numId w:val="1"/>
      </w:numPr>
      <w:ind w:hanging="720"/>
      <w:outlineLvl w:val="4"/>
    </w:pPr>
    <w:rPr>
      <w:bCs/>
      <w:szCs w:val="36"/>
    </w:rPr>
  </w:style>
  <w:style w:type="paragraph" w:styleId="Heading6">
    <w:name w:val="heading 6"/>
    <w:basedOn w:val="Normal"/>
    <w:next w:val="Normal"/>
    <w:link w:val="Heading6Char"/>
    <w:qFormat/>
    <w:rsid w:val="00F151E8"/>
    <w:pPr>
      <w:keepNext/>
      <w:tabs>
        <w:tab w:val="num" w:pos="3686"/>
      </w:tabs>
      <w:spacing w:before="200" w:after="100"/>
      <w:ind w:left="3686" w:hanging="709"/>
      <w:outlineLvl w:val="5"/>
    </w:pPr>
    <w:rPr>
      <w:b/>
    </w:rPr>
  </w:style>
  <w:style w:type="paragraph" w:styleId="Heading7">
    <w:name w:val="heading 7"/>
    <w:basedOn w:val="Normal"/>
    <w:next w:val="Normal"/>
    <w:link w:val="Heading7Char"/>
    <w:qFormat/>
    <w:rsid w:val="00F151E8"/>
    <w:pPr>
      <w:keepNext/>
      <w:tabs>
        <w:tab w:val="num" w:pos="4394"/>
      </w:tabs>
      <w:spacing w:before="200" w:after="100"/>
      <w:ind w:left="4394" w:hanging="708"/>
      <w:outlineLvl w:val="6"/>
    </w:pPr>
    <w:rPr>
      <w:b/>
    </w:rPr>
  </w:style>
  <w:style w:type="paragraph" w:styleId="Heading8">
    <w:name w:val="heading 8"/>
    <w:basedOn w:val="Normal"/>
    <w:next w:val="Normal"/>
    <w:link w:val="Heading8Char"/>
    <w:uiPriority w:val="99"/>
    <w:qFormat/>
    <w:rsid w:val="008B06C6"/>
    <w:pPr>
      <w:spacing w:before="100" w:after="100"/>
      <w:outlineLvl w:val="7"/>
    </w:pPr>
    <w:rPr>
      <w:iCs/>
    </w:rPr>
  </w:style>
  <w:style w:type="paragraph" w:styleId="Heading9">
    <w:name w:val="heading 9"/>
    <w:basedOn w:val="Normal"/>
    <w:next w:val="Normal"/>
    <w:link w:val="Heading9Char"/>
    <w:uiPriority w:val="99"/>
    <w:qFormat/>
    <w:rsid w:val="008B06C6"/>
    <w:pPr>
      <w:spacing w:before="100" w:after="100"/>
      <w:outlineLvl w:val="8"/>
    </w:pPr>
    <w:rPr>
      <w:rFonts w:cs="Arial"/>
      <w:szCs w:val="22"/>
    </w:rPr>
  </w:style>
  <w:style w:type="character" w:default="1" w:styleId="DefaultParagraphFont">
    <w:name w:val="Default Paragraph Font"/>
    <w:rsid w:val="00F151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F151E8"/>
  </w:style>
  <w:style w:type="character" w:customStyle="1" w:styleId="Heading1Char">
    <w:name w:val="Heading 1 Char"/>
    <w:link w:val="Heading1"/>
    <w:rsid w:val="00527009"/>
    <w:rPr>
      <w:rFonts w:ascii="Arial" w:hAnsi="Arial"/>
      <w:b/>
      <w:sz w:val="36"/>
      <w:szCs w:val="24"/>
      <w:lang w:val="en-GB"/>
    </w:rPr>
  </w:style>
  <w:style w:type="character" w:customStyle="1" w:styleId="Heading2Char">
    <w:name w:val="Heading 2 Char"/>
    <w:link w:val="Heading2"/>
    <w:rsid w:val="001816FC"/>
    <w:rPr>
      <w:rFonts w:ascii="Arial" w:hAnsi="Arial"/>
      <w:b/>
      <w:sz w:val="28"/>
      <w:szCs w:val="24"/>
      <w:lang w:val="en-GB"/>
    </w:rPr>
  </w:style>
  <w:style w:type="character" w:customStyle="1" w:styleId="Heading3Char">
    <w:name w:val="Heading 3 Char"/>
    <w:link w:val="Heading3"/>
    <w:rsid w:val="00D47465"/>
    <w:rPr>
      <w:rFonts w:ascii="Arial" w:hAnsi="Arial"/>
      <w:b/>
      <w:i/>
      <w:sz w:val="24"/>
      <w:szCs w:val="24"/>
      <w:lang w:val="en-GB"/>
    </w:rPr>
  </w:style>
  <w:style w:type="character" w:customStyle="1" w:styleId="Heading4Char">
    <w:name w:val="Heading 4 Char"/>
    <w:link w:val="Heading4"/>
    <w:rsid w:val="00EE35C3"/>
    <w:rPr>
      <w:rFonts w:ascii="Arial" w:hAnsi="Arial"/>
      <w:i/>
      <w:sz w:val="24"/>
      <w:szCs w:val="24"/>
      <w:lang w:val="en-GB"/>
    </w:rPr>
  </w:style>
  <w:style w:type="character" w:customStyle="1" w:styleId="Heading5Char">
    <w:name w:val="Heading 5 Char"/>
    <w:link w:val="Heading5"/>
    <w:rsid w:val="00EA4012"/>
    <w:rPr>
      <w:rFonts w:ascii="Arial" w:hAnsi="Arial"/>
      <w:bCs/>
      <w:snapToGrid w:val="0"/>
      <w:sz w:val="24"/>
      <w:szCs w:val="36"/>
      <w:lang w:val="en-GB"/>
    </w:rPr>
  </w:style>
  <w:style w:type="character" w:customStyle="1" w:styleId="Heading6Char">
    <w:name w:val="Heading 6 Char"/>
    <w:link w:val="Heading6"/>
    <w:rsid w:val="008B06C6"/>
    <w:rPr>
      <w:rFonts w:ascii="Arial" w:hAnsi="Arial"/>
      <w:b/>
      <w:sz w:val="24"/>
      <w:szCs w:val="24"/>
      <w:lang w:val="en-GB"/>
    </w:rPr>
  </w:style>
  <w:style w:type="character" w:customStyle="1" w:styleId="Heading7Char">
    <w:name w:val="Heading 7 Char"/>
    <w:link w:val="Heading7"/>
    <w:rsid w:val="008B06C6"/>
    <w:rPr>
      <w:rFonts w:ascii="Arial" w:hAnsi="Arial"/>
      <w:b/>
      <w:sz w:val="24"/>
      <w:szCs w:val="24"/>
      <w:lang w:val="en-GB"/>
    </w:rPr>
  </w:style>
  <w:style w:type="character" w:customStyle="1" w:styleId="Heading8Char">
    <w:name w:val="Heading 8 Char"/>
    <w:link w:val="Heading8"/>
    <w:uiPriority w:val="99"/>
    <w:rsid w:val="008B06C6"/>
    <w:rPr>
      <w:rFonts w:ascii="Arial" w:hAnsi="Arial"/>
      <w:iCs/>
      <w:sz w:val="24"/>
      <w:szCs w:val="24"/>
      <w:lang w:val="en-GB"/>
    </w:rPr>
  </w:style>
  <w:style w:type="character" w:customStyle="1" w:styleId="Heading9Char">
    <w:name w:val="Heading 9 Char"/>
    <w:link w:val="Heading9"/>
    <w:uiPriority w:val="99"/>
    <w:rsid w:val="008B06C6"/>
    <w:rPr>
      <w:rFonts w:ascii="Arial" w:hAnsi="Arial" w:cs="Arial"/>
      <w:sz w:val="24"/>
      <w:szCs w:val="22"/>
      <w:lang w:val="en-GB"/>
    </w:rPr>
  </w:style>
  <w:style w:type="paragraph" w:styleId="FootnoteText">
    <w:name w:val="footnote text"/>
    <w:basedOn w:val="Normal"/>
    <w:link w:val="FootnoteTextChar"/>
    <w:autoRedefine/>
    <w:rsid w:val="00C51DE0"/>
    <w:pPr>
      <w:widowControl/>
      <w:tabs>
        <w:tab w:val="clear" w:pos="1418"/>
        <w:tab w:val="left" w:pos="1080"/>
      </w:tabs>
      <w:overflowPunct w:val="0"/>
      <w:autoSpaceDE w:val="0"/>
      <w:autoSpaceDN w:val="0"/>
      <w:spacing w:after="120"/>
      <w:ind w:left="720" w:hanging="720"/>
      <w:textAlignment w:val="baseline"/>
    </w:pPr>
    <w:rPr>
      <w:rFonts w:cs="Arial"/>
      <w:spacing w:val="-4"/>
      <w:sz w:val="20"/>
      <w:szCs w:val="20"/>
    </w:rPr>
  </w:style>
  <w:style w:type="character" w:customStyle="1" w:styleId="FootnoteTextChar">
    <w:name w:val="Footnote Text Char"/>
    <w:link w:val="FootnoteText"/>
    <w:rsid w:val="00C51DE0"/>
    <w:rPr>
      <w:rFonts w:ascii="Arial" w:hAnsi="Arial" w:cs="Arial"/>
      <w:snapToGrid w:val="0"/>
      <w:spacing w:val="-4"/>
      <w:lang w:val="en-GB"/>
    </w:rPr>
  </w:style>
  <w:style w:type="character" w:styleId="FootnoteReference">
    <w:name w:val="footnote reference"/>
    <w:rsid w:val="00B24A6D"/>
    <w:rPr>
      <w:vertAlign w:val="superscript"/>
    </w:rPr>
  </w:style>
  <w:style w:type="paragraph" w:styleId="BlockText">
    <w:name w:val="Block Text"/>
    <w:basedOn w:val="Normal"/>
    <w:link w:val="BlockTextChar"/>
    <w:rsid w:val="00F151E8"/>
    <w:pPr>
      <w:ind w:left="720" w:right="720"/>
    </w:pPr>
    <w:rPr>
      <w:i/>
    </w:rPr>
  </w:style>
  <w:style w:type="paragraph" w:customStyle="1" w:styleId="Legislationindent1">
    <w:name w:val="Legislation indent 1"/>
    <w:basedOn w:val="Normal"/>
    <w:rsid w:val="00F151E8"/>
    <w:pPr>
      <w:ind w:left="1440" w:right="720" w:hanging="720"/>
    </w:pPr>
    <w:rPr>
      <w:i/>
    </w:rPr>
  </w:style>
  <w:style w:type="paragraph" w:styleId="List">
    <w:name w:val="List"/>
    <w:basedOn w:val="Normal"/>
    <w:rsid w:val="00F151E8"/>
    <w:pPr>
      <w:numPr>
        <w:numId w:val="2"/>
      </w:numPr>
    </w:pPr>
  </w:style>
  <w:style w:type="paragraph" w:styleId="ListBullet">
    <w:name w:val="List Bullet"/>
    <w:basedOn w:val="Normal"/>
    <w:autoRedefine/>
    <w:rsid w:val="00F151E8"/>
    <w:pPr>
      <w:numPr>
        <w:numId w:val="3"/>
      </w:numPr>
    </w:pPr>
  </w:style>
  <w:style w:type="paragraph" w:customStyle="1" w:styleId="Footnotelegislation1">
    <w:name w:val="Footnote legislation 1"/>
    <w:basedOn w:val="FootnoteText"/>
    <w:rsid w:val="00F151E8"/>
    <w:pPr>
      <w:ind w:left="1440"/>
    </w:pPr>
    <w:rPr>
      <w:i/>
    </w:rPr>
  </w:style>
  <w:style w:type="paragraph" w:customStyle="1" w:styleId="Footnotelegislation2">
    <w:name w:val="Footnote legislation 2"/>
    <w:basedOn w:val="FootnoteText"/>
    <w:rsid w:val="00F151E8"/>
    <w:pPr>
      <w:ind w:left="2160"/>
    </w:pPr>
    <w:rPr>
      <w:i/>
    </w:rPr>
  </w:style>
  <w:style w:type="paragraph" w:customStyle="1" w:styleId="Footnotelegislation3">
    <w:name w:val="Footnote legislation 3"/>
    <w:basedOn w:val="FootnoteText"/>
    <w:rsid w:val="00F151E8"/>
    <w:pPr>
      <w:ind w:left="2880"/>
    </w:pPr>
    <w:rPr>
      <w:i/>
    </w:rPr>
  </w:style>
  <w:style w:type="paragraph" w:customStyle="1" w:styleId="Indent1">
    <w:name w:val="Indent 1"/>
    <w:basedOn w:val="Normal"/>
    <w:rsid w:val="00F151E8"/>
    <w:pPr>
      <w:ind w:left="1440" w:hanging="720"/>
    </w:pPr>
  </w:style>
  <w:style w:type="paragraph" w:customStyle="1" w:styleId="Indent2">
    <w:name w:val="Indent 2"/>
    <w:basedOn w:val="Normal"/>
    <w:rsid w:val="00F151E8"/>
    <w:pPr>
      <w:ind w:left="2160" w:hanging="720"/>
    </w:pPr>
  </w:style>
  <w:style w:type="paragraph" w:customStyle="1" w:styleId="Indent3">
    <w:name w:val="Indent 3"/>
    <w:basedOn w:val="Normal"/>
    <w:rsid w:val="00F151E8"/>
    <w:pPr>
      <w:ind w:left="2880" w:hanging="720"/>
    </w:pPr>
  </w:style>
  <w:style w:type="paragraph" w:customStyle="1" w:styleId="Legislationindent2">
    <w:name w:val="Legislation indent 2"/>
    <w:basedOn w:val="Normal"/>
    <w:rsid w:val="00F151E8"/>
    <w:pPr>
      <w:ind w:left="2160" w:right="720" w:hanging="720"/>
    </w:pPr>
    <w:rPr>
      <w:i/>
    </w:rPr>
  </w:style>
  <w:style w:type="paragraph" w:customStyle="1" w:styleId="Legislationindent3">
    <w:name w:val="Legislation indent 3"/>
    <w:basedOn w:val="Normal"/>
    <w:rsid w:val="00F151E8"/>
    <w:pPr>
      <w:ind w:left="2880" w:right="720" w:hanging="720"/>
    </w:pPr>
    <w:rPr>
      <w:i/>
    </w:rPr>
  </w:style>
  <w:style w:type="paragraph" w:customStyle="1" w:styleId="Legislationindent4">
    <w:name w:val="Legislation indent 4"/>
    <w:basedOn w:val="Normal"/>
    <w:rsid w:val="00F151E8"/>
    <w:pPr>
      <w:ind w:left="3600" w:right="720" w:hanging="720"/>
    </w:pPr>
    <w:rPr>
      <w:i/>
    </w:rPr>
  </w:style>
  <w:style w:type="paragraph" w:customStyle="1" w:styleId="Recommendationindent1">
    <w:name w:val="Recommendation indent 1"/>
    <w:basedOn w:val="Normal"/>
    <w:rsid w:val="00F151E8"/>
    <w:pPr>
      <w:ind w:left="720" w:hanging="720"/>
    </w:pPr>
    <w:rPr>
      <w:b/>
    </w:rPr>
  </w:style>
  <w:style w:type="paragraph" w:customStyle="1" w:styleId="Recommendationindent2">
    <w:name w:val="Recommendation indent 2"/>
    <w:basedOn w:val="Normal"/>
    <w:rsid w:val="00F151E8"/>
    <w:pPr>
      <w:ind w:left="1440" w:hanging="720"/>
    </w:pPr>
    <w:rPr>
      <w:b/>
    </w:rPr>
  </w:style>
  <w:style w:type="paragraph" w:customStyle="1" w:styleId="Recommendationindent3">
    <w:name w:val="Recommendation indent 3"/>
    <w:basedOn w:val="Normal"/>
    <w:rsid w:val="00F151E8"/>
    <w:pPr>
      <w:ind w:left="2160" w:hanging="720"/>
    </w:pPr>
    <w:rPr>
      <w:b/>
    </w:rPr>
  </w:style>
  <w:style w:type="paragraph" w:customStyle="1" w:styleId="Recommendationindent4">
    <w:name w:val="Recommendation indent 4"/>
    <w:basedOn w:val="Recommendationindent3"/>
    <w:rsid w:val="00F151E8"/>
    <w:pPr>
      <w:ind w:left="2880"/>
    </w:pPr>
  </w:style>
  <w:style w:type="paragraph" w:customStyle="1" w:styleId="PlainTable21">
    <w:name w:val="Plain Table 21"/>
    <w:hidden/>
    <w:uiPriority w:val="99"/>
    <w:semiHidden/>
    <w:rsid w:val="008B06C6"/>
    <w:rPr>
      <w:rFonts w:ascii="Arial" w:eastAsia="Batang" w:hAnsi="Arial"/>
      <w:lang w:eastAsia="en-GB"/>
    </w:rPr>
  </w:style>
  <w:style w:type="paragraph" w:customStyle="1" w:styleId="MediumGrid3-Accent51">
    <w:name w:val="Medium Grid 3 - Accent 51"/>
    <w:hidden/>
    <w:uiPriority w:val="99"/>
    <w:semiHidden/>
    <w:rsid w:val="007B5913"/>
    <w:rPr>
      <w:sz w:val="24"/>
      <w:szCs w:val="24"/>
    </w:rPr>
  </w:style>
  <w:style w:type="paragraph" w:customStyle="1" w:styleId="MediumList1-Accent41">
    <w:name w:val="Medium List 1 - Accent 41"/>
    <w:hidden/>
    <w:uiPriority w:val="99"/>
    <w:semiHidden/>
    <w:rsid w:val="001D726E"/>
    <w:rPr>
      <w:rFonts w:ascii="Arial" w:eastAsia="Batang" w:hAnsi="Arial"/>
      <w:lang w:eastAsia="en-GB"/>
    </w:rPr>
  </w:style>
  <w:style w:type="paragraph" w:customStyle="1" w:styleId="LightGrid-Accent31">
    <w:name w:val="Light Grid - Accent 31"/>
    <w:basedOn w:val="Normal"/>
    <w:uiPriority w:val="34"/>
    <w:qFormat/>
    <w:rsid w:val="001D726E"/>
    <w:pPr>
      <w:widowControl/>
      <w:tabs>
        <w:tab w:val="clear" w:pos="1418"/>
      </w:tabs>
      <w:adjustRightInd/>
      <w:snapToGrid/>
      <w:ind w:left="720"/>
      <w:contextualSpacing/>
      <w:jc w:val="left"/>
    </w:pPr>
    <w:rPr>
      <w:rFonts w:ascii="Cambria" w:eastAsia="MS Mincho" w:hAnsi="Cambria"/>
      <w:lang w:val="en-US" w:eastAsia="en-US"/>
    </w:rPr>
  </w:style>
  <w:style w:type="paragraph" w:customStyle="1" w:styleId="LightGrid-Accent32">
    <w:name w:val="Light Grid - Accent 32"/>
    <w:basedOn w:val="Normal"/>
    <w:uiPriority w:val="34"/>
    <w:qFormat/>
    <w:rsid w:val="008D5E44"/>
    <w:pPr>
      <w:ind w:left="720"/>
    </w:pPr>
  </w:style>
  <w:style w:type="paragraph" w:customStyle="1" w:styleId="ColorfulShading-Accent11">
    <w:name w:val="Colorful Shading - Accent 11"/>
    <w:hidden/>
    <w:uiPriority w:val="99"/>
    <w:semiHidden/>
    <w:rsid w:val="00B4373C"/>
    <w:rPr>
      <w:sz w:val="24"/>
      <w:szCs w:val="24"/>
    </w:rPr>
  </w:style>
  <w:style w:type="paragraph" w:styleId="MediumGrid3-Accent5">
    <w:name w:val="Medium Grid 3 Accent 5"/>
    <w:hidden/>
    <w:uiPriority w:val="99"/>
    <w:semiHidden/>
    <w:rsid w:val="003755CE"/>
    <w:rPr>
      <w:sz w:val="24"/>
      <w:szCs w:val="24"/>
    </w:rPr>
  </w:style>
  <w:style w:type="paragraph" w:styleId="DarkList-Accent3">
    <w:name w:val="Dark List Accent 3"/>
    <w:hidden/>
    <w:uiPriority w:val="71"/>
    <w:unhideWhenUsed/>
    <w:rsid w:val="00330242"/>
    <w:rPr>
      <w:sz w:val="24"/>
      <w:szCs w:val="24"/>
    </w:rPr>
  </w:style>
  <w:style w:type="paragraph" w:styleId="LightList-Accent3">
    <w:name w:val="Light List Accent 3"/>
    <w:hidden/>
    <w:uiPriority w:val="99"/>
    <w:semiHidden/>
    <w:rsid w:val="00BD7BED"/>
    <w:rPr>
      <w:sz w:val="24"/>
      <w:szCs w:val="24"/>
    </w:rPr>
  </w:style>
  <w:style w:type="paragraph" w:styleId="ColorfulShading-Accent1">
    <w:name w:val="Colorful Shading Accent 1"/>
    <w:hidden/>
    <w:uiPriority w:val="99"/>
    <w:semiHidden/>
    <w:rsid w:val="00584B1B"/>
    <w:rPr>
      <w:sz w:val="24"/>
      <w:szCs w:val="24"/>
    </w:rPr>
  </w:style>
  <w:style w:type="paragraph" w:styleId="Header">
    <w:name w:val="header"/>
    <w:basedOn w:val="Normal"/>
    <w:link w:val="HeaderChar"/>
    <w:uiPriority w:val="99"/>
    <w:unhideWhenUsed/>
    <w:rsid w:val="004200AB"/>
    <w:pPr>
      <w:tabs>
        <w:tab w:val="clear" w:pos="1418"/>
        <w:tab w:val="center" w:pos="4153"/>
        <w:tab w:val="right" w:pos="8306"/>
      </w:tabs>
    </w:pPr>
    <w:rPr>
      <w:sz w:val="20"/>
      <w:szCs w:val="20"/>
    </w:rPr>
  </w:style>
  <w:style w:type="character" w:customStyle="1" w:styleId="HeaderChar">
    <w:name w:val="Header Char"/>
    <w:link w:val="Header"/>
    <w:uiPriority w:val="99"/>
    <w:rsid w:val="004200AB"/>
    <w:rPr>
      <w:rFonts w:ascii="Arial" w:hAnsi="Arial"/>
      <w:lang w:val="en-GB"/>
    </w:rPr>
  </w:style>
  <w:style w:type="paragraph" w:styleId="Footer">
    <w:name w:val="footer"/>
    <w:basedOn w:val="Normal"/>
    <w:link w:val="FooterChar"/>
    <w:uiPriority w:val="99"/>
    <w:unhideWhenUsed/>
    <w:rsid w:val="004200AB"/>
    <w:pPr>
      <w:tabs>
        <w:tab w:val="clear" w:pos="1418"/>
        <w:tab w:val="center" w:pos="4153"/>
        <w:tab w:val="right" w:pos="8306"/>
      </w:tabs>
    </w:pPr>
    <w:rPr>
      <w:sz w:val="20"/>
      <w:szCs w:val="20"/>
    </w:rPr>
  </w:style>
  <w:style w:type="character" w:customStyle="1" w:styleId="FooterChar">
    <w:name w:val="Footer Char"/>
    <w:link w:val="Footer"/>
    <w:uiPriority w:val="99"/>
    <w:rsid w:val="004200AB"/>
    <w:rPr>
      <w:rFonts w:ascii="Arial" w:hAnsi="Arial"/>
      <w:lang w:val="en-GB"/>
    </w:rPr>
  </w:style>
  <w:style w:type="character" w:styleId="PageNumber">
    <w:name w:val="page number"/>
    <w:rsid w:val="0014283F"/>
  </w:style>
  <w:style w:type="paragraph" w:styleId="NormalIndent">
    <w:name w:val="Normal Indent"/>
    <w:basedOn w:val="Normal"/>
    <w:rsid w:val="0014283F"/>
    <w:pPr>
      <w:ind w:left="480"/>
    </w:pPr>
  </w:style>
  <w:style w:type="character" w:customStyle="1" w:styleId="Char2">
    <w:name w:val=" Char2"/>
    <w:rsid w:val="0014283F"/>
    <w:rPr>
      <w:rFonts w:ascii="Arial" w:eastAsia="PMingLiU" w:hAnsi="Arial"/>
      <w:b/>
      <w:i/>
      <w:sz w:val="24"/>
      <w:szCs w:val="24"/>
      <w:lang w:val="en-GB" w:eastAsia="zh-TW" w:bidi="ar-SA"/>
    </w:rPr>
  </w:style>
  <w:style w:type="paragraph" w:customStyle="1" w:styleId="Normal1">
    <w:name w:val="Normal1"/>
    <w:basedOn w:val="Normal"/>
    <w:next w:val="NormalIndent"/>
    <w:qFormat/>
    <w:rsid w:val="0014283F"/>
    <w:pPr>
      <w:tabs>
        <w:tab w:val="left" w:pos="720"/>
      </w:tabs>
      <w:spacing w:after="240"/>
      <w:ind w:left="720"/>
    </w:pPr>
    <w:rPr>
      <w:rFonts w:ascii="Times New Roman" w:hAnsi="Times New Roman"/>
    </w:rPr>
  </w:style>
  <w:style w:type="table" w:styleId="TableGrid">
    <w:name w:val="Table Grid"/>
    <w:basedOn w:val="TableNormal"/>
    <w:uiPriority w:val="1"/>
    <w:rsid w:val="00942A08"/>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41">
    <w:name w:val="Plain Table 41"/>
    <w:basedOn w:val="Normal"/>
    <w:next w:val="Normal"/>
    <w:link w:val="PlainTable4Char"/>
    <w:uiPriority w:val="29"/>
    <w:qFormat/>
    <w:rsid w:val="00942A08"/>
    <w:pPr>
      <w:spacing w:afterLines="100" w:after="240"/>
      <w:ind w:left="1440"/>
    </w:pPr>
    <w:rPr>
      <w:rFonts w:ascii="Times New Roman" w:hAnsi="Times New Roman"/>
      <w:i/>
      <w:iCs/>
      <w:color w:val="000000"/>
    </w:rPr>
  </w:style>
  <w:style w:type="character" w:customStyle="1" w:styleId="PlainTable4Char">
    <w:name w:val="Plain Table 4 Char"/>
    <w:link w:val="PlainTable41"/>
    <w:uiPriority w:val="29"/>
    <w:rsid w:val="00942A08"/>
    <w:rPr>
      <w:i/>
      <w:iCs/>
      <w:color w:val="000000"/>
      <w:sz w:val="24"/>
      <w:szCs w:val="24"/>
      <w:lang w:val="en-GB"/>
    </w:rPr>
  </w:style>
  <w:style w:type="character" w:styleId="Hyperlink">
    <w:name w:val="Hyperlink"/>
    <w:uiPriority w:val="99"/>
    <w:rsid w:val="00942A08"/>
    <w:rPr>
      <w:color w:val="0000FF"/>
      <w:u w:val="single"/>
    </w:rPr>
  </w:style>
  <w:style w:type="paragraph" w:customStyle="1" w:styleId="Heading31">
    <w:name w:val="Heading 3.1"/>
    <w:basedOn w:val="Heading3"/>
    <w:qFormat/>
    <w:rsid w:val="00942A08"/>
    <w:pPr>
      <w:numPr>
        <w:numId w:val="4"/>
      </w:numPr>
      <w:tabs>
        <w:tab w:val="clear" w:pos="1418"/>
      </w:tabs>
      <w:spacing w:after="240"/>
    </w:pPr>
    <w:rPr>
      <w:rFonts w:ascii="Times New Roman" w:hAnsi="Times New Roman"/>
      <w:b w:val="0"/>
      <w:i w:val="0"/>
      <w:u w:val="single"/>
    </w:rPr>
  </w:style>
  <w:style w:type="paragraph" w:styleId="NormalWeb">
    <w:name w:val="Normal (Web)"/>
    <w:basedOn w:val="Normal"/>
    <w:unhideWhenUsed/>
    <w:rsid w:val="00942A08"/>
    <w:pPr>
      <w:widowControl/>
      <w:tabs>
        <w:tab w:val="clear" w:pos="1418"/>
      </w:tabs>
      <w:adjustRightInd/>
      <w:snapToGrid/>
      <w:spacing w:before="100" w:beforeAutospacing="1" w:after="100" w:afterAutospacing="1"/>
      <w:jc w:val="left"/>
    </w:pPr>
    <w:rPr>
      <w:rFonts w:ascii="Times New Roman" w:eastAsia="Times New Roman" w:hAnsi="Times New Roman"/>
      <w:lang w:val="en-US"/>
    </w:rPr>
  </w:style>
  <w:style w:type="paragraph" w:customStyle="1" w:styleId="Heading41">
    <w:name w:val="Heading 4.1"/>
    <w:basedOn w:val="Heading4"/>
    <w:qFormat/>
    <w:rsid w:val="00942A08"/>
    <w:pPr>
      <w:numPr>
        <w:numId w:val="5"/>
      </w:numPr>
      <w:tabs>
        <w:tab w:val="clear" w:pos="1418"/>
      </w:tabs>
      <w:spacing w:after="240"/>
      <w:ind w:hanging="720"/>
    </w:pPr>
    <w:rPr>
      <w:rFonts w:ascii="Calibri" w:hAnsi="Calibri"/>
    </w:rPr>
  </w:style>
  <w:style w:type="character" w:styleId="CommentReference">
    <w:name w:val="annotation reference"/>
    <w:uiPriority w:val="99"/>
    <w:semiHidden/>
    <w:unhideWhenUsed/>
    <w:rsid w:val="00942A08"/>
    <w:rPr>
      <w:sz w:val="18"/>
      <w:szCs w:val="18"/>
    </w:rPr>
  </w:style>
  <w:style w:type="paragraph" w:styleId="BodyText">
    <w:name w:val="Body Text"/>
    <w:aliases w:val="1.1 Body Text"/>
    <w:basedOn w:val="Normal"/>
    <w:next w:val="Normal"/>
    <w:link w:val="BodyTextChar"/>
    <w:autoRedefine/>
    <w:uiPriority w:val="99"/>
    <w:qFormat/>
    <w:rsid w:val="00942A08"/>
    <w:pPr>
      <w:numPr>
        <w:numId w:val="20"/>
      </w:numPr>
      <w:tabs>
        <w:tab w:val="clear" w:pos="1418"/>
        <w:tab w:val="left" w:pos="720"/>
      </w:tabs>
      <w:spacing w:after="240"/>
      <w:ind w:left="720" w:hanging="720"/>
    </w:pPr>
    <w:rPr>
      <w:rFonts w:ascii="Times New Roman" w:hAnsi="Times New Roman"/>
    </w:rPr>
  </w:style>
  <w:style w:type="character" w:customStyle="1" w:styleId="BodyTextChar">
    <w:name w:val="Body Text Char"/>
    <w:aliases w:val="1.1 Body Text Char"/>
    <w:link w:val="BodyText"/>
    <w:uiPriority w:val="99"/>
    <w:rsid w:val="00942A08"/>
    <w:rPr>
      <w:snapToGrid w:val="0"/>
      <w:sz w:val="24"/>
      <w:szCs w:val="24"/>
      <w:lang w:val="en-GB"/>
    </w:rPr>
  </w:style>
  <w:style w:type="paragraph" w:styleId="BodyText2">
    <w:name w:val="Body Text 2"/>
    <w:basedOn w:val="Normal"/>
    <w:link w:val="BodyText2Char"/>
    <w:qFormat/>
    <w:rsid w:val="00942A08"/>
    <w:pPr>
      <w:spacing w:after="240"/>
      <w:ind w:left="1440" w:hanging="720"/>
    </w:pPr>
    <w:rPr>
      <w:rFonts w:ascii="Times New Roman" w:hAnsi="Times New Roman"/>
    </w:rPr>
  </w:style>
  <w:style w:type="character" w:customStyle="1" w:styleId="BodyText2Char">
    <w:name w:val="Body Text 2 Char"/>
    <w:link w:val="BodyText2"/>
    <w:rsid w:val="00942A08"/>
    <w:rPr>
      <w:sz w:val="24"/>
      <w:szCs w:val="24"/>
      <w:lang w:val="en-GB"/>
    </w:rPr>
  </w:style>
  <w:style w:type="paragraph" w:styleId="BodyTextIndent">
    <w:name w:val="Body Text Indent"/>
    <w:basedOn w:val="Normal"/>
    <w:link w:val="BodyTextIndentChar"/>
    <w:semiHidden/>
    <w:unhideWhenUsed/>
    <w:rsid w:val="00942A08"/>
    <w:pPr>
      <w:spacing w:after="120"/>
      <w:ind w:left="360"/>
    </w:pPr>
    <w:rPr>
      <w:rFonts w:ascii="Times New Roman" w:hAnsi="Times New Roman"/>
    </w:rPr>
  </w:style>
  <w:style w:type="character" w:customStyle="1" w:styleId="BodyTextIndentChar">
    <w:name w:val="Body Text Indent Char"/>
    <w:link w:val="BodyTextIndent"/>
    <w:semiHidden/>
    <w:rsid w:val="00942A08"/>
    <w:rPr>
      <w:sz w:val="24"/>
      <w:szCs w:val="24"/>
      <w:lang w:val="en-GB"/>
    </w:rPr>
  </w:style>
  <w:style w:type="numbering" w:customStyle="1" w:styleId="Skeleton">
    <w:name w:val="Skeleton"/>
    <w:uiPriority w:val="99"/>
    <w:rsid w:val="00942A08"/>
    <w:pPr>
      <w:numPr>
        <w:numId w:val="6"/>
      </w:numPr>
    </w:pPr>
  </w:style>
  <w:style w:type="paragraph" w:customStyle="1" w:styleId="PlainTable31">
    <w:name w:val="Plain Table 31"/>
    <w:basedOn w:val="Normal"/>
    <w:uiPriority w:val="34"/>
    <w:qFormat/>
    <w:rsid w:val="00942A08"/>
    <w:pPr>
      <w:spacing w:after="240"/>
      <w:ind w:left="720"/>
      <w:contextualSpacing/>
    </w:pPr>
    <w:rPr>
      <w:rFonts w:ascii="Times New Roman" w:hAnsi="Times New Roman"/>
    </w:rPr>
  </w:style>
  <w:style w:type="paragraph" w:customStyle="1" w:styleId="Default">
    <w:name w:val="Default"/>
    <w:rsid w:val="00942A08"/>
    <w:pPr>
      <w:widowControl w:val="0"/>
      <w:autoSpaceDE w:val="0"/>
      <w:autoSpaceDN w:val="0"/>
      <w:adjustRightInd w:val="0"/>
    </w:pPr>
    <w:rPr>
      <w:rFonts w:ascii="Arial" w:hAnsi="Arial" w:cs="Arial"/>
      <w:color w:val="000000"/>
      <w:sz w:val="24"/>
      <w:szCs w:val="24"/>
      <w:lang w:val="en-US" w:eastAsia="en-US"/>
    </w:rPr>
  </w:style>
  <w:style w:type="character" w:customStyle="1" w:styleId="CharacterStyle1">
    <w:name w:val="Character Style 1"/>
    <w:uiPriority w:val="99"/>
    <w:rsid w:val="00942A08"/>
    <w:rPr>
      <w:sz w:val="20"/>
      <w:szCs w:val="20"/>
    </w:rPr>
  </w:style>
  <w:style w:type="paragraph" w:styleId="BalloonText">
    <w:name w:val="Balloon Text"/>
    <w:basedOn w:val="Normal"/>
    <w:link w:val="BalloonTextChar"/>
    <w:uiPriority w:val="99"/>
    <w:semiHidden/>
    <w:unhideWhenUsed/>
    <w:rsid w:val="00942A08"/>
    <w:pPr>
      <w:spacing w:after="240"/>
    </w:pPr>
    <w:rPr>
      <w:rFonts w:ascii="Tahoma" w:hAnsi="Tahoma" w:cs="Tahoma"/>
      <w:sz w:val="16"/>
      <w:szCs w:val="16"/>
    </w:rPr>
  </w:style>
  <w:style w:type="character" w:customStyle="1" w:styleId="BalloonTextChar">
    <w:name w:val="Balloon Text Char"/>
    <w:link w:val="BalloonText"/>
    <w:uiPriority w:val="99"/>
    <w:semiHidden/>
    <w:rsid w:val="00942A08"/>
    <w:rPr>
      <w:rFonts w:ascii="Tahoma" w:hAnsi="Tahoma" w:cs="Tahoma"/>
      <w:sz w:val="16"/>
      <w:szCs w:val="16"/>
      <w:lang w:val="en-GB"/>
    </w:rPr>
  </w:style>
  <w:style w:type="paragraph" w:styleId="CommentText">
    <w:name w:val="annotation text"/>
    <w:basedOn w:val="Normal"/>
    <w:link w:val="CommentTextChar"/>
    <w:uiPriority w:val="99"/>
    <w:semiHidden/>
    <w:unhideWhenUsed/>
    <w:rsid w:val="00942A08"/>
    <w:pPr>
      <w:spacing w:after="240"/>
    </w:pPr>
    <w:rPr>
      <w:rFonts w:ascii="Times New Roman" w:hAnsi="Times New Roman"/>
      <w:sz w:val="20"/>
      <w:szCs w:val="20"/>
    </w:rPr>
  </w:style>
  <w:style w:type="character" w:customStyle="1" w:styleId="CommentTextChar">
    <w:name w:val="Comment Text Char"/>
    <w:link w:val="CommentText"/>
    <w:uiPriority w:val="99"/>
    <w:semiHidden/>
    <w:rsid w:val="00942A08"/>
    <w:rPr>
      <w:lang w:val="en-GB"/>
    </w:rPr>
  </w:style>
  <w:style w:type="paragraph" w:styleId="CommentSubject">
    <w:name w:val="annotation subject"/>
    <w:basedOn w:val="CommentText"/>
    <w:next w:val="CommentText"/>
    <w:link w:val="CommentSubjectChar"/>
    <w:uiPriority w:val="99"/>
    <w:semiHidden/>
    <w:unhideWhenUsed/>
    <w:rsid w:val="00942A08"/>
    <w:rPr>
      <w:b/>
      <w:bCs/>
    </w:rPr>
  </w:style>
  <w:style w:type="character" w:customStyle="1" w:styleId="CommentSubjectChar">
    <w:name w:val="Comment Subject Char"/>
    <w:link w:val="CommentSubject"/>
    <w:uiPriority w:val="99"/>
    <w:semiHidden/>
    <w:rsid w:val="00942A08"/>
    <w:rPr>
      <w:b/>
      <w:bCs/>
      <w:lang w:val="en-GB"/>
    </w:rPr>
  </w:style>
  <w:style w:type="paragraph" w:customStyle="1" w:styleId="Alpha">
    <w:name w:val="Alpha"/>
    <w:basedOn w:val="BodyText"/>
    <w:uiPriority w:val="4"/>
    <w:qFormat/>
    <w:rsid w:val="00942A08"/>
    <w:pPr>
      <w:numPr>
        <w:numId w:val="10"/>
      </w:numPr>
      <w:tabs>
        <w:tab w:val="left" w:pos="1418"/>
      </w:tabs>
      <w:spacing w:before="100" w:after="100"/>
    </w:pPr>
    <w:rPr>
      <w:rFonts w:ascii="Arial" w:eastAsia="Times New Roman" w:hAnsi="Arial"/>
      <w:lang w:eastAsia="en-US"/>
    </w:rPr>
  </w:style>
  <w:style w:type="paragraph" w:customStyle="1" w:styleId="AlphaBrackets">
    <w:name w:val="AlphaBrackets"/>
    <w:basedOn w:val="BodyText"/>
    <w:uiPriority w:val="4"/>
    <w:qFormat/>
    <w:rsid w:val="00942A08"/>
    <w:pPr>
      <w:numPr>
        <w:numId w:val="8"/>
      </w:numPr>
      <w:tabs>
        <w:tab w:val="left" w:pos="1418"/>
      </w:tabs>
      <w:spacing w:before="100" w:after="100"/>
    </w:pPr>
    <w:rPr>
      <w:rFonts w:ascii="Arial" w:eastAsia="Times New Roman" w:hAnsi="Arial"/>
      <w:lang w:eastAsia="en-US"/>
    </w:rPr>
  </w:style>
  <w:style w:type="paragraph" w:styleId="TOC5">
    <w:name w:val="toc 5"/>
    <w:basedOn w:val="Normal"/>
    <w:next w:val="Normal"/>
    <w:uiPriority w:val="39"/>
    <w:rsid w:val="00942A08"/>
    <w:pPr>
      <w:tabs>
        <w:tab w:val="left" w:pos="3119"/>
        <w:tab w:val="right" w:leader="dot" w:pos="8789"/>
      </w:tabs>
      <w:spacing w:after="240"/>
      <w:ind w:left="3119" w:right="992" w:hanging="567"/>
    </w:pPr>
    <w:rPr>
      <w:rFonts w:ascii="Times New Roman" w:hAnsi="Times New Roman"/>
    </w:rPr>
  </w:style>
  <w:style w:type="paragraph" w:customStyle="1" w:styleId="Numeric">
    <w:name w:val="Numeric"/>
    <w:basedOn w:val="BodyText"/>
    <w:uiPriority w:val="4"/>
    <w:qFormat/>
    <w:rsid w:val="00942A08"/>
    <w:pPr>
      <w:numPr>
        <w:numId w:val="11"/>
      </w:numPr>
      <w:tabs>
        <w:tab w:val="left" w:pos="1418"/>
      </w:tabs>
      <w:spacing w:before="100" w:after="100"/>
    </w:pPr>
    <w:rPr>
      <w:rFonts w:ascii="Arial" w:eastAsia="Times New Roman" w:hAnsi="Arial"/>
      <w:lang w:eastAsia="en-US"/>
    </w:rPr>
  </w:style>
  <w:style w:type="paragraph" w:customStyle="1" w:styleId="NumericBrackets">
    <w:name w:val="NumericBrackets"/>
    <w:basedOn w:val="BodyText"/>
    <w:uiPriority w:val="4"/>
    <w:qFormat/>
    <w:rsid w:val="00942A08"/>
    <w:pPr>
      <w:numPr>
        <w:numId w:val="9"/>
      </w:numPr>
      <w:tabs>
        <w:tab w:val="left" w:pos="1418"/>
      </w:tabs>
      <w:spacing w:before="100" w:after="100"/>
    </w:pPr>
    <w:rPr>
      <w:rFonts w:ascii="Arial" w:eastAsia="Times New Roman" w:hAnsi="Arial"/>
      <w:lang w:eastAsia="en-US"/>
    </w:rPr>
  </w:style>
  <w:style w:type="paragraph" w:customStyle="1" w:styleId="ScheduleHeading1">
    <w:name w:val="Schedule Heading 1"/>
    <w:basedOn w:val="BodyText"/>
    <w:next w:val="BodyText1"/>
    <w:qFormat/>
    <w:rsid w:val="00942A08"/>
    <w:pPr>
      <w:keepNext/>
      <w:numPr>
        <w:numId w:val="7"/>
      </w:numPr>
      <w:tabs>
        <w:tab w:val="left" w:pos="1418"/>
      </w:tabs>
      <w:spacing w:before="200" w:after="100"/>
    </w:pPr>
    <w:rPr>
      <w:rFonts w:ascii="Arial" w:hAnsi="Arial"/>
      <w:b/>
      <w:caps/>
    </w:rPr>
  </w:style>
  <w:style w:type="paragraph" w:customStyle="1" w:styleId="ScheduleHeading2">
    <w:name w:val="Schedule Heading 2"/>
    <w:basedOn w:val="BodyText"/>
    <w:next w:val="BodyText2"/>
    <w:qFormat/>
    <w:rsid w:val="00942A08"/>
    <w:pPr>
      <w:keepNext/>
      <w:numPr>
        <w:ilvl w:val="1"/>
        <w:numId w:val="7"/>
      </w:numPr>
      <w:tabs>
        <w:tab w:val="left" w:pos="1418"/>
      </w:tabs>
      <w:spacing w:before="200" w:after="100"/>
    </w:pPr>
    <w:rPr>
      <w:rFonts w:ascii="Arial" w:hAnsi="Arial"/>
      <w:b/>
    </w:rPr>
  </w:style>
  <w:style w:type="paragraph" w:customStyle="1" w:styleId="ScheduleHeading3">
    <w:name w:val="Schedule Heading 3"/>
    <w:basedOn w:val="BodyText"/>
    <w:next w:val="BodyText3"/>
    <w:qFormat/>
    <w:rsid w:val="00942A08"/>
    <w:pPr>
      <w:keepNext/>
      <w:numPr>
        <w:ilvl w:val="2"/>
        <w:numId w:val="7"/>
      </w:numPr>
      <w:tabs>
        <w:tab w:val="left" w:pos="1418"/>
      </w:tabs>
      <w:spacing w:before="200" w:after="100"/>
      <w:ind w:left="1560" w:hanging="851"/>
    </w:pPr>
    <w:rPr>
      <w:rFonts w:ascii="Arial" w:hAnsi="Arial"/>
      <w:b/>
    </w:rPr>
  </w:style>
  <w:style w:type="paragraph" w:styleId="TOC1">
    <w:name w:val="toc 1"/>
    <w:basedOn w:val="BodyText"/>
    <w:next w:val="BodyText"/>
    <w:uiPriority w:val="39"/>
    <w:rsid w:val="00942A08"/>
    <w:pPr>
      <w:numPr>
        <w:numId w:val="0"/>
      </w:numPr>
      <w:tabs>
        <w:tab w:val="left" w:pos="1134"/>
        <w:tab w:val="left" w:pos="1418"/>
        <w:tab w:val="right" w:leader="dot" w:pos="8789"/>
      </w:tabs>
      <w:spacing w:before="100" w:after="100"/>
      <w:ind w:left="1134" w:right="992" w:hanging="1134"/>
    </w:pPr>
    <w:rPr>
      <w:rFonts w:ascii="Arial" w:hAnsi="Arial"/>
      <w:caps/>
    </w:rPr>
  </w:style>
  <w:style w:type="paragraph" w:styleId="TOC2">
    <w:name w:val="toc 2"/>
    <w:basedOn w:val="BodyText"/>
    <w:next w:val="BodyText"/>
    <w:uiPriority w:val="39"/>
    <w:rsid w:val="00942A08"/>
    <w:pPr>
      <w:numPr>
        <w:numId w:val="0"/>
      </w:numPr>
      <w:tabs>
        <w:tab w:val="left" w:pos="1418"/>
        <w:tab w:val="left" w:leader="dot" w:pos="1701"/>
        <w:tab w:val="right" w:leader="dot" w:pos="8789"/>
      </w:tabs>
      <w:spacing w:after="0"/>
      <w:ind w:left="1134" w:right="992" w:hanging="1134"/>
    </w:pPr>
    <w:rPr>
      <w:rFonts w:ascii="Arial" w:hAnsi="Arial"/>
      <w:noProof/>
    </w:rPr>
  </w:style>
  <w:style w:type="paragraph" w:styleId="TOC3">
    <w:name w:val="toc 3"/>
    <w:basedOn w:val="BodyText"/>
    <w:next w:val="BodyText"/>
    <w:uiPriority w:val="39"/>
    <w:rsid w:val="00942A08"/>
    <w:pPr>
      <w:numPr>
        <w:numId w:val="0"/>
      </w:numPr>
      <w:tabs>
        <w:tab w:val="left" w:pos="1134"/>
        <w:tab w:val="left" w:pos="1418"/>
        <w:tab w:val="right" w:leader="dot" w:pos="8789"/>
      </w:tabs>
      <w:spacing w:after="0"/>
      <w:ind w:left="1985" w:right="992" w:hanging="851"/>
    </w:pPr>
    <w:rPr>
      <w:rFonts w:ascii="Arial" w:hAnsi="Arial"/>
    </w:rPr>
  </w:style>
  <w:style w:type="paragraph" w:styleId="TOC4">
    <w:name w:val="toc 4"/>
    <w:basedOn w:val="BodyText"/>
    <w:next w:val="BodyText"/>
    <w:uiPriority w:val="39"/>
    <w:rsid w:val="00942A08"/>
    <w:pPr>
      <w:numPr>
        <w:numId w:val="0"/>
      </w:numPr>
      <w:tabs>
        <w:tab w:val="left" w:pos="1418"/>
        <w:tab w:val="left" w:pos="2552"/>
        <w:tab w:val="right" w:leader="dot" w:pos="8789"/>
      </w:tabs>
      <w:spacing w:after="0"/>
      <w:ind w:left="2552" w:right="992" w:hanging="567"/>
    </w:pPr>
    <w:rPr>
      <w:rFonts w:ascii="Arial" w:hAnsi="Arial"/>
    </w:rPr>
  </w:style>
  <w:style w:type="paragraph" w:styleId="TOC6">
    <w:name w:val="toc 6"/>
    <w:basedOn w:val="Normal"/>
    <w:next w:val="Normal"/>
    <w:uiPriority w:val="39"/>
    <w:rsid w:val="00942A08"/>
    <w:pPr>
      <w:tabs>
        <w:tab w:val="right" w:leader="dot" w:pos="8789"/>
      </w:tabs>
      <w:spacing w:after="240"/>
      <w:ind w:left="3686" w:right="992" w:hanging="567"/>
    </w:pPr>
    <w:rPr>
      <w:rFonts w:ascii="Times New Roman" w:hAnsi="Times New Roman"/>
    </w:rPr>
  </w:style>
  <w:style w:type="paragraph" w:styleId="TOC7">
    <w:name w:val="toc 7"/>
    <w:basedOn w:val="Normal"/>
    <w:next w:val="Normal"/>
    <w:uiPriority w:val="39"/>
    <w:rsid w:val="00942A08"/>
    <w:pPr>
      <w:tabs>
        <w:tab w:val="left" w:pos="4253"/>
        <w:tab w:val="right" w:leader="dot" w:pos="8789"/>
      </w:tabs>
      <w:spacing w:after="240"/>
      <w:ind w:left="4253" w:right="992" w:hanging="567"/>
    </w:pPr>
    <w:rPr>
      <w:rFonts w:ascii="Times New Roman" w:hAnsi="Times New Roman"/>
    </w:rPr>
  </w:style>
  <w:style w:type="paragraph" w:styleId="TOC8">
    <w:name w:val="toc 8"/>
    <w:basedOn w:val="Normal"/>
    <w:next w:val="Normal"/>
    <w:uiPriority w:val="39"/>
    <w:rsid w:val="00942A08"/>
    <w:pPr>
      <w:spacing w:after="240"/>
    </w:pPr>
    <w:rPr>
      <w:rFonts w:ascii="Times New Roman" w:hAnsi="Times New Roman"/>
    </w:rPr>
  </w:style>
  <w:style w:type="paragraph" w:styleId="TOC9">
    <w:name w:val="toc 9"/>
    <w:basedOn w:val="Normal"/>
    <w:next w:val="Normal"/>
    <w:uiPriority w:val="39"/>
    <w:rsid w:val="00942A08"/>
    <w:pPr>
      <w:spacing w:after="240"/>
    </w:pPr>
    <w:rPr>
      <w:rFonts w:ascii="Times New Roman" w:hAnsi="Times New Roman"/>
    </w:rPr>
  </w:style>
  <w:style w:type="paragraph" w:customStyle="1" w:styleId="ScheduleHeading4">
    <w:name w:val="Schedule Heading 4"/>
    <w:basedOn w:val="BodyText"/>
    <w:next w:val="BodyText4"/>
    <w:qFormat/>
    <w:rsid w:val="00942A08"/>
    <w:pPr>
      <w:keepNext/>
      <w:numPr>
        <w:ilvl w:val="3"/>
        <w:numId w:val="7"/>
      </w:numPr>
      <w:tabs>
        <w:tab w:val="left" w:pos="1418"/>
      </w:tabs>
      <w:spacing w:before="200" w:after="100"/>
    </w:pPr>
    <w:rPr>
      <w:rFonts w:ascii="Arial" w:hAnsi="Arial"/>
      <w:b/>
    </w:rPr>
  </w:style>
  <w:style w:type="paragraph" w:customStyle="1" w:styleId="ScheduleHeading5">
    <w:name w:val="Schedule Heading 5"/>
    <w:basedOn w:val="BodyText"/>
    <w:next w:val="BodyText5"/>
    <w:qFormat/>
    <w:rsid w:val="00942A08"/>
    <w:pPr>
      <w:keepNext/>
      <w:numPr>
        <w:ilvl w:val="4"/>
        <w:numId w:val="7"/>
      </w:numPr>
      <w:tabs>
        <w:tab w:val="left" w:pos="1418"/>
      </w:tabs>
      <w:spacing w:before="200" w:after="100"/>
    </w:pPr>
    <w:rPr>
      <w:rFonts w:ascii="Arial" w:hAnsi="Arial"/>
      <w:b/>
    </w:rPr>
  </w:style>
  <w:style w:type="paragraph" w:customStyle="1" w:styleId="ScheduleHeading6">
    <w:name w:val="Schedule Heading 6"/>
    <w:basedOn w:val="BodyText"/>
    <w:next w:val="BodyText6"/>
    <w:qFormat/>
    <w:rsid w:val="00942A08"/>
    <w:pPr>
      <w:keepNext/>
      <w:numPr>
        <w:ilvl w:val="5"/>
        <w:numId w:val="7"/>
      </w:numPr>
      <w:tabs>
        <w:tab w:val="left" w:pos="1418"/>
      </w:tabs>
      <w:spacing w:before="200" w:after="100"/>
    </w:pPr>
    <w:rPr>
      <w:rFonts w:ascii="Arial" w:hAnsi="Arial"/>
      <w:b/>
    </w:rPr>
  </w:style>
  <w:style w:type="paragraph" w:customStyle="1" w:styleId="ScheduleHeading7">
    <w:name w:val="Schedule Heading 7"/>
    <w:basedOn w:val="BodyText"/>
    <w:next w:val="BodyText7"/>
    <w:qFormat/>
    <w:rsid w:val="00942A08"/>
    <w:pPr>
      <w:keepNext/>
      <w:numPr>
        <w:ilvl w:val="6"/>
        <w:numId w:val="7"/>
      </w:numPr>
      <w:tabs>
        <w:tab w:val="left" w:pos="1418"/>
      </w:tabs>
      <w:spacing w:before="200" w:after="100"/>
      <w:ind w:left="4395" w:hanging="709"/>
    </w:pPr>
    <w:rPr>
      <w:rFonts w:ascii="Arial" w:hAnsi="Arial"/>
      <w:b/>
    </w:rPr>
  </w:style>
  <w:style w:type="paragraph" w:customStyle="1" w:styleId="FootnoteTextContinue">
    <w:name w:val="Footnote Text Continue"/>
    <w:basedOn w:val="Normal"/>
    <w:uiPriority w:val="39"/>
    <w:semiHidden/>
    <w:rsid w:val="00942A08"/>
    <w:pPr>
      <w:spacing w:after="240"/>
      <w:ind w:left="425"/>
    </w:pPr>
    <w:rPr>
      <w:rFonts w:ascii="Times New Roman" w:hAnsi="Times New Roman"/>
      <w:sz w:val="18"/>
    </w:rPr>
  </w:style>
  <w:style w:type="paragraph" w:customStyle="1" w:styleId="Para1">
    <w:name w:val="Para 1"/>
    <w:basedOn w:val="Heading1"/>
    <w:qFormat/>
    <w:rsid w:val="00942A08"/>
    <w:pPr>
      <w:keepNext w:val="0"/>
      <w:tabs>
        <w:tab w:val="left" w:pos="709"/>
      </w:tabs>
      <w:spacing w:before="100"/>
    </w:pPr>
    <w:rPr>
      <w:b w:val="0"/>
      <w:caps/>
    </w:rPr>
  </w:style>
  <w:style w:type="paragraph" w:customStyle="1" w:styleId="Para2">
    <w:name w:val="Para 2"/>
    <w:basedOn w:val="Heading2"/>
    <w:qFormat/>
    <w:rsid w:val="00942A08"/>
    <w:pPr>
      <w:keepNext w:val="0"/>
      <w:spacing w:before="100"/>
    </w:pPr>
    <w:rPr>
      <w:b w:val="0"/>
    </w:rPr>
  </w:style>
  <w:style w:type="paragraph" w:customStyle="1" w:styleId="Para3">
    <w:name w:val="Para 3"/>
    <w:basedOn w:val="Heading3"/>
    <w:qFormat/>
    <w:rsid w:val="00942A08"/>
    <w:pPr>
      <w:keepNext w:val="0"/>
      <w:spacing w:before="100"/>
    </w:pPr>
    <w:rPr>
      <w:i w:val="0"/>
      <w:u w:val="single"/>
    </w:rPr>
  </w:style>
  <w:style w:type="paragraph" w:customStyle="1" w:styleId="Para4">
    <w:name w:val="Para 4"/>
    <w:basedOn w:val="Heading4"/>
    <w:qFormat/>
    <w:rsid w:val="00942A08"/>
    <w:pPr>
      <w:keepNext w:val="0"/>
      <w:spacing w:before="100"/>
    </w:pPr>
    <w:rPr>
      <w:b/>
    </w:rPr>
  </w:style>
  <w:style w:type="paragraph" w:customStyle="1" w:styleId="Para5">
    <w:name w:val="Para 5"/>
    <w:basedOn w:val="Heading5"/>
    <w:qFormat/>
    <w:rsid w:val="00942A08"/>
    <w:pPr>
      <w:keepNext w:val="0"/>
      <w:numPr>
        <w:numId w:val="0"/>
      </w:numPr>
      <w:tabs>
        <w:tab w:val="num" w:pos="2977"/>
      </w:tabs>
      <w:spacing w:before="100" w:after="100"/>
      <w:ind w:left="2977" w:hanging="709"/>
    </w:pPr>
    <w:rPr>
      <w:bCs w:val="0"/>
      <w:szCs w:val="24"/>
    </w:rPr>
  </w:style>
  <w:style w:type="paragraph" w:customStyle="1" w:styleId="Para6">
    <w:name w:val="Para 6"/>
    <w:basedOn w:val="Heading6"/>
    <w:qFormat/>
    <w:rsid w:val="00942A08"/>
    <w:pPr>
      <w:keepNext w:val="0"/>
      <w:tabs>
        <w:tab w:val="left" w:pos="720"/>
      </w:tabs>
      <w:spacing w:before="100"/>
    </w:pPr>
    <w:rPr>
      <w:b w:val="0"/>
    </w:rPr>
  </w:style>
  <w:style w:type="paragraph" w:customStyle="1" w:styleId="Para7">
    <w:name w:val="Para 7"/>
    <w:basedOn w:val="Heading7"/>
    <w:qFormat/>
    <w:rsid w:val="00942A08"/>
    <w:pPr>
      <w:keepNext w:val="0"/>
      <w:tabs>
        <w:tab w:val="left" w:pos="720"/>
      </w:tabs>
      <w:spacing w:before="100"/>
    </w:pPr>
    <w:rPr>
      <w:b w:val="0"/>
    </w:rPr>
  </w:style>
  <w:style w:type="paragraph" w:customStyle="1" w:styleId="DefinitionLevel1">
    <w:name w:val="Definition Level 1"/>
    <w:basedOn w:val="BodyText1"/>
    <w:next w:val="Definition"/>
    <w:uiPriority w:val="4"/>
    <w:qFormat/>
    <w:rsid w:val="00942A08"/>
    <w:pPr>
      <w:numPr>
        <w:ilvl w:val="1"/>
        <w:numId w:val="12"/>
      </w:numPr>
      <w:ind w:left="1560" w:hanging="851"/>
    </w:pPr>
  </w:style>
  <w:style w:type="paragraph" w:customStyle="1" w:styleId="DefinitionLevel2">
    <w:name w:val="Definition Level 2"/>
    <w:basedOn w:val="DefinitionLevel1"/>
    <w:next w:val="Definition"/>
    <w:uiPriority w:val="4"/>
    <w:qFormat/>
    <w:rsid w:val="00942A08"/>
    <w:pPr>
      <w:numPr>
        <w:ilvl w:val="2"/>
      </w:numPr>
      <w:ind w:left="2268" w:hanging="709"/>
    </w:pPr>
  </w:style>
  <w:style w:type="paragraph" w:customStyle="1" w:styleId="Definition">
    <w:name w:val="Definition"/>
    <w:basedOn w:val="BodyText1"/>
    <w:uiPriority w:val="4"/>
    <w:qFormat/>
    <w:rsid w:val="00942A08"/>
    <w:pPr>
      <w:numPr>
        <w:numId w:val="12"/>
      </w:numPr>
    </w:pPr>
  </w:style>
  <w:style w:type="paragraph" w:customStyle="1" w:styleId="BodyText1">
    <w:name w:val="Body Text 1"/>
    <w:basedOn w:val="BodyText"/>
    <w:qFormat/>
    <w:rsid w:val="00942A08"/>
    <w:pPr>
      <w:numPr>
        <w:numId w:val="0"/>
      </w:numPr>
      <w:tabs>
        <w:tab w:val="left" w:pos="1418"/>
      </w:tabs>
      <w:ind w:left="1440" w:hanging="720"/>
    </w:pPr>
    <w:rPr>
      <w:rFonts w:ascii="Arial" w:hAnsi="Arial"/>
    </w:rPr>
  </w:style>
  <w:style w:type="paragraph" w:styleId="BodyText3">
    <w:name w:val="Body Text 3"/>
    <w:basedOn w:val="BodyText"/>
    <w:link w:val="BodyText3Char"/>
    <w:qFormat/>
    <w:rsid w:val="00942A08"/>
    <w:pPr>
      <w:numPr>
        <w:numId w:val="0"/>
      </w:numPr>
      <w:tabs>
        <w:tab w:val="left" w:pos="1418"/>
      </w:tabs>
      <w:spacing w:before="100" w:after="100"/>
      <w:ind w:left="1559"/>
    </w:pPr>
    <w:rPr>
      <w:rFonts w:ascii="Arial" w:hAnsi="Arial"/>
      <w:szCs w:val="16"/>
    </w:rPr>
  </w:style>
  <w:style w:type="character" w:customStyle="1" w:styleId="BodyText3Char">
    <w:name w:val="Body Text 3 Char"/>
    <w:link w:val="BodyText3"/>
    <w:rsid w:val="00942A08"/>
    <w:rPr>
      <w:rFonts w:ascii="Arial" w:hAnsi="Arial"/>
      <w:sz w:val="24"/>
      <w:szCs w:val="16"/>
      <w:lang w:val="en-GB"/>
    </w:rPr>
  </w:style>
  <w:style w:type="paragraph" w:customStyle="1" w:styleId="BodyText4">
    <w:name w:val="Body Text 4"/>
    <w:basedOn w:val="BodyText"/>
    <w:qFormat/>
    <w:rsid w:val="00942A08"/>
    <w:pPr>
      <w:numPr>
        <w:numId w:val="0"/>
      </w:numPr>
      <w:tabs>
        <w:tab w:val="left" w:pos="1418"/>
      </w:tabs>
      <w:spacing w:before="100" w:after="100"/>
      <w:ind w:left="2268"/>
    </w:pPr>
    <w:rPr>
      <w:rFonts w:ascii="Arial" w:hAnsi="Arial"/>
    </w:rPr>
  </w:style>
  <w:style w:type="paragraph" w:customStyle="1" w:styleId="BodyText5">
    <w:name w:val="Body Text 5"/>
    <w:basedOn w:val="BodyText"/>
    <w:qFormat/>
    <w:rsid w:val="00942A08"/>
    <w:pPr>
      <w:numPr>
        <w:numId w:val="0"/>
      </w:numPr>
      <w:tabs>
        <w:tab w:val="left" w:pos="1418"/>
      </w:tabs>
      <w:spacing w:before="100" w:after="100"/>
      <w:ind w:left="2977"/>
    </w:pPr>
    <w:rPr>
      <w:rFonts w:ascii="Arial" w:hAnsi="Arial"/>
    </w:rPr>
  </w:style>
  <w:style w:type="paragraph" w:customStyle="1" w:styleId="BodyText6">
    <w:name w:val="Body Text 6"/>
    <w:basedOn w:val="BodyText"/>
    <w:qFormat/>
    <w:rsid w:val="00942A08"/>
    <w:pPr>
      <w:numPr>
        <w:ilvl w:val="3"/>
        <w:numId w:val="16"/>
      </w:numPr>
      <w:tabs>
        <w:tab w:val="left" w:pos="1418"/>
      </w:tabs>
    </w:pPr>
  </w:style>
  <w:style w:type="paragraph" w:customStyle="1" w:styleId="BodyText7">
    <w:name w:val="Body Text 7"/>
    <w:basedOn w:val="BodyText"/>
    <w:qFormat/>
    <w:rsid w:val="00942A08"/>
    <w:pPr>
      <w:numPr>
        <w:numId w:val="0"/>
      </w:numPr>
      <w:tabs>
        <w:tab w:val="left" w:pos="1418"/>
      </w:tabs>
      <w:spacing w:before="100" w:after="100"/>
      <w:ind w:left="4394"/>
    </w:pPr>
    <w:rPr>
      <w:rFonts w:ascii="Arial" w:hAnsi="Arial"/>
    </w:rPr>
  </w:style>
  <w:style w:type="paragraph" w:customStyle="1" w:styleId="AppendixHeading">
    <w:name w:val="Appendix Heading"/>
    <w:basedOn w:val="BodyText1"/>
    <w:next w:val="BodyText"/>
    <w:uiPriority w:val="5"/>
    <w:rsid w:val="00942A08"/>
    <w:pPr>
      <w:numPr>
        <w:numId w:val="13"/>
      </w:numPr>
      <w:jc w:val="center"/>
    </w:pPr>
    <w:rPr>
      <w:b/>
      <w:caps/>
    </w:rPr>
  </w:style>
  <w:style w:type="paragraph" w:customStyle="1" w:styleId="SchedulePara1">
    <w:name w:val="Schedule Para 1"/>
    <w:basedOn w:val="ScheduleHeading1"/>
    <w:qFormat/>
    <w:rsid w:val="00942A08"/>
    <w:pPr>
      <w:keepNext w:val="0"/>
      <w:spacing w:before="100"/>
    </w:pPr>
    <w:rPr>
      <w:b w:val="0"/>
      <w:caps w:val="0"/>
      <w:lang w:eastAsia="en-US"/>
    </w:rPr>
  </w:style>
  <w:style w:type="paragraph" w:customStyle="1" w:styleId="SchedulePara2">
    <w:name w:val="Schedule Para 2"/>
    <w:basedOn w:val="ScheduleHeading2"/>
    <w:qFormat/>
    <w:rsid w:val="00942A08"/>
    <w:pPr>
      <w:keepNext w:val="0"/>
      <w:spacing w:before="100"/>
    </w:pPr>
    <w:rPr>
      <w:b w:val="0"/>
    </w:rPr>
  </w:style>
  <w:style w:type="paragraph" w:customStyle="1" w:styleId="SchedulePara3">
    <w:name w:val="Schedule Para 3"/>
    <w:basedOn w:val="ScheduleHeading3"/>
    <w:qFormat/>
    <w:rsid w:val="00942A08"/>
    <w:pPr>
      <w:keepNext w:val="0"/>
      <w:spacing w:before="100"/>
    </w:pPr>
    <w:rPr>
      <w:b w:val="0"/>
    </w:rPr>
  </w:style>
  <w:style w:type="paragraph" w:customStyle="1" w:styleId="SchedulePara4">
    <w:name w:val="Schedule Para 4"/>
    <w:basedOn w:val="ScheduleHeading4"/>
    <w:qFormat/>
    <w:rsid w:val="00942A08"/>
    <w:pPr>
      <w:keepNext w:val="0"/>
      <w:spacing w:before="100"/>
    </w:pPr>
    <w:rPr>
      <w:b w:val="0"/>
    </w:rPr>
  </w:style>
  <w:style w:type="paragraph" w:customStyle="1" w:styleId="SchedulePara5">
    <w:name w:val="Schedule Para 5"/>
    <w:basedOn w:val="ScheduleHeading5"/>
    <w:qFormat/>
    <w:rsid w:val="00942A08"/>
    <w:pPr>
      <w:keepNext w:val="0"/>
      <w:spacing w:before="100"/>
    </w:pPr>
    <w:rPr>
      <w:b w:val="0"/>
    </w:rPr>
  </w:style>
  <w:style w:type="paragraph" w:customStyle="1" w:styleId="SchedulePara6">
    <w:name w:val="Schedule Para 6"/>
    <w:basedOn w:val="ScheduleHeading6"/>
    <w:qFormat/>
    <w:rsid w:val="00942A08"/>
    <w:pPr>
      <w:keepNext w:val="0"/>
      <w:spacing w:before="100"/>
    </w:pPr>
    <w:rPr>
      <w:b w:val="0"/>
    </w:rPr>
  </w:style>
  <w:style w:type="paragraph" w:customStyle="1" w:styleId="SchedulePara7">
    <w:name w:val="Schedule Para 7"/>
    <w:basedOn w:val="ScheduleHeading7"/>
    <w:qFormat/>
    <w:rsid w:val="00942A08"/>
    <w:pPr>
      <w:keepNext w:val="0"/>
      <w:spacing w:before="100"/>
    </w:pPr>
    <w:rPr>
      <w:b w:val="0"/>
    </w:rPr>
  </w:style>
  <w:style w:type="paragraph" w:customStyle="1" w:styleId="ScheduleTitle">
    <w:name w:val="Schedule Title"/>
    <w:basedOn w:val="BodyText"/>
    <w:next w:val="BodyText"/>
    <w:qFormat/>
    <w:rsid w:val="00942A08"/>
    <w:pPr>
      <w:numPr>
        <w:numId w:val="14"/>
      </w:numPr>
      <w:tabs>
        <w:tab w:val="left" w:pos="1418"/>
      </w:tabs>
      <w:spacing w:before="200" w:after="100"/>
      <w:jc w:val="center"/>
    </w:pPr>
    <w:rPr>
      <w:rFonts w:ascii="Arial" w:hAnsi="Arial"/>
      <w:b/>
      <w:caps/>
      <w:lang w:eastAsia="en-US"/>
    </w:rPr>
  </w:style>
  <w:style w:type="paragraph" w:customStyle="1" w:styleId="SchedulePart">
    <w:name w:val="Schedule Part"/>
    <w:basedOn w:val="BodyText"/>
    <w:next w:val="BodyText"/>
    <w:qFormat/>
    <w:rsid w:val="00942A08"/>
    <w:pPr>
      <w:numPr>
        <w:numId w:val="15"/>
      </w:numPr>
      <w:tabs>
        <w:tab w:val="left" w:pos="1418"/>
      </w:tabs>
      <w:spacing w:before="200" w:after="100"/>
      <w:ind w:firstLine="289"/>
      <w:jc w:val="center"/>
    </w:pPr>
    <w:rPr>
      <w:rFonts w:ascii="Arial" w:hAnsi="Arial"/>
      <w:b/>
      <w:caps/>
      <w:lang w:eastAsia="en-US"/>
    </w:rPr>
  </w:style>
  <w:style w:type="paragraph" w:styleId="Caption">
    <w:name w:val="caption"/>
    <w:basedOn w:val="BodyText"/>
    <w:next w:val="BodyText"/>
    <w:uiPriority w:val="39"/>
    <w:qFormat/>
    <w:rsid w:val="00942A08"/>
    <w:pPr>
      <w:numPr>
        <w:numId w:val="0"/>
      </w:numPr>
      <w:tabs>
        <w:tab w:val="left" w:pos="1418"/>
      </w:tabs>
      <w:spacing w:before="100" w:after="100"/>
    </w:pPr>
    <w:rPr>
      <w:rFonts w:ascii="Arial Bold" w:hAnsi="Arial Bold"/>
      <w:b/>
      <w:bCs/>
      <w:szCs w:val="18"/>
    </w:rPr>
  </w:style>
  <w:style w:type="table" w:styleId="Table3Deffects1">
    <w:name w:val="Table 3D effects 1"/>
    <w:basedOn w:val="TableNormal"/>
    <w:rsid w:val="00942A08"/>
    <w:pPr>
      <w:tabs>
        <w:tab w:val="left" w:pos="709"/>
        <w:tab w:val="left" w:pos="1559"/>
        <w:tab w:val="left" w:pos="2268"/>
        <w:tab w:val="left" w:pos="2977"/>
        <w:tab w:val="left" w:pos="3686"/>
        <w:tab w:val="left" w:pos="4394"/>
        <w:tab w:val="right" w:pos="8789"/>
      </w:tabs>
      <w:spacing w:after="120"/>
    </w:pPr>
    <w:rPr>
      <w:rFonts w:ascii="Arial" w:eastAsia="Batang" w:hAnsi="Arial"/>
      <w:sz w:val="18"/>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basedOn w:val="BodyText"/>
    <w:next w:val="BodyText"/>
    <w:qFormat/>
    <w:rsid w:val="00942A08"/>
    <w:pPr>
      <w:keepNext/>
      <w:numPr>
        <w:numId w:val="0"/>
      </w:numPr>
      <w:tabs>
        <w:tab w:val="left" w:pos="1418"/>
      </w:tabs>
      <w:spacing w:before="200" w:after="100"/>
    </w:pPr>
    <w:rPr>
      <w:b/>
      <w:caps/>
    </w:rPr>
  </w:style>
  <w:style w:type="paragraph" w:styleId="EndnoteText">
    <w:name w:val="endnote text"/>
    <w:basedOn w:val="Normal"/>
    <w:link w:val="EndnoteTextChar"/>
    <w:uiPriority w:val="39"/>
    <w:semiHidden/>
    <w:rsid w:val="00942A08"/>
    <w:pPr>
      <w:spacing w:after="240"/>
    </w:pPr>
    <w:rPr>
      <w:rFonts w:ascii="Times New Roman" w:hAnsi="Times New Roman"/>
    </w:rPr>
  </w:style>
  <w:style w:type="character" w:customStyle="1" w:styleId="EndnoteTextChar">
    <w:name w:val="Endnote Text Char"/>
    <w:link w:val="EndnoteText"/>
    <w:uiPriority w:val="39"/>
    <w:semiHidden/>
    <w:rsid w:val="00942A08"/>
    <w:rPr>
      <w:sz w:val="24"/>
      <w:szCs w:val="24"/>
      <w:lang w:val="en-GB"/>
    </w:rPr>
  </w:style>
  <w:style w:type="character" w:styleId="EndnoteReference">
    <w:name w:val="endnote reference"/>
    <w:uiPriority w:val="39"/>
    <w:semiHidden/>
    <w:rsid w:val="00942A08"/>
    <w:rPr>
      <w:vertAlign w:val="superscript"/>
    </w:rPr>
  </w:style>
  <w:style w:type="character" w:customStyle="1" w:styleId="GridTable1Light1">
    <w:name w:val="Grid Table 1 Light1"/>
    <w:uiPriority w:val="33"/>
    <w:qFormat/>
    <w:rsid w:val="00942A08"/>
    <w:rPr>
      <w:b/>
      <w:bCs/>
      <w:smallCaps/>
      <w:spacing w:val="5"/>
    </w:rPr>
  </w:style>
  <w:style w:type="paragraph" w:customStyle="1" w:styleId="Bodytext50">
    <w:name w:val="Body text 5"/>
    <w:basedOn w:val="BodyText5"/>
    <w:qFormat/>
    <w:rsid w:val="00942A08"/>
    <w:pPr>
      <w:spacing w:before="0" w:after="240"/>
      <w:ind w:left="720"/>
    </w:pPr>
    <w:rPr>
      <w:rFonts w:ascii="Times New Roman" w:hAnsi="Times New Roman"/>
    </w:rPr>
  </w:style>
  <w:style w:type="paragraph" w:customStyle="1" w:styleId="GridTable31">
    <w:name w:val="Grid Table 31"/>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paragraph" w:customStyle="1" w:styleId="Bodya">
    <w:name w:val="Body (a)"/>
    <w:basedOn w:val="Normal"/>
    <w:link w:val="BodyaChar"/>
    <w:qFormat/>
    <w:rsid w:val="00942A08"/>
    <w:pPr>
      <w:numPr>
        <w:numId w:val="17"/>
      </w:numPr>
      <w:spacing w:after="240"/>
    </w:pPr>
    <w:rPr>
      <w:rFonts w:ascii="Times New Roman" w:hAnsi="Times New Roman"/>
    </w:rPr>
  </w:style>
  <w:style w:type="character" w:styleId="FollowedHyperlink">
    <w:name w:val="FollowedHyperlink"/>
    <w:uiPriority w:val="99"/>
    <w:semiHidden/>
    <w:unhideWhenUsed/>
    <w:rsid w:val="00942A08"/>
    <w:rPr>
      <w:color w:val="800080"/>
      <w:u w:val="single"/>
    </w:rPr>
  </w:style>
  <w:style w:type="character" w:customStyle="1" w:styleId="BodyaChar">
    <w:name w:val="Body (a) Char"/>
    <w:link w:val="Bodya"/>
    <w:rsid w:val="00942A08"/>
    <w:rPr>
      <w:snapToGrid w:val="0"/>
      <w:sz w:val="24"/>
      <w:szCs w:val="24"/>
      <w:lang w:val="en-GB"/>
    </w:rPr>
  </w:style>
  <w:style w:type="paragraph" w:customStyle="1" w:styleId="GridTable32">
    <w:name w:val="Grid Table 32"/>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character" w:customStyle="1" w:styleId="apple-converted-space">
    <w:name w:val="apple-converted-space"/>
    <w:rsid w:val="00942A08"/>
  </w:style>
  <w:style w:type="paragraph" w:customStyle="1" w:styleId="PlainTable32">
    <w:name w:val="Plain Table 32"/>
    <w:basedOn w:val="Normal"/>
    <w:uiPriority w:val="34"/>
    <w:qFormat/>
    <w:rsid w:val="00942A08"/>
    <w:pPr>
      <w:spacing w:after="240"/>
      <w:ind w:leftChars="200" w:left="480"/>
    </w:pPr>
    <w:rPr>
      <w:rFonts w:ascii="Times New Roman" w:hAnsi="Times New Roman"/>
    </w:rPr>
  </w:style>
  <w:style w:type="paragraph" w:customStyle="1" w:styleId="123">
    <w:name w:val="123"/>
    <w:basedOn w:val="Normal"/>
    <w:autoRedefine/>
    <w:qFormat/>
    <w:rsid w:val="00942A08"/>
    <w:pPr>
      <w:numPr>
        <w:numId w:val="18"/>
      </w:numPr>
      <w:tabs>
        <w:tab w:val="left" w:pos="709"/>
      </w:tabs>
      <w:spacing w:after="240"/>
    </w:pPr>
    <w:rPr>
      <w:rFonts w:ascii="Times New Roman" w:hAnsi="Times New Roman"/>
      <w:color w:val="000000"/>
      <w:lang w:val="en-US"/>
    </w:rPr>
  </w:style>
  <w:style w:type="paragraph" w:customStyle="1" w:styleId="Annex1">
    <w:name w:val="Annex1"/>
    <w:basedOn w:val="Normal1"/>
    <w:qFormat/>
    <w:rsid w:val="00942A08"/>
    <w:pPr>
      <w:numPr>
        <w:numId w:val="19"/>
      </w:numPr>
      <w:ind w:hanging="720"/>
    </w:pPr>
  </w:style>
  <w:style w:type="paragraph" w:customStyle="1" w:styleId="PlainTable33">
    <w:name w:val="Plain Table 33"/>
    <w:basedOn w:val="Normal"/>
    <w:uiPriority w:val="34"/>
    <w:qFormat/>
    <w:rsid w:val="00942A08"/>
    <w:pPr>
      <w:widowControl/>
      <w:tabs>
        <w:tab w:val="clear" w:pos="1418"/>
      </w:tabs>
      <w:adjustRightInd/>
      <w:snapToGrid/>
      <w:ind w:left="720"/>
      <w:contextualSpacing/>
      <w:jc w:val="left"/>
    </w:pPr>
    <w:rPr>
      <w:rFonts w:ascii="Cambria" w:eastAsia="MS Mincho" w:hAnsi="Cambria"/>
      <w:lang w:val="en-US" w:eastAsia="en-US"/>
    </w:rPr>
  </w:style>
  <w:style w:type="paragraph" w:customStyle="1" w:styleId="GridTable33">
    <w:name w:val="Grid Table 33"/>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character" w:styleId="Emphasis">
    <w:name w:val="Emphasis"/>
    <w:uiPriority w:val="20"/>
    <w:qFormat/>
    <w:rsid w:val="00942A08"/>
    <w:rPr>
      <w:i/>
      <w:iCs/>
    </w:rPr>
  </w:style>
  <w:style w:type="paragraph" w:customStyle="1" w:styleId="MediumList2-Accent41">
    <w:name w:val="Medium List 2 - Accent 41"/>
    <w:basedOn w:val="Normal"/>
    <w:uiPriority w:val="34"/>
    <w:qFormat/>
    <w:rsid w:val="00942A08"/>
    <w:pPr>
      <w:spacing w:after="240"/>
      <w:ind w:left="720"/>
    </w:pPr>
    <w:rPr>
      <w:rFonts w:ascii="Times New Roman" w:hAnsi="Times New Roman"/>
    </w:rPr>
  </w:style>
  <w:style w:type="paragraph" w:customStyle="1" w:styleId="MediumGrid1-Accent41">
    <w:name w:val="Medium Grid 1 - Accent 41"/>
    <w:basedOn w:val="Normal"/>
    <w:next w:val="Normal"/>
    <w:link w:val="MediumGrid1-Accent4Char"/>
    <w:uiPriority w:val="29"/>
    <w:qFormat/>
    <w:rsid w:val="00942A08"/>
    <w:pPr>
      <w:spacing w:afterLines="100" w:after="240"/>
      <w:ind w:left="1440"/>
    </w:pPr>
    <w:rPr>
      <w:rFonts w:ascii="Times New Roman" w:hAnsi="Times New Roman"/>
      <w:i/>
      <w:iCs/>
      <w:color w:val="000000"/>
    </w:rPr>
  </w:style>
  <w:style w:type="character" w:customStyle="1" w:styleId="MediumGrid1-Accent4Char">
    <w:name w:val="Medium Grid 1 - Accent 4 Char"/>
    <w:link w:val="MediumGrid1-Accent41"/>
    <w:uiPriority w:val="29"/>
    <w:rsid w:val="00942A08"/>
    <w:rPr>
      <w:i/>
      <w:iCs/>
      <w:color w:val="000000"/>
      <w:sz w:val="24"/>
      <w:szCs w:val="24"/>
      <w:lang w:val="en-GB"/>
    </w:rPr>
  </w:style>
  <w:style w:type="paragraph" w:customStyle="1" w:styleId="ColorfulShading-Accent31">
    <w:name w:val="Colorful Shading - Accent 31"/>
    <w:basedOn w:val="Normal"/>
    <w:uiPriority w:val="34"/>
    <w:qFormat/>
    <w:rsid w:val="00942A08"/>
    <w:pPr>
      <w:spacing w:after="240"/>
      <w:ind w:leftChars="200" w:left="480"/>
    </w:pPr>
    <w:rPr>
      <w:rFonts w:ascii="Times New Roman" w:hAnsi="Times New Roman"/>
    </w:rPr>
  </w:style>
  <w:style w:type="paragraph" w:customStyle="1" w:styleId="GridTable34">
    <w:name w:val="Grid Table 34"/>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paragraph" w:customStyle="1" w:styleId="MediumGrid1-Accent21">
    <w:name w:val="Medium Grid 1 - Accent 21"/>
    <w:basedOn w:val="Normal"/>
    <w:uiPriority w:val="34"/>
    <w:qFormat/>
    <w:rsid w:val="00942A08"/>
    <w:pPr>
      <w:spacing w:after="240"/>
      <w:ind w:left="720"/>
    </w:pPr>
    <w:rPr>
      <w:rFonts w:ascii="Times New Roman" w:hAnsi="Times New Roman"/>
    </w:rPr>
  </w:style>
  <w:style w:type="character" w:customStyle="1" w:styleId="notranslate">
    <w:name w:val="notranslate"/>
    <w:rsid w:val="00942A08"/>
  </w:style>
  <w:style w:type="paragraph" w:customStyle="1" w:styleId="normal0">
    <w:name w:val="normal"/>
    <w:basedOn w:val="Bodytext50"/>
    <w:next w:val="NormalIndent"/>
    <w:qFormat/>
    <w:rsid w:val="00942A08"/>
  </w:style>
  <w:style w:type="character" w:customStyle="1" w:styleId="FootnoteTextChar1">
    <w:name w:val="Footnote Text Char1"/>
    <w:uiPriority w:val="99"/>
    <w:rsid w:val="00942A08"/>
    <w:rPr>
      <w:lang w:eastAsia="zh-TW"/>
    </w:rPr>
  </w:style>
  <w:style w:type="paragraph" w:styleId="ListParagraph">
    <w:name w:val="List Paragraph"/>
    <w:basedOn w:val="Normal"/>
    <w:uiPriority w:val="34"/>
    <w:qFormat/>
    <w:rsid w:val="00E178FC"/>
    <w:pPr>
      <w:ind w:left="720"/>
      <w:contextualSpacing/>
    </w:pPr>
  </w:style>
  <w:style w:type="paragraph" w:styleId="Title">
    <w:name w:val="Title"/>
    <w:basedOn w:val="Normal"/>
    <w:next w:val="Normal"/>
    <w:link w:val="TitleChar"/>
    <w:uiPriority w:val="10"/>
    <w:qFormat/>
    <w:rsid w:val="00E178FC"/>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link w:val="Title"/>
    <w:uiPriority w:val="10"/>
    <w:rsid w:val="00E178FC"/>
    <w:rPr>
      <w:rFonts w:ascii="Cambria" w:hAnsi="Cambria"/>
      <w:spacing w:val="5"/>
      <w:sz w:val="52"/>
      <w:szCs w:val="52"/>
      <w:lang w:val="en-GB" w:bidi="en-US"/>
    </w:rPr>
  </w:style>
  <w:style w:type="character" w:customStyle="1" w:styleId="subsectionno">
    <w:name w:val="subsectionno"/>
    <w:rsid w:val="00E178FC"/>
  </w:style>
  <w:style w:type="character" w:customStyle="1" w:styleId="text">
    <w:name w:val="text"/>
    <w:rsid w:val="00E178FC"/>
  </w:style>
  <w:style w:type="paragraph" w:customStyle="1" w:styleId="ParaLevel1">
    <w:name w:val="ParaLevel1"/>
    <w:basedOn w:val="Normal"/>
    <w:uiPriority w:val="99"/>
    <w:rsid w:val="00E178FC"/>
    <w:pPr>
      <w:widowControl/>
      <w:numPr>
        <w:numId w:val="21"/>
      </w:numPr>
      <w:tabs>
        <w:tab w:val="clear" w:pos="720"/>
        <w:tab w:val="clear" w:pos="1418"/>
      </w:tabs>
      <w:suppressAutoHyphens/>
      <w:adjustRightInd/>
      <w:snapToGrid/>
      <w:spacing w:before="240" w:after="240"/>
      <w:ind w:left="0" w:firstLine="0"/>
      <w:outlineLvl w:val="0"/>
    </w:pPr>
    <w:rPr>
      <w:rFonts w:ascii="Times New Roman" w:eastAsia="MS Mincho" w:hAnsi="Times New Roman"/>
      <w:szCs w:val="20"/>
      <w:lang w:eastAsia="en-US"/>
    </w:rPr>
  </w:style>
  <w:style w:type="paragraph" w:customStyle="1" w:styleId="ParaLevel2">
    <w:name w:val="ParaLevel2"/>
    <w:basedOn w:val="Normal"/>
    <w:uiPriority w:val="99"/>
    <w:rsid w:val="00E178FC"/>
    <w:pPr>
      <w:widowControl/>
      <w:numPr>
        <w:ilvl w:val="1"/>
        <w:numId w:val="21"/>
      </w:numPr>
      <w:tabs>
        <w:tab w:val="left" w:pos="1418"/>
      </w:tabs>
      <w:suppressAutoHyphens/>
      <w:adjustRightInd/>
      <w:snapToGrid/>
      <w:spacing w:before="240" w:after="240"/>
      <w:ind w:left="709" w:firstLine="0"/>
      <w:outlineLvl w:val="1"/>
    </w:pPr>
    <w:rPr>
      <w:rFonts w:ascii="Times New Roman" w:eastAsia="MS Mincho" w:hAnsi="Times New Roman"/>
      <w:szCs w:val="20"/>
      <w:lang w:eastAsia="en-US"/>
    </w:rPr>
  </w:style>
  <w:style w:type="paragraph" w:customStyle="1" w:styleId="ParaLevel3">
    <w:name w:val="ParaLevel3"/>
    <w:basedOn w:val="Normal"/>
    <w:uiPriority w:val="99"/>
    <w:rsid w:val="00E178FC"/>
    <w:pPr>
      <w:widowControl/>
      <w:numPr>
        <w:ilvl w:val="2"/>
        <w:numId w:val="21"/>
      </w:numPr>
      <w:tabs>
        <w:tab w:val="clear" w:pos="1418"/>
        <w:tab w:val="clear" w:pos="2127"/>
      </w:tabs>
      <w:suppressAutoHyphens/>
      <w:adjustRightInd/>
      <w:snapToGrid/>
      <w:spacing w:before="240" w:after="240"/>
      <w:ind w:left="709" w:firstLine="0"/>
      <w:outlineLvl w:val="2"/>
    </w:pPr>
    <w:rPr>
      <w:rFonts w:ascii="Times New Roman" w:eastAsia="MS Mincho" w:hAnsi="Times New Roman"/>
      <w:szCs w:val="20"/>
      <w:lang w:eastAsia="en-US"/>
    </w:rPr>
  </w:style>
  <w:style w:type="paragraph" w:customStyle="1" w:styleId="ParaLevel4">
    <w:name w:val="ParaLevel4"/>
    <w:basedOn w:val="Normal"/>
    <w:uiPriority w:val="99"/>
    <w:rsid w:val="00E178FC"/>
    <w:pPr>
      <w:widowControl/>
      <w:numPr>
        <w:ilvl w:val="3"/>
        <w:numId w:val="21"/>
      </w:numPr>
      <w:tabs>
        <w:tab w:val="clear" w:pos="1418"/>
        <w:tab w:val="clear" w:pos="3207"/>
        <w:tab w:val="num" w:pos="2836"/>
      </w:tabs>
      <w:suppressAutoHyphens/>
      <w:adjustRightInd/>
      <w:snapToGrid/>
      <w:spacing w:before="240" w:after="240"/>
      <w:ind w:left="709" w:firstLine="0"/>
      <w:outlineLvl w:val="3"/>
    </w:pPr>
    <w:rPr>
      <w:rFonts w:ascii="Times New Roman" w:eastAsia="MS Mincho" w:hAnsi="Times New Roman"/>
      <w:szCs w:val="20"/>
      <w:lang w:eastAsia="en-US"/>
    </w:rPr>
  </w:style>
  <w:style w:type="paragraph" w:customStyle="1" w:styleId="ParaLevel5">
    <w:name w:val="ParaLevel5"/>
    <w:basedOn w:val="Normal"/>
    <w:uiPriority w:val="99"/>
    <w:rsid w:val="00E178FC"/>
    <w:pPr>
      <w:widowControl/>
      <w:numPr>
        <w:ilvl w:val="4"/>
        <w:numId w:val="21"/>
      </w:numPr>
      <w:tabs>
        <w:tab w:val="clear" w:pos="1418"/>
        <w:tab w:val="clear" w:pos="3545"/>
      </w:tabs>
      <w:suppressAutoHyphens/>
      <w:adjustRightInd/>
      <w:snapToGrid/>
      <w:spacing w:before="240" w:after="240"/>
      <w:ind w:left="709" w:firstLine="0"/>
      <w:outlineLvl w:val="4"/>
    </w:pPr>
    <w:rPr>
      <w:rFonts w:ascii="Times New Roman" w:eastAsia="MS Mincho" w:hAnsi="Times New Roman"/>
      <w:szCs w:val="20"/>
      <w:lang w:eastAsia="en-US"/>
    </w:rPr>
  </w:style>
  <w:style w:type="paragraph" w:customStyle="1" w:styleId="ParaLevel6">
    <w:name w:val="ParaLevel6"/>
    <w:basedOn w:val="Normal"/>
    <w:uiPriority w:val="99"/>
    <w:rsid w:val="00E178FC"/>
    <w:pPr>
      <w:widowControl/>
      <w:numPr>
        <w:ilvl w:val="5"/>
        <w:numId w:val="21"/>
      </w:numPr>
      <w:tabs>
        <w:tab w:val="clear" w:pos="1418"/>
        <w:tab w:val="clear" w:pos="4625"/>
        <w:tab w:val="num" w:pos="4254"/>
      </w:tabs>
      <w:suppressAutoHyphens/>
      <w:adjustRightInd/>
      <w:snapToGrid/>
      <w:spacing w:before="240" w:after="240"/>
      <w:ind w:left="709" w:hanging="32767"/>
      <w:outlineLvl w:val="5"/>
    </w:pPr>
    <w:rPr>
      <w:rFonts w:ascii="Times New Roman" w:eastAsia="MS Mincho" w:hAnsi="Times New Roman"/>
      <w:szCs w:val="20"/>
      <w:lang w:eastAsia="en-US"/>
    </w:rPr>
  </w:style>
  <w:style w:type="paragraph" w:customStyle="1" w:styleId="ParaLevel7">
    <w:name w:val="ParaLevel7"/>
    <w:basedOn w:val="Normal"/>
    <w:uiPriority w:val="99"/>
    <w:rsid w:val="00E178FC"/>
    <w:pPr>
      <w:widowControl/>
      <w:numPr>
        <w:ilvl w:val="6"/>
        <w:numId w:val="21"/>
      </w:numPr>
      <w:tabs>
        <w:tab w:val="clear" w:pos="1418"/>
        <w:tab w:val="clear" w:pos="4963"/>
      </w:tabs>
      <w:suppressAutoHyphens/>
      <w:adjustRightInd/>
      <w:snapToGrid/>
      <w:spacing w:before="240" w:after="240"/>
      <w:ind w:left="709" w:hanging="32767"/>
      <w:outlineLvl w:val="6"/>
    </w:pPr>
    <w:rPr>
      <w:rFonts w:ascii="Times New Roman" w:eastAsia="MS Mincho" w:hAnsi="Times New Roman"/>
      <w:szCs w:val="20"/>
      <w:lang w:eastAsia="en-US"/>
    </w:rPr>
  </w:style>
  <w:style w:type="paragraph" w:customStyle="1" w:styleId="ParaLevel8">
    <w:name w:val="ParaLevel8"/>
    <w:basedOn w:val="Normal"/>
    <w:uiPriority w:val="99"/>
    <w:rsid w:val="00E178FC"/>
    <w:pPr>
      <w:widowControl/>
      <w:numPr>
        <w:ilvl w:val="7"/>
        <w:numId w:val="21"/>
      </w:numPr>
      <w:tabs>
        <w:tab w:val="clear" w:pos="1418"/>
        <w:tab w:val="clear" w:pos="6043"/>
        <w:tab w:val="num" w:pos="5672"/>
      </w:tabs>
      <w:suppressAutoHyphens/>
      <w:adjustRightInd/>
      <w:snapToGrid/>
      <w:spacing w:before="240" w:after="240"/>
      <w:ind w:left="709" w:hanging="32767"/>
      <w:outlineLvl w:val="7"/>
    </w:pPr>
    <w:rPr>
      <w:rFonts w:ascii="Times New Roman" w:eastAsia="MS Mincho" w:hAnsi="Times New Roman"/>
      <w:szCs w:val="20"/>
      <w:lang w:eastAsia="en-US"/>
    </w:rPr>
  </w:style>
  <w:style w:type="paragraph" w:customStyle="1" w:styleId="ParaLevel9">
    <w:name w:val="ParaLevel9"/>
    <w:basedOn w:val="Normal"/>
    <w:uiPriority w:val="99"/>
    <w:rsid w:val="00E178FC"/>
    <w:pPr>
      <w:widowControl/>
      <w:numPr>
        <w:ilvl w:val="8"/>
        <w:numId w:val="21"/>
      </w:numPr>
      <w:tabs>
        <w:tab w:val="clear" w:pos="1418"/>
        <w:tab w:val="clear" w:pos="6381"/>
      </w:tabs>
      <w:suppressAutoHyphens/>
      <w:adjustRightInd/>
      <w:snapToGrid/>
      <w:spacing w:before="240" w:after="240"/>
      <w:ind w:left="709" w:hanging="32767"/>
      <w:outlineLvl w:val="8"/>
    </w:pPr>
    <w:rPr>
      <w:rFonts w:ascii="Times New Roman" w:eastAsia="MS Mincho" w:hAnsi="Times New Roman"/>
      <w:szCs w:val="20"/>
      <w:lang w:eastAsia="en-US"/>
    </w:rPr>
  </w:style>
  <w:style w:type="paragraph" w:customStyle="1" w:styleId="clause1">
    <w:name w:val="clause1"/>
    <w:basedOn w:val="Normal"/>
    <w:rsid w:val="003A4A30"/>
    <w:pPr>
      <w:widowControl/>
      <w:spacing w:before="200" w:line="220" w:lineRule="atLeast"/>
      <w:ind w:left="1872" w:hanging="1872"/>
    </w:pPr>
    <w:rPr>
      <w:rFonts w:ascii="Times New Roman" w:hAnsi="Times New Roman"/>
      <w:sz w:val="20"/>
      <w:szCs w:val="20"/>
    </w:rPr>
  </w:style>
  <w:style w:type="paragraph" w:customStyle="1" w:styleId="loose">
    <w:name w:val="loose"/>
    <w:basedOn w:val="Normal"/>
    <w:rsid w:val="003A4A30"/>
    <w:pPr>
      <w:spacing w:before="100" w:beforeAutospacing="1" w:after="100" w:afterAutospacing="1"/>
    </w:pPr>
    <w:rPr>
      <w:rFonts w:ascii="Times" w:hAnsi="Times"/>
      <w:sz w:val="20"/>
      <w:szCs w:val="20"/>
      <w:lang w:val="en-HK"/>
    </w:rPr>
  </w:style>
  <w:style w:type="character" w:customStyle="1" w:styleId="italic">
    <w:name w:val="italic"/>
    <w:rsid w:val="003A4A30"/>
  </w:style>
  <w:style w:type="paragraph" w:styleId="Quote">
    <w:name w:val="Quote"/>
    <w:aliases w:val="quote"/>
    <w:basedOn w:val="Normal"/>
    <w:link w:val="QuoteChar"/>
    <w:uiPriority w:val="29"/>
    <w:qFormat/>
    <w:rsid w:val="003A4A30"/>
    <w:pPr>
      <w:spacing w:before="100" w:beforeAutospacing="1" w:after="100" w:afterAutospacing="1"/>
    </w:pPr>
    <w:rPr>
      <w:rFonts w:ascii="Times" w:hAnsi="Times"/>
      <w:sz w:val="20"/>
      <w:szCs w:val="20"/>
      <w:lang w:val="en-HK"/>
    </w:rPr>
  </w:style>
  <w:style w:type="character" w:customStyle="1" w:styleId="QuoteChar">
    <w:name w:val="Quote Char"/>
    <w:aliases w:val="quote Char"/>
    <w:link w:val="Quote"/>
    <w:uiPriority w:val="29"/>
    <w:rsid w:val="003A4A30"/>
    <w:rPr>
      <w:rFonts w:ascii="Times" w:hAnsi="Times"/>
      <w:lang w:val="en-HK"/>
    </w:rPr>
  </w:style>
  <w:style w:type="paragraph" w:styleId="Revision">
    <w:name w:val="Revision"/>
    <w:hidden/>
    <w:uiPriority w:val="99"/>
    <w:semiHidden/>
    <w:rsid w:val="003A4A30"/>
    <w:rPr>
      <w:rFonts w:ascii="Cambria" w:eastAsia="MS Mincho" w:hAnsi="Cambria"/>
      <w:sz w:val="24"/>
      <w:szCs w:val="24"/>
      <w:lang w:val="en-US" w:eastAsia="en-US"/>
    </w:rPr>
  </w:style>
  <w:style w:type="paragraph" w:styleId="Subtitle">
    <w:name w:val="Subtitle"/>
    <w:basedOn w:val="Normal"/>
    <w:next w:val="Normal"/>
    <w:link w:val="SubtitleChar"/>
    <w:uiPriority w:val="11"/>
    <w:qFormat/>
    <w:rsid w:val="00F1307D"/>
    <w:pPr>
      <w:tabs>
        <w:tab w:val="clear" w:pos="1418"/>
      </w:tabs>
      <w:adjustRightInd/>
      <w:snapToGrid/>
      <w:spacing w:after="60"/>
      <w:jc w:val="center"/>
      <w:outlineLvl w:val="1"/>
    </w:pPr>
    <w:rPr>
      <w:rFonts w:ascii="Calibri" w:hAnsi="Calibri"/>
      <w:i/>
      <w:iCs/>
      <w:kern w:val="2"/>
      <w:lang w:val="en-US"/>
    </w:rPr>
  </w:style>
  <w:style w:type="character" w:customStyle="1" w:styleId="SubtitleChar">
    <w:name w:val="Subtitle Char"/>
    <w:link w:val="Subtitle"/>
    <w:uiPriority w:val="11"/>
    <w:rsid w:val="00F1307D"/>
    <w:rPr>
      <w:rFonts w:ascii="Calibri" w:hAnsi="Calibri"/>
      <w:i/>
      <w:iCs/>
      <w:kern w:val="2"/>
      <w:sz w:val="24"/>
      <w:szCs w:val="24"/>
    </w:rPr>
  </w:style>
  <w:style w:type="character" w:customStyle="1" w:styleId="BlockTextChar">
    <w:name w:val="Block Text Char"/>
    <w:link w:val="BlockText"/>
    <w:rsid w:val="008D1C0B"/>
    <w:rPr>
      <w:rFonts w:ascii="Arial" w:hAnsi="Arial"/>
      <w:i/>
      <w:snapToGrid w:val="0"/>
      <w:sz w:val="24"/>
      <w:szCs w:val="24"/>
      <w:lang w:val="en-GB"/>
    </w:rPr>
  </w:style>
  <w:style w:type="paragraph" w:styleId="NoSpacing">
    <w:name w:val="No Spacing"/>
    <w:uiPriority w:val="1"/>
    <w:qFormat/>
    <w:rsid w:val="00DA7492"/>
    <w:pPr>
      <w:snapToGrid w:val="0"/>
    </w:pPr>
    <w:rPr>
      <w:rFonts w:ascii="Arial" w:hAnsi="Arial"/>
      <w:kern w:val="2"/>
      <w:sz w:val="24"/>
      <w:szCs w:val="24"/>
      <w:lang w:val="en-US"/>
    </w:rPr>
  </w:style>
  <w:style w:type="paragraph" w:customStyle="1" w:styleId="subprov1">
    <w:name w:val="subprov1"/>
    <w:basedOn w:val="Normal"/>
    <w:rsid w:val="00DA7492"/>
    <w:pPr>
      <w:widowControl/>
      <w:tabs>
        <w:tab w:val="clear" w:pos="1418"/>
      </w:tabs>
      <w:adjustRightInd/>
      <w:spacing w:before="83" w:after="216" w:line="288" w:lineRule="atLeast"/>
    </w:pPr>
    <w:rPr>
      <w:rFonts w:ascii="PMingLiU" w:hAnsi="PMingLiU" w:cs="PMingLiU"/>
      <w:snapToGrid/>
    </w:rPr>
  </w:style>
  <w:style w:type="character" w:customStyle="1" w:styleId="Char">
    <w:name w:val="Char"/>
    <w:rsid w:val="00DA7492"/>
    <w:rPr>
      <w:rFonts w:ascii="Arial" w:eastAsia="Arial" w:hAnsi="Arial"/>
      <w:i/>
      <w:kern w:val="2"/>
      <w:sz w:val="24"/>
      <w:szCs w:val="24"/>
      <w:lang w:val="en-GB" w:eastAsia="zh-TW" w:bidi="ar-SA"/>
    </w:rPr>
  </w:style>
  <w:style w:type="character" w:customStyle="1" w:styleId="StandardChar">
    <w:name w:val="Standard Char"/>
    <w:link w:val="Standard"/>
    <w:locked/>
    <w:rsid w:val="00D37010"/>
    <w:rPr>
      <w:rFonts w:ascii="Arial" w:hAnsi="Arial" w:cs="Arial"/>
      <w:sz w:val="22"/>
      <w:szCs w:val="24"/>
      <w:lang w:val="en-NZ" w:eastAsia="en-US"/>
    </w:rPr>
  </w:style>
  <w:style w:type="paragraph" w:customStyle="1" w:styleId="Standard">
    <w:name w:val="Standard"/>
    <w:link w:val="StandardChar"/>
    <w:qFormat/>
    <w:rsid w:val="00D37010"/>
    <w:pPr>
      <w:spacing w:after="200" w:line="280" w:lineRule="atLeast"/>
    </w:pPr>
    <w:rPr>
      <w:rFonts w:ascii="Arial" w:hAnsi="Arial" w:cs="Arial"/>
      <w:sz w:val="22"/>
      <w:szCs w:val="24"/>
      <w:lang w:val="en-NZ" w:eastAsia="en-US"/>
    </w:rPr>
  </w:style>
  <w:style w:type="character" w:styleId="HTMLDefinition">
    <w:name w:val="HTML Definition"/>
    <w:uiPriority w:val="99"/>
    <w:semiHidden/>
    <w:unhideWhenUsed/>
    <w:rsid w:val="00D37010"/>
    <w:rPr>
      <w:i/>
      <w:iCs/>
    </w:rPr>
  </w:style>
  <w:style w:type="character" w:customStyle="1" w:styleId="spc1">
    <w:name w:val="spc1"/>
    <w:rsid w:val="00D37010"/>
    <w:rPr>
      <w:strike w:val="0"/>
      <w:dstrike w:val="0"/>
      <w:u w:val="none"/>
      <w:effect w:val="none"/>
    </w:rPr>
  </w:style>
  <w:style w:type="paragraph" w:customStyle="1" w:styleId="text1">
    <w:name w:val="text1"/>
    <w:basedOn w:val="Normal"/>
    <w:rsid w:val="00D37010"/>
    <w:pPr>
      <w:widowControl/>
      <w:tabs>
        <w:tab w:val="clear" w:pos="1418"/>
      </w:tabs>
      <w:adjustRightInd/>
      <w:spacing w:line="288" w:lineRule="atLeast"/>
    </w:pPr>
    <w:rPr>
      <w:rFonts w:ascii="Times New Roman" w:eastAsia="Times New Roman" w:hAnsi="Times New Roman"/>
      <w:snapToGrid/>
      <w:color w:val="000000"/>
    </w:rPr>
  </w:style>
  <w:style w:type="paragraph" w:customStyle="1" w:styleId="legclearfix2">
    <w:name w:val="legclearfix2"/>
    <w:basedOn w:val="Normal"/>
    <w:rsid w:val="00D37010"/>
    <w:pPr>
      <w:widowControl/>
      <w:shd w:val="clear" w:color="auto" w:fill="FFFFFF"/>
      <w:tabs>
        <w:tab w:val="clear" w:pos="1418"/>
      </w:tabs>
      <w:adjustRightInd/>
      <w:spacing w:after="120" w:line="360" w:lineRule="atLeast"/>
    </w:pPr>
    <w:rPr>
      <w:rFonts w:ascii="Times New Roman" w:eastAsia="Times New Roman" w:hAnsi="Times New Roman"/>
      <w:snapToGrid/>
      <w:color w:val="000000"/>
      <w:sz w:val="19"/>
      <w:szCs w:val="19"/>
    </w:rPr>
  </w:style>
  <w:style w:type="character" w:customStyle="1" w:styleId="legds2">
    <w:name w:val="legds2"/>
    <w:rsid w:val="00D37010"/>
    <w:rPr>
      <w:vanish w:val="0"/>
      <w:webHidden w:val="0"/>
      <w:specVanish w:val="0"/>
    </w:rPr>
  </w:style>
  <w:style w:type="character" w:customStyle="1" w:styleId="legchangedelimiter2">
    <w:name w:val="legchangedelimiter2"/>
    <w:rsid w:val="00D37010"/>
    <w:rPr>
      <w:b/>
      <w:bCs/>
      <w:i w:val="0"/>
      <w:iCs w:val="0"/>
      <w:color w:val="000000"/>
      <w:sz w:val="34"/>
      <w:szCs w:val="34"/>
    </w:rPr>
  </w:style>
  <w:style w:type="character" w:customStyle="1" w:styleId="legaddition5">
    <w:name w:val="legaddition5"/>
    <w:rsid w:val="00D37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9" w:unhideWhenUsed="0" w:qFormat="1"/>
    <w:lsdException w:name="footnote reference" w:uiPriority="0"/>
    <w:lsdException w:name="page number" w:uiPriority="0"/>
    <w:lsdException w:name="endnote reference" w:uiPriority="39"/>
    <w:lsdException w:name="endnote text" w:uiPriority="39"/>
    <w:lsdException w:name="List" w:uiPriority="0"/>
    <w:lsdException w:name="List Bullet" w:uiPriority="0"/>
    <w:lsdException w:name="Title" w:semiHidden="0" w:uiPriority="10" w:unhideWhenUsed="0" w:qFormat="1"/>
    <w:lsdException w:name="Default Paragraph Font" w:uiPriority="0"/>
    <w:lsdException w:name="Body Text" w:semiHidden="0" w:unhideWhenUsed="0" w:qFormat="1"/>
    <w:lsdException w:name="Body Text Indent" w:uiPriority="0"/>
    <w:lsdException w:name="Subtitle" w:semiHidden="0" w:uiPriority="11" w:unhideWhenUsed="0" w:qFormat="1"/>
    <w:lsdException w:name="Body Text First Indent" w:semiHidden="0" w:unhideWhenUsed="0"/>
    <w:lsdException w:name="Body Text First Indent 2" w:semiHidden="0" w:unhideWhenUsed="0"/>
    <w:lsdException w:name="Body Text 2" w:semiHidden="0" w:uiPriority="0" w:unhideWhenUsed="0" w:qFormat="1"/>
    <w:lsdException w:name="Body Text 3"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3D effects 1" w:uiPriority="0"/>
    <w:lsdException w:name="Table Grid" w:semiHidden="0" w:uiPriority="1"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C"/>
    <w:pPr>
      <w:widowControl w:val="0"/>
      <w:tabs>
        <w:tab w:val="left" w:pos="1418"/>
      </w:tabs>
      <w:adjustRightInd w:val="0"/>
      <w:snapToGrid w:val="0"/>
      <w:jc w:val="both"/>
    </w:pPr>
    <w:rPr>
      <w:rFonts w:ascii="Arial" w:hAnsi="Arial"/>
      <w:snapToGrid w:val="0"/>
      <w:sz w:val="24"/>
      <w:szCs w:val="24"/>
    </w:rPr>
  </w:style>
  <w:style w:type="paragraph" w:styleId="Heading1">
    <w:name w:val="heading 1"/>
    <w:basedOn w:val="Normal"/>
    <w:next w:val="Normal"/>
    <w:link w:val="Heading1Char"/>
    <w:qFormat/>
    <w:rsid w:val="00F151E8"/>
    <w:pPr>
      <w:keepNext/>
      <w:jc w:val="left"/>
      <w:outlineLvl w:val="0"/>
    </w:pPr>
    <w:rPr>
      <w:b/>
      <w:sz w:val="36"/>
    </w:rPr>
  </w:style>
  <w:style w:type="paragraph" w:styleId="Heading2">
    <w:name w:val="heading 2"/>
    <w:basedOn w:val="Normal"/>
    <w:next w:val="Normal"/>
    <w:link w:val="Heading2Char"/>
    <w:qFormat/>
    <w:rsid w:val="00F151E8"/>
    <w:pPr>
      <w:keepNext/>
      <w:jc w:val="left"/>
      <w:outlineLvl w:val="1"/>
    </w:pPr>
    <w:rPr>
      <w:b/>
      <w:sz w:val="28"/>
    </w:rPr>
  </w:style>
  <w:style w:type="paragraph" w:styleId="Heading3">
    <w:name w:val="heading 3"/>
    <w:basedOn w:val="Normal"/>
    <w:next w:val="Normal"/>
    <w:link w:val="Heading3Char"/>
    <w:qFormat/>
    <w:rsid w:val="00F151E8"/>
    <w:pPr>
      <w:keepNext/>
      <w:jc w:val="left"/>
      <w:outlineLvl w:val="2"/>
    </w:pPr>
    <w:rPr>
      <w:b/>
      <w:i/>
    </w:rPr>
  </w:style>
  <w:style w:type="paragraph" w:styleId="Heading4">
    <w:name w:val="heading 4"/>
    <w:basedOn w:val="Normal"/>
    <w:next w:val="Normal"/>
    <w:link w:val="Heading4Char"/>
    <w:qFormat/>
    <w:rsid w:val="00F151E8"/>
    <w:pPr>
      <w:keepNext/>
      <w:jc w:val="left"/>
      <w:outlineLvl w:val="3"/>
    </w:pPr>
    <w:rPr>
      <w:i/>
    </w:rPr>
  </w:style>
  <w:style w:type="paragraph" w:styleId="Heading5">
    <w:name w:val="heading 5"/>
    <w:basedOn w:val="Normal"/>
    <w:next w:val="Normal"/>
    <w:link w:val="Heading5Char"/>
    <w:qFormat/>
    <w:rsid w:val="00EA4012"/>
    <w:pPr>
      <w:keepNext/>
      <w:numPr>
        <w:numId w:val="1"/>
      </w:numPr>
      <w:ind w:hanging="720"/>
      <w:outlineLvl w:val="4"/>
    </w:pPr>
    <w:rPr>
      <w:bCs/>
      <w:szCs w:val="36"/>
    </w:rPr>
  </w:style>
  <w:style w:type="paragraph" w:styleId="Heading6">
    <w:name w:val="heading 6"/>
    <w:basedOn w:val="Normal"/>
    <w:next w:val="Normal"/>
    <w:link w:val="Heading6Char"/>
    <w:qFormat/>
    <w:rsid w:val="00F151E8"/>
    <w:pPr>
      <w:keepNext/>
      <w:tabs>
        <w:tab w:val="num" w:pos="3686"/>
      </w:tabs>
      <w:spacing w:before="200" w:after="100"/>
      <w:ind w:left="3686" w:hanging="709"/>
      <w:outlineLvl w:val="5"/>
    </w:pPr>
    <w:rPr>
      <w:b/>
    </w:rPr>
  </w:style>
  <w:style w:type="paragraph" w:styleId="Heading7">
    <w:name w:val="heading 7"/>
    <w:basedOn w:val="Normal"/>
    <w:next w:val="Normal"/>
    <w:link w:val="Heading7Char"/>
    <w:qFormat/>
    <w:rsid w:val="00F151E8"/>
    <w:pPr>
      <w:keepNext/>
      <w:tabs>
        <w:tab w:val="num" w:pos="4394"/>
      </w:tabs>
      <w:spacing w:before="200" w:after="100"/>
      <w:ind w:left="4394" w:hanging="708"/>
      <w:outlineLvl w:val="6"/>
    </w:pPr>
    <w:rPr>
      <w:b/>
    </w:rPr>
  </w:style>
  <w:style w:type="paragraph" w:styleId="Heading8">
    <w:name w:val="heading 8"/>
    <w:basedOn w:val="Normal"/>
    <w:next w:val="Normal"/>
    <w:link w:val="Heading8Char"/>
    <w:uiPriority w:val="99"/>
    <w:qFormat/>
    <w:rsid w:val="008B06C6"/>
    <w:pPr>
      <w:spacing w:before="100" w:after="100"/>
      <w:outlineLvl w:val="7"/>
    </w:pPr>
    <w:rPr>
      <w:iCs/>
    </w:rPr>
  </w:style>
  <w:style w:type="paragraph" w:styleId="Heading9">
    <w:name w:val="heading 9"/>
    <w:basedOn w:val="Normal"/>
    <w:next w:val="Normal"/>
    <w:link w:val="Heading9Char"/>
    <w:uiPriority w:val="99"/>
    <w:qFormat/>
    <w:rsid w:val="008B06C6"/>
    <w:pPr>
      <w:spacing w:before="100" w:after="100"/>
      <w:outlineLvl w:val="8"/>
    </w:pPr>
    <w:rPr>
      <w:rFonts w:cs="Arial"/>
      <w:szCs w:val="22"/>
    </w:rPr>
  </w:style>
  <w:style w:type="character" w:default="1" w:styleId="DefaultParagraphFont">
    <w:name w:val="Default Paragraph Font"/>
    <w:rsid w:val="00F151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F151E8"/>
  </w:style>
  <w:style w:type="character" w:customStyle="1" w:styleId="Heading1Char">
    <w:name w:val="Heading 1 Char"/>
    <w:link w:val="Heading1"/>
    <w:rsid w:val="00527009"/>
    <w:rPr>
      <w:rFonts w:ascii="Arial" w:hAnsi="Arial"/>
      <w:b/>
      <w:sz w:val="36"/>
      <w:szCs w:val="24"/>
      <w:lang w:val="en-GB"/>
    </w:rPr>
  </w:style>
  <w:style w:type="character" w:customStyle="1" w:styleId="Heading2Char">
    <w:name w:val="Heading 2 Char"/>
    <w:link w:val="Heading2"/>
    <w:rsid w:val="001816FC"/>
    <w:rPr>
      <w:rFonts w:ascii="Arial" w:hAnsi="Arial"/>
      <w:b/>
      <w:sz w:val="28"/>
      <w:szCs w:val="24"/>
      <w:lang w:val="en-GB"/>
    </w:rPr>
  </w:style>
  <w:style w:type="character" w:customStyle="1" w:styleId="Heading3Char">
    <w:name w:val="Heading 3 Char"/>
    <w:link w:val="Heading3"/>
    <w:rsid w:val="00D47465"/>
    <w:rPr>
      <w:rFonts w:ascii="Arial" w:hAnsi="Arial"/>
      <w:b/>
      <w:i/>
      <w:sz w:val="24"/>
      <w:szCs w:val="24"/>
      <w:lang w:val="en-GB"/>
    </w:rPr>
  </w:style>
  <w:style w:type="character" w:customStyle="1" w:styleId="Heading4Char">
    <w:name w:val="Heading 4 Char"/>
    <w:link w:val="Heading4"/>
    <w:rsid w:val="00EE35C3"/>
    <w:rPr>
      <w:rFonts w:ascii="Arial" w:hAnsi="Arial"/>
      <w:i/>
      <w:sz w:val="24"/>
      <w:szCs w:val="24"/>
      <w:lang w:val="en-GB"/>
    </w:rPr>
  </w:style>
  <w:style w:type="character" w:customStyle="1" w:styleId="Heading5Char">
    <w:name w:val="Heading 5 Char"/>
    <w:link w:val="Heading5"/>
    <w:rsid w:val="00EA4012"/>
    <w:rPr>
      <w:rFonts w:ascii="Arial" w:hAnsi="Arial"/>
      <w:bCs/>
      <w:snapToGrid w:val="0"/>
      <w:sz w:val="24"/>
      <w:szCs w:val="36"/>
      <w:lang w:val="en-GB"/>
    </w:rPr>
  </w:style>
  <w:style w:type="character" w:customStyle="1" w:styleId="Heading6Char">
    <w:name w:val="Heading 6 Char"/>
    <w:link w:val="Heading6"/>
    <w:rsid w:val="008B06C6"/>
    <w:rPr>
      <w:rFonts w:ascii="Arial" w:hAnsi="Arial"/>
      <w:b/>
      <w:sz w:val="24"/>
      <w:szCs w:val="24"/>
      <w:lang w:val="en-GB"/>
    </w:rPr>
  </w:style>
  <w:style w:type="character" w:customStyle="1" w:styleId="Heading7Char">
    <w:name w:val="Heading 7 Char"/>
    <w:link w:val="Heading7"/>
    <w:rsid w:val="008B06C6"/>
    <w:rPr>
      <w:rFonts w:ascii="Arial" w:hAnsi="Arial"/>
      <w:b/>
      <w:sz w:val="24"/>
      <w:szCs w:val="24"/>
      <w:lang w:val="en-GB"/>
    </w:rPr>
  </w:style>
  <w:style w:type="character" w:customStyle="1" w:styleId="Heading8Char">
    <w:name w:val="Heading 8 Char"/>
    <w:link w:val="Heading8"/>
    <w:uiPriority w:val="99"/>
    <w:rsid w:val="008B06C6"/>
    <w:rPr>
      <w:rFonts w:ascii="Arial" w:hAnsi="Arial"/>
      <w:iCs/>
      <w:sz w:val="24"/>
      <w:szCs w:val="24"/>
      <w:lang w:val="en-GB"/>
    </w:rPr>
  </w:style>
  <w:style w:type="character" w:customStyle="1" w:styleId="Heading9Char">
    <w:name w:val="Heading 9 Char"/>
    <w:link w:val="Heading9"/>
    <w:uiPriority w:val="99"/>
    <w:rsid w:val="008B06C6"/>
    <w:rPr>
      <w:rFonts w:ascii="Arial" w:hAnsi="Arial" w:cs="Arial"/>
      <w:sz w:val="24"/>
      <w:szCs w:val="22"/>
      <w:lang w:val="en-GB"/>
    </w:rPr>
  </w:style>
  <w:style w:type="paragraph" w:styleId="FootnoteText">
    <w:name w:val="footnote text"/>
    <w:basedOn w:val="Normal"/>
    <w:link w:val="FootnoteTextChar"/>
    <w:autoRedefine/>
    <w:rsid w:val="00C51DE0"/>
    <w:pPr>
      <w:widowControl/>
      <w:tabs>
        <w:tab w:val="clear" w:pos="1418"/>
        <w:tab w:val="left" w:pos="1080"/>
      </w:tabs>
      <w:overflowPunct w:val="0"/>
      <w:autoSpaceDE w:val="0"/>
      <w:autoSpaceDN w:val="0"/>
      <w:spacing w:after="120"/>
      <w:ind w:left="720" w:hanging="720"/>
      <w:textAlignment w:val="baseline"/>
    </w:pPr>
    <w:rPr>
      <w:rFonts w:cs="Arial"/>
      <w:spacing w:val="-4"/>
      <w:sz w:val="20"/>
      <w:szCs w:val="20"/>
    </w:rPr>
  </w:style>
  <w:style w:type="character" w:customStyle="1" w:styleId="FootnoteTextChar">
    <w:name w:val="Footnote Text Char"/>
    <w:link w:val="FootnoteText"/>
    <w:rsid w:val="00C51DE0"/>
    <w:rPr>
      <w:rFonts w:ascii="Arial" w:hAnsi="Arial" w:cs="Arial"/>
      <w:snapToGrid w:val="0"/>
      <w:spacing w:val="-4"/>
      <w:lang w:val="en-GB"/>
    </w:rPr>
  </w:style>
  <w:style w:type="character" w:styleId="FootnoteReference">
    <w:name w:val="footnote reference"/>
    <w:rsid w:val="00B24A6D"/>
    <w:rPr>
      <w:vertAlign w:val="superscript"/>
    </w:rPr>
  </w:style>
  <w:style w:type="paragraph" w:styleId="BlockText">
    <w:name w:val="Block Text"/>
    <w:basedOn w:val="Normal"/>
    <w:link w:val="BlockTextChar"/>
    <w:rsid w:val="00F151E8"/>
    <w:pPr>
      <w:ind w:left="720" w:right="720"/>
    </w:pPr>
    <w:rPr>
      <w:i/>
    </w:rPr>
  </w:style>
  <w:style w:type="paragraph" w:customStyle="1" w:styleId="Legislationindent1">
    <w:name w:val="Legislation indent 1"/>
    <w:basedOn w:val="Normal"/>
    <w:rsid w:val="00F151E8"/>
    <w:pPr>
      <w:ind w:left="1440" w:right="720" w:hanging="720"/>
    </w:pPr>
    <w:rPr>
      <w:i/>
    </w:rPr>
  </w:style>
  <w:style w:type="paragraph" w:styleId="List">
    <w:name w:val="List"/>
    <w:basedOn w:val="Normal"/>
    <w:rsid w:val="00F151E8"/>
    <w:pPr>
      <w:numPr>
        <w:numId w:val="2"/>
      </w:numPr>
    </w:pPr>
  </w:style>
  <w:style w:type="paragraph" w:styleId="ListBullet">
    <w:name w:val="List Bullet"/>
    <w:basedOn w:val="Normal"/>
    <w:autoRedefine/>
    <w:rsid w:val="00F151E8"/>
    <w:pPr>
      <w:numPr>
        <w:numId w:val="3"/>
      </w:numPr>
    </w:pPr>
  </w:style>
  <w:style w:type="paragraph" w:customStyle="1" w:styleId="Footnotelegislation1">
    <w:name w:val="Footnote legislation 1"/>
    <w:basedOn w:val="FootnoteText"/>
    <w:rsid w:val="00F151E8"/>
    <w:pPr>
      <w:ind w:left="1440"/>
    </w:pPr>
    <w:rPr>
      <w:i/>
    </w:rPr>
  </w:style>
  <w:style w:type="paragraph" w:customStyle="1" w:styleId="Footnotelegislation2">
    <w:name w:val="Footnote legislation 2"/>
    <w:basedOn w:val="FootnoteText"/>
    <w:rsid w:val="00F151E8"/>
    <w:pPr>
      <w:ind w:left="2160"/>
    </w:pPr>
    <w:rPr>
      <w:i/>
    </w:rPr>
  </w:style>
  <w:style w:type="paragraph" w:customStyle="1" w:styleId="Footnotelegislation3">
    <w:name w:val="Footnote legislation 3"/>
    <w:basedOn w:val="FootnoteText"/>
    <w:rsid w:val="00F151E8"/>
    <w:pPr>
      <w:ind w:left="2880"/>
    </w:pPr>
    <w:rPr>
      <w:i/>
    </w:rPr>
  </w:style>
  <w:style w:type="paragraph" w:customStyle="1" w:styleId="Indent1">
    <w:name w:val="Indent 1"/>
    <w:basedOn w:val="Normal"/>
    <w:rsid w:val="00F151E8"/>
    <w:pPr>
      <w:ind w:left="1440" w:hanging="720"/>
    </w:pPr>
  </w:style>
  <w:style w:type="paragraph" w:customStyle="1" w:styleId="Indent2">
    <w:name w:val="Indent 2"/>
    <w:basedOn w:val="Normal"/>
    <w:rsid w:val="00F151E8"/>
    <w:pPr>
      <w:ind w:left="2160" w:hanging="720"/>
    </w:pPr>
  </w:style>
  <w:style w:type="paragraph" w:customStyle="1" w:styleId="Indent3">
    <w:name w:val="Indent 3"/>
    <w:basedOn w:val="Normal"/>
    <w:rsid w:val="00F151E8"/>
    <w:pPr>
      <w:ind w:left="2880" w:hanging="720"/>
    </w:pPr>
  </w:style>
  <w:style w:type="paragraph" w:customStyle="1" w:styleId="Legislationindent2">
    <w:name w:val="Legislation indent 2"/>
    <w:basedOn w:val="Normal"/>
    <w:rsid w:val="00F151E8"/>
    <w:pPr>
      <w:ind w:left="2160" w:right="720" w:hanging="720"/>
    </w:pPr>
    <w:rPr>
      <w:i/>
    </w:rPr>
  </w:style>
  <w:style w:type="paragraph" w:customStyle="1" w:styleId="Legislationindent3">
    <w:name w:val="Legislation indent 3"/>
    <w:basedOn w:val="Normal"/>
    <w:rsid w:val="00F151E8"/>
    <w:pPr>
      <w:ind w:left="2880" w:right="720" w:hanging="720"/>
    </w:pPr>
    <w:rPr>
      <w:i/>
    </w:rPr>
  </w:style>
  <w:style w:type="paragraph" w:customStyle="1" w:styleId="Legislationindent4">
    <w:name w:val="Legislation indent 4"/>
    <w:basedOn w:val="Normal"/>
    <w:rsid w:val="00F151E8"/>
    <w:pPr>
      <w:ind w:left="3600" w:right="720" w:hanging="720"/>
    </w:pPr>
    <w:rPr>
      <w:i/>
    </w:rPr>
  </w:style>
  <w:style w:type="paragraph" w:customStyle="1" w:styleId="Recommendationindent1">
    <w:name w:val="Recommendation indent 1"/>
    <w:basedOn w:val="Normal"/>
    <w:rsid w:val="00F151E8"/>
    <w:pPr>
      <w:ind w:left="720" w:hanging="720"/>
    </w:pPr>
    <w:rPr>
      <w:b/>
    </w:rPr>
  </w:style>
  <w:style w:type="paragraph" w:customStyle="1" w:styleId="Recommendationindent2">
    <w:name w:val="Recommendation indent 2"/>
    <w:basedOn w:val="Normal"/>
    <w:rsid w:val="00F151E8"/>
    <w:pPr>
      <w:ind w:left="1440" w:hanging="720"/>
    </w:pPr>
    <w:rPr>
      <w:b/>
    </w:rPr>
  </w:style>
  <w:style w:type="paragraph" w:customStyle="1" w:styleId="Recommendationindent3">
    <w:name w:val="Recommendation indent 3"/>
    <w:basedOn w:val="Normal"/>
    <w:rsid w:val="00F151E8"/>
    <w:pPr>
      <w:ind w:left="2160" w:hanging="720"/>
    </w:pPr>
    <w:rPr>
      <w:b/>
    </w:rPr>
  </w:style>
  <w:style w:type="paragraph" w:customStyle="1" w:styleId="Recommendationindent4">
    <w:name w:val="Recommendation indent 4"/>
    <w:basedOn w:val="Recommendationindent3"/>
    <w:rsid w:val="00F151E8"/>
    <w:pPr>
      <w:ind w:left="2880"/>
    </w:pPr>
  </w:style>
  <w:style w:type="paragraph" w:customStyle="1" w:styleId="PlainTable21">
    <w:name w:val="Plain Table 21"/>
    <w:hidden/>
    <w:uiPriority w:val="99"/>
    <w:semiHidden/>
    <w:rsid w:val="008B06C6"/>
    <w:rPr>
      <w:rFonts w:ascii="Arial" w:eastAsia="Batang" w:hAnsi="Arial"/>
      <w:lang w:eastAsia="en-GB"/>
    </w:rPr>
  </w:style>
  <w:style w:type="paragraph" w:customStyle="1" w:styleId="MediumGrid3-Accent51">
    <w:name w:val="Medium Grid 3 - Accent 51"/>
    <w:hidden/>
    <w:uiPriority w:val="99"/>
    <w:semiHidden/>
    <w:rsid w:val="007B5913"/>
    <w:rPr>
      <w:sz w:val="24"/>
      <w:szCs w:val="24"/>
    </w:rPr>
  </w:style>
  <w:style w:type="paragraph" w:customStyle="1" w:styleId="MediumList1-Accent41">
    <w:name w:val="Medium List 1 - Accent 41"/>
    <w:hidden/>
    <w:uiPriority w:val="99"/>
    <w:semiHidden/>
    <w:rsid w:val="001D726E"/>
    <w:rPr>
      <w:rFonts w:ascii="Arial" w:eastAsia="Batang" w:hAnsi="Arial"/>
      <w:lang w:eastAsia="en-GB"/>
    </w:rPr>
  </w:style>
  <w:style w:type="paragraph" w:customStyle="1" w:styleId="LightGrid-Accent31">
    <w:name w:val="Light Grid - Accent 31"/>
    <w:basedOn w:val="Normal"/>
    <w:uiPriority w:val="34"/>
    <w:qFormat/>
    <w:rsid w:val="001D726E"/>
    <w:pPr>
      <w:widowControl/>
      <w:tabs>
        <w:tab w:val="clear" w:pos="1418"/>
      </w:tabs>
      <w:adjustRightInd/>
      <w:snapToGrid/>
      <w:ind w:left="720"/>
      <w:contextualSpacing/>
      <w:jc w:val="left"/>
    </w:pPr>
    <w:rPr>
      <w:rFonts w:ascii="Cambria" w:eastAsia="MS Mincho" w:hAnsi="Cambria"/>
      <w:lang w:val="en-US" w:eastAsia="en-US"/>
    </w:rPr>
  </w:style>
  <w:style w:type="paragraph" w:customStyle="1" w:styleId="LightGrid-Accent32">
    <w:name w:val="Light Grid - Accent 32"/>
    <w:basedOn w:val="Normal"/>
    <w:uiPriority w:val="34"/>
    <w:qFormat/>
    <w:rsid w:val="008D5E44"/>
    <w:pPr>
      <w:ind w:left="720"/>
    </w:pPr>
  </w:style>
  <w:style w:type="paragraph" w:customStyle="1" w:styleId="ColorfulShading-Accent11">
    <w:name w:val="Colorful Shading - Accent 11"/>
    <w:hidden/>
    <w:uiPriority w:val="99"/>
    <w:semiHidden/>
    <w:rsid w:val="00B4373C"/>
    <w:rPr>
      <w:sz w:val="24"/>
      <w:szCs w:val="24"/>
    </w:rPr>
  </w:style>
  <w:style w:type="paragraph" w:styleId="MediumGrid3-Accent5">
    <w:name w:val="Medium Grid 3 Accent 5"/>
    <w:hidden/>
    <w:uiPriority w:val="99"/>
    <w:semiHidden/>
    <w:rsid w:val="003755CE"/>
    <w:rPr>
      <w:sz w:val="24"/>
      <w:szCs w:val="24"/>
    </w:rPr>
  </w:style>
  <w:style w:type="paragraph" w:styleId="DarkList-Accent3">
    <w:name w:val="Dark List Accent 3"/>
    <w:hidden/>
    <w:uiPriority w:val="71"/>
    <w:unhideWhenUsed/>
    <w:rsid w:val="00330242"/>
    <w:rPr>
      <w:sz w:val="24"/>
      <w:szCs w:val="24"/>
    </w:rPr>
  </w:style>
  <w:style w:type="paragraph" w:styleId="LightList-Accent3">
    <w:name w:val="Light List Accent 3"/>
    <w:hidden/>
    <w:uiPriority w:val="99"/>
    <w:semiHidden/>
    <w:rsid w:val="00BD7BED"/>
    <w:rPr>
      <w:sz w:val="24"/>
      <w:szCs w:val="24"/>
    </w:rPr>
  </w:style>
  <w:style w:type="paragraph" w:styleId="ColorfulShading-Accent1">
    <w:name w:val="Colorful Shading Accent 1"/>
    <w:hidden/>
    <w:uiPriority w:val="99"/>
    <w:semiHidden/>
    <w:rsid w:val="00584B1B"/>
    <w:rPr>
      <w:sz w:val="24"/>
      <w:szCs w:val="24"/>
    </w:rPr>
  </w:style>
  <w:style w:type="paragraph" w:styleId="Header">
    <w:name w:val="header"/>
    <w:basedOn w:val="Normal"/>
    <w:link w:val="HeaderChar"/>
    <w:uiPriority w:val="99"/>
    <w:unhideWhenUsed/>
    <w:rsid w:val="004200AB"/>
    <w:pPr>
      <w:tabs>
        <w:tab w:val="clear" w:pos="1418"/>
        <w:tab w:val="center" w:pos="4153"/>
        <w:tab w:val="right" w:pos="8306"/>
      </w:tabs>
    </w:pPr>
    <w:rPr>
      <w:sz w:val="20"/>
      <w:szCs w:val="20"/>
    </w:rPr>
  </w:style>
  <w:style w:type="character" w:customStyle="1" w:styleId="HeaderChar">
    <w:name w:val="Header Char"/>
    <w:link w:val="Header"/>
    <w:uiPriority w:val="99"/>
    <w:rsid w:val="004200AB"/>
    <w:rPr>
      <w:rFonts w:ascii="Arial" w:hAnsi="Arial"/>
      <w:lang w:val="en-GB"/>
    </w:rPr>
  </w:style>
  <w:style w:type="paragraph" w:styleId="Footer">
    <w:name w:val="footer"/>
    <w:basedOn w:val="Normal"/>
    <w:link w:val="FooterChar"/>
    <w:uiPriority w:val="99"/>
    <w:unhideWhenUsed/>
    <w:rsid w:val="004200AB"/>
    <w:pPr>
      <w:tabs>
        <w:tab w:val="clear" w:pos="1418"/>
        <w:tab w:val="center" w:pos="4153"/>
        <w:tab w:val="right" w:pos="8306"/>
      </w:tabs>
    </w:pPr>
    <w:rPr>
      <w:sz w:val="20"/>
      <w:szCs w:val="20"/>
    </w:rPr>
  </w:style>
  <w:style w:type="character" w:customStyle="1" w:styleId="FooterChar">
    <w:name w:val="Footer Char"/>
    <w:link w:val="Footer"/>
    <w:uiPriority w:val="99"/>
    <w:rsid w:val="004200AB"/>
    <w:rPr>
      <w:rFonts w:ascii="Arial" w:hAnsi="Arial"/>
      <w:lang w:val="en-GB"/>
    </w:rPr>
  </w:style>
  <w:style w:type="character" w:styleId="PageNumber">
    <w:name w:val="page number"/>
    <w:rsid w:val="0014283F"/>
  </w:style>
  <w:style w:type="paragraph" w:styleId="NormalIndent">
    <w:name w:val="Normal Indent"/>
    <w:basedOn w:val="Normal"/>
    <w:rsid w:val="0014283F"/>
    <w:pPr>
      <w:ind w:left="480"/>
    </w:pPr>
  </w:style>
  <w:style w:type="character" w:customStyle="1" w:styleId="Char2">
    <w:name w:val=" Char2"/>
    <w:rsid w:val="0014283F"/>
    <w:rPr>
      <w:rFonts w:ascii="Arial" w:eastAsia="PMingLiU" w:hAnsi="Arial"/>
      <w:b/>
      <w:i/>
      <w:sz w:val="24"/>
      <w:szCs w:val="24"/>
      <w:lang w:val="en-GB" w:eastAsia="zh-TW" w:bidi="ar-SA"/>
    </w:rPr>
  </w:style>
  <w:style w:type="paragraph" w:customStyle="1" w:styleId="Normal1">
    <w:name w:val="Normal1"/>
    <w:basedOn w:val="Normal"/>
    <w:next w:val="NormalIndent"/>
    <w:qFormat/>
    <w:rsid w:val="0014283F"/>
    <w:pPr>
      <w:tabs>
        <w:tab w:val="left" w:pos="720"/>
      </w:tabs>
      <w:spacing w:after="240"/>
      <w:ind w:left="720"/>
    </w:pPr>
    <w:rPr>
      <w:rFonts w:ascii="Times New Roman" w:hAnsi="Times New Roman"/>
    </w:rPr>
  </w:style>
  <w:style w:type="table" w:styleId="TableGrid">
    <w:name w:val="Table Grid"/>
    <w:basedOn w:val="TableNormal"/>
    <w:uiPriority w:val="1"/>
    <w:rsid w:val="00942A08"/>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41">
    <w:name w:val="Plain Table 41"/>
    <w:basedOn w:val="Normal"/>
    <w:next w:val="Normal"/>
    <w:link w:val="PlainTable4Char"/>
    <w:uiPriority w:val="29"/>
    <w:qFormat/>
    <w:rsid w:val="00942A08"/>
    <w:pPr>
      <w:spacing w:afterLines="100" w:after="240"/>
      <w:ind w:left="1440"/>
    </w:pPr>
    <w:rPr>
      <w:rFonts w:ascii="Times New Roman" w:hAnsi="Times New Roman"/>
      <w:i/>
      <w:iCs/>
      <w:color w:val="000000"/>
    </w:rPr>
  </w:style>
  <w:style w:type="character" w:customStyle="1" w:styleId="PlainTable4Char">
    <w:name w:val="Plain Table 4 Char"/>
    <w:link w:val="PlainTable41"/>
    <w:uiPriority w:val="29"/>
    <w:rsid w:val="00942A08"/>
    <w:rPr>
      <w:i/>
      <w:iCs/>
      <w:color w:val="000000"/>
      <w:sz w:val="24"/>
      <w:szCs w:val="24"/>
      <w:lang w:val="en-GB"/>
    </w:rPr>
  </w:style>
  <w:style w:type="character" w:styleId="Hyperlink">
    <w:name w:val="Hyperlink"/>
    <w:uiPriority w:val="99"/>
    <w:rsid w:val="00942A08"/>
    <w:rPr>
      <w:color w:val="0000FF"/>
      <w:u w:val="single"/>
    </w:rPr>
  </w:style>
  <w:style w:type="paragraph" w:customStyle="1" w:styleId="Heading31">
    <w:name w:val="Heading 3.1"/>
    <w:basedOn w:val="Heading3"/>
    <w:qFormat/>
    <w:rsid w:val="00942A08"/>
    <w:pPr>
      <w:numPr>
        <w:numId w:val="4"/>
      </w:numPr>
      <w:tabs>
        <w:tab w:val="clear" w:pos="1418"/>
      </w:tabs>
      <w:spacing w:after="240"/>
    </w:pPr>
    <w:rPr>
      <w:rFonts w:ascii="Times New Roman" w:hAnsi="Times New Roman"/>
      <w:b w:val="0"/>
      <w:i w:val="0"/>
      <w:u w:val="single"/>
    </w:rPr>
  </w:style>
  <w:style w:type="paragraph" w:styleId="NormalWeb">
    <w:name w:val="Normal (Web)"/>
    <w:basedOn w:val="Normal"/>
    <w:unhideWhenUsed/>
    <w:rsid w:val="00942A08"/>
    <w:pPr>
      <w:widowControl/>
      <w:tabs>
        <w:tab w:val="clear" w:pos="1418"/>
      </w:tabs>
      <w:adjustRightInd/>
      <w:snapToGrid/>
      <w:spacing w:before="100" w:beforeAutospacing="1" w:after="100" w:afterAutospacing="1"/>
      <w:jc w:val="left"/>
    </w:pPr>
    <w:rPr>
      <w:rFonts w:ascii="Times New Roman" w:eastAsia="Times New Roman" w:hAnsi="Times New Roman"/>
      <w:lang w:val="en-US"/>
    </w:rPr>
  </w:style>
  <w:style w:type="paragraph" w:customStyle="1" w:styleId="Heading41">
    <w:name w:val="Heading 4.1"/>
    <w:basedOn w:val="Heading4"/>
    <w:qFormat/>
    <w:rsid w:val="00942A08"/>
    <w:pPr>
      <w:numPr>
        <w:numId w:val="5"/>
      </w:numPr>
      <w:tabs>
        <w:tab w:val="clear" w:pos="1418"/>
      </w:tabs>
      <w:spacing w:after="240"/>
      <w:ind w:hanging="720"/>
    </w:pPr>
    <w:rPr>
      <w:rFonts w:ascii="Calibri" w:hAnsi="Calibri"/>
    </w:rPr>
  </w:style>
  <w:style w:type="character" w:styleId="CommentReference">
    <w:name w:val="annotation reference"/>
    <w:uiPriority w:val="99"/>
    <w:semiHidden/>
    <w:unhideWhenUsed/>
    <w:rsid w:val="00942A08"/>
    <w:rPr>
      <w:sz w:val="18"/>
      <w:szCs w:val="18"/>
    </w:rPr>
  </w:style>
  <w:style w:type="paragraph" w:styleId="BodyText">
    <w:name w:val="Body Text"/>
    <w:aliases w:val="1.1 Body Text"/>
    <w:basedOn w:val="Normal"/>
    <w:next w:val="Normal"/>
    <w:link w:val="BodyTextChar"/>
    <w:autoRedefine/>
    <w:uiPriority w:val="99"/>
    <w:qFormat/>
    <w:rsid w:val="00942A08"/>
    <w:pPr>
      <w:numPr>
        <w:numId w:val="20"/>
      </w:numPr>
      <w:tabs>
        <w:tab w:val="clear" w:pos="1418"/>
        <w:tab w:val="left" w:pos="720"/>
      </w:tabs>
      <w:spacing w:after="240"/>
      <w:ind w:left="720" w:hanging="720"/>
    </w:pPr>
    <w:rPr>
      <w:rFonts w:ascii="Times New Roman" w:hAnsi="Times New Roman"/>
    </w:rPr>
  </w:style>
  <w:style w:type="character" w:customStyle="1" w:styleId="BodyTextChar">
    <w:name w:val="Body Text Char"/>
    <w:aliases w:val="1.1 Body Text Char"/>
    <w:link w:val="BodyText"/>
    <w:uiPriority w:val="99"/>
    <w:rsid w:val="00942A08"/>
    <w:rPr>
      <w:snapToGrid w:val="0"/>
      <w:sz w:val="24"/>
      <w:szCs w:val="24"/>
      <w:lang w:val="en-GB"/>
    </w:rPr>
  </w:style>
  <w:style w:type="paragraph" w:styleId="BodyText2">
    <w:name w:val="Body Text 2"/>
    <w:basedOn w:val="Normal"/>
    <w:link w:val="BodyText2Char"/>
    <w:qFormat/>
    <w:rsid w:val="00942A08"/>
    <w:pPr>
      <w:spacing w:after="240"/>
      <w:ind w:left="1440" w:hanging="720"/>
    </w:pPr>
    <w:rPr>
      <w:rFonts w:ascii="Times New Roman" w:hAnsi="Times New Roman"/>
    </w:rPr>
  </w:style>
  <w:style w:type="character" w:customStyle="1" w:styleId="BodyText2Char">
    <w:name w:val="Body Text 2 Char"/>
    <w:link w:val="BodyText2"/>
    <w:rsid w:val="00942A08"/>
    <w:rPr>
      <w:sz w:val="24"/>
      <w:szCs w:val="24"/>
      <w:lang w:val="en-GB"/>
    </w:rPr>
  </w:style>
  <w:style w:type="paragraph" w:styleId="BodyTextIndent">
    <w:name w:val="Body Text Indent"/>
    <w:basedOn w:val="Normal"/>
    <w:link w:val="BodyTextIndentChar"/>
    <w:semiHidden/>
    <w:unhideWhenUsed/>
    <w:rsid w:val="00942A08"/>
    <w:pPr>
      <w:spacing w:after="120"/>
      <w:ind w:left="360"/>
    </w:pPr>
    <w:rPr>
      <w:rFonts w:ascii="Times New Roman" w:hAnsi="Times New Roman"/>
    </w:rPr>
  </w:style>
  <w:style w:type="character" w:customStyle="1" w:styleId="BodyTextIndentChar">
    <w:name w:val="Body Text Indent Char"/>
    <w:link w:val="BodyTextIndent"/>
    <w:semiHidden/>
    <w:rsid w:val="00942A08"/>
    <w:rPr>
      <w:sz w:val="24"/>
      <w:szCs w:val="24"/>
      <w:lang w:val="en-GB"/>
    </w:rPr>
  </w:style>
  <w:style w:type="numbering" w:customStyle="1" w:styleId="Skeleton">
    <w:name w:val="Skeleton"/>
    <w:uiPriority w:val="99"/>
    <w:rsid w:val="00942A08"/>
    <w:pPr>
      <w:numPr>
        <w:numId w:val="6"/>
      </w:numPr>
    </w:pPr>
  </w:style>
  <w:style w:type="paragraph" w:customStyle="1" w:styleId="PlainTable31">
    <w:name w:val="Plain Table 31"/>
    <w:basedOn w:val="Normal"/>
    <w:uiPriority w:val="34"/>
    <w:qFormat/>
    <w:rsid w:val="00942A08"/>
    <w:pPr>
      <w:spacing w:after="240"/>
      <w:ind w:left="720"/>
      <w:contextualSpacing/>
    </w:pPr>
    <w:rPr>
      <w:rFonts w:ascii="Times New Roman" w:hAnsi="Times New Roman"/>
    </w:rPr>
  </w:style>
  <w:style w:type="paragraph" w:customStyle="1" w:styleId="Default">
    <w:name w:val="Default"/>
    <w:rsid w:val="00942A08"/>
    <w:pPr>
      <w:widowControl w:val="0"/>
      <w:autoSpaceDE w:val="0"/>
      <w:autoSpaceDN w:val="0"/>
      <w:adjustRightInd w:val="0"/>
    </w:pPr>
    <w:rPr>
      <w:rFonts w:ascii="Arial" w:hAnsi="Arial" w:cs="Arial"/>
      <w:color w:val="000000"/>
      <w:sz w:val="24"/>
      <w:szCs w:val="24"/>
      <w:lang w:val="en-US" w:eastAsia="en-US"/>
    </w:rPr>
  </w:style>
  <w:style w:type="character" w:customStyle="1" w:styleId="CharacterStyle1">
    <w:name w:val="Character Style 1"/>
    <w:uiPriority w:val="99"/>
    <w:rsid w:val="00942A08"/>
    <w:rPr>
      <w:sz w:val="20"/>
      <w:szCs w:val="20"/>
    </w:rPr>
  </w:style>
  <w:style w:type="paragraph" w:styleId="BalloonText">
    <w:name w:val="Balloon Text"/>
    <w:basedOn w:val="Normal"/>
    <w:link w:val="BalloonTextChar"/>
    <w:uiPriority w:val="99"/>
    <w:semiHidden/>
    <w:unhideWhenUsed/>
    <w:rsid w:val="00942A08"/>
    <w:pPr>
      <w:spacing w:after="240"/>
    </w:pPr>
    <w:rPr>
      <w:rFonts w:ascii="Tahoma" w:hAnsi="Tahoma" w:cs="Tahoma"/>
      <w:sz w:val="16"/>
      <w:szCs w:val="16"/>
    </w:rPr>
  </w:style>
  <w:style w:type="character" w:customStyle="1" w:styleId="BalloonTextChar">
    <w:name w:val="Balloon Text Char"/>
    <w:link w:val="BalloonText"/>
    <w:uiPriority w:val="99"/>
    <w:semiHidden/>
    <w:rsid w:val="00942A08"/>
    <w:rPr>
      <w:rFonts w:ascii="Tahoma" w:hAnsi="Tahoma" w:cs="Tahoma"/>
      <w:sz w:val="16"/>
      <w:szCs w:val="16"/>
      <w:lang w:val="en-GB"/>
    </w:rPr>
  </w:style>
  <w:style w:type="paragraph" w:styleId="CommentText">
    <w:name w:val="annotation text"/>
    <w:basedOn w:val="Normal"/>
    <w:link w:val="CommentTextChar"/>
    <w:uiPriority w:val="99"/>
    <w:semiHidden/>
    <w:unhideWhenUsed/>
    <w:rsid w:val="00942A08"/>
    <w:pPr>
      <w:spacing w:after="240"/>
    </w:pPr>
    <w:rPr>
      <w:rFonts w:ascii="Times New Roman" w:hAnsi="Times New Roman"/>
      <w:sz w:val="20"/>
      <w:szCs w:val="20"/>
    </w:rPr>
  </w:style>
  <w:style w:type="character" w:customStyle="1" w:styleId="CommentTextChar">
    <w:name w:val="Comment Text Char"/>
    <w:link w:val="CommentText"/>
    <w:uiPriority w:val="99"/>
    <w:semiHidden/>
    <w:rsid w:val="00942A08"/>
    <w:rPr>
      <w:lang w:val="en-GB"/>
    </w:rPr>
  </w:style>
  <w:style w:type="paragraph" w:styleId="CommentSubject">
    <w:name w:val="annotation subject"/>
    <w:basedOn w:val="CommentText"/>
    <w:next w:val="CommentText"/>
    <w:link w:val="CommentSubjectChar"/>
    <w:uiPriority w:val="99"/>
    <w:semiHidden/>
    <w:unhideWhenUsed/>
    <w:rsid w:val="00942A08"/>
    <w:rPr>
      <w:b/>
      <w:bCs/>
    </w:rPr>
  </w:style>
  <w:style w:type="character" w:customStyle="1" w:styleId="CommentSubjectChar">
    <w:name w:val="Comment Subject Char"/>
    <w:link w:val="CommentSubject"/>
    <w:uiPriority w:val="99"/>
    <w:semiHidden/>
    <w:rsid w:val="00942A08"/>
    <w:rPr>
      <w:b/>
      <w:bCs/>
      <w:lang w:val="en-GB"/>
    </w:rPr>
  </w:style>
  <w:style w:type="paragraph" w:customStyle="1" w:styleId="Alpha">
    <w:name w:val="Alpha"/>
    <w:basedOn w:val="BodyText"/>
    <w:uiPriority w:val="4"/>
    <w:qFormat/>
    <w:rsid w:val="00942A08"/>
    <w:pPr>
      <w:numPr>
        <w:numId w:val="10"/>
      </w:numPr>
      <w:tabs>
        <w:tab w:val="left" w:pos="1418"/>
      </w:tabs>
      <w:spacing w:before="100" w:after="100"/>
    </w:pPr>
    <w:rPr>
      <w:rFonts w:ascii="Arial" w:eastAsia="Times New Roman" w:hAnsi="Arial"/>
      <w:lang w:eastAsia="en-US"/>
    </w:rPr>
  </w:style>
  <w:style w:type="paragraph" w:customStyle="1" w:styleId="AlphaBrackets">
    <w:name w:val="AlphaBrackets"/>
    <w:basedOn w:val="BodyText"/>
    <w:uiPriority w:val="4"/>
    <w:qFormat/>
    <w:rsid w:val="00942A08"/>
    <w:pPr>
      <w:numPr>
        <w:numId w:val="8"/>
      </w:numPr>
      <w:tabs>
        <w:tab w:val="left" w:pos="1418"/>
      </w:tabs>
      <w:spacing w:before="100" w:after="100"/>
    </w:pPr>
    <w:rPr>
      <w:rFonts w:ascii="Arial" w:eastAsia="Times New Roman" w:hAnsi="Arial"/>
      <w:lang w:eastAsia="en-US"/>
    </w:rPr>
  </w:style>
  <w:style w:type="paragraph" w:styleId="TOC5">
    <w:name w:val="toc 5"/>
    <w:basedOn w:val="Normal"/>
    <w:next w:val="Normal"/>
    <w:uiPriority w:val="39"/>
    <w:rsid w:val="00942A08"/>
    <w:pPr>
      <w:tabs>
        <w:tab w:val="left" w:pos="3119"/>
        <w:tab w:val="right" w:leader="dot" w:pos="8789"/>
      </w:tabs>
      <w:spacing w:after="240"/>
      <w:ind w:left="3119" w:right="992" w:hanging="567"/>
    </w:pPr>
    <w:rPr>
      <w:rFonts w:ascii="Times New Roman" w:hAnsi="Times New Roman"/>
    </w:rPr>
  </w:style>
  <w:style w:type="paragraph" w:customStyle="1" w:styleId="Numeric">
    <w:name w:val="Numeric"/>
    <w:basedOn w:val="BodyText"/>
    <w:uiPriority w:val="4"/>
    <w:qFormat/>
    <w:rsid w:val="00942A08"/>
    <w:pPr>
      <w:numPr>
        <w:numId w:val="11"/>
      </w:numPr>
      <w:tabs>
        <w:tab w:val="left" w:pos="1418"/>
      </w:tabs>
      <w:spacing w:before="100" w:after="100"/>
    </w:pPr>
    <w:rPr>
      <w:rFonts w:ascii="Arial" w:eastAsia="Times New Roman" w:hAnsi="Arial"/>
      <w:lang w:eastAsia="en-US"/>
    </w:rPr>
  </w:style>
  <w:style w:type="paragraph" w:customStyle="1" w:styleId="NumericBrackets">
    <w:name w:val="NumericBrackets"/>
    <w:basedOn w:val="BodyText"/>
    <w:uiPriority w:val="4"/>
    <w:qFormat/>
    <w:rsid w:val="00942A08"/>
    <w:pPr>
      <w:numPr>
        <w:numId w:val="9"/>
      </w:numPr>
      <w:tabs>
        <w:tab w:val="left" w:pos="1418"/>
      </w:tabs>
      <w:spacing w:before="100" w:after="100"/>
    </w:pPr>
    <w:rPr>
      <w:rFonts w:ascii="Arial" w:eastAsia="Times New Roman" w:hAnsi="Arial"/>
      <w:lang w:eastAsia="en-US"/>
    </w:rPr>
  </w:style>
  <w:style w:type="paragraph" w:customStyle="1" w:styleId="ScheduleHeading1">
    <w:name w:val="Schedule Heading 1"/>
    <w:basedOn w:val="BodyText"/>
    <w:next w:val="BodyText1"/>
    <w:qFormat/>
    <w:rsid w:val="00942A08"/>
    <w:pPr>
      <w:keepNext/>
      <w:numPr>
        <w:numId w:val="7"/>
      </w:numPr>
      <w:tabs>
        <w:tab w:val="left" w:pos="1418"/>
      </w:tabs>
      <w:spacing w:before="200" w:after="100"/>
    </w:pPr>
    <w:rPr>
      <w:rFonts w:ascii="Arial" w:hAnsi="Arial"/>
      <w:b/>
      <w:caps/>
    </w:rPr>
  </w:style>
  <w:style w:type="paragraph" w:customStyle="1" w:styleId="ScheduleHeading2">
    <w:name w:val="Schedule Heading 2"/>
    <w:basedOn w:val="BodyText"/>
    <w:next w:val="BodyText2"/>
    <w:qFormat/>
    <w:rsid w:val="00942A08"/>
    <w:pPr>
      <w:keepNext/>
      <w:numPr>
        <w:ilvl w:val="1"/>
        <w:numId w:val="7"/>
      </w:numPr>
      <w:tabs>
        <w:tab w:val="left" w:pos="1418"/>
      </w:tabs>
      <w:spacing w:before="200" w:after="100"/>
    </w:pPr>
    <w:rPr>
      <w:rFonts w:ascii="Arial" w:hAnsi="Arial"/>
      <w:b/>
    </w:rPr>
  </w:style>
  <w:style w:type="paragraph" w:customStyle="1" w:styleId="ScheduleHeading3">
    <w:name w:val="Schedule Heading 3"/>
    <w:basedOn w:val="BodyText"/>
    <w:next w:val="BodyText3"/>
    <w:qFormat/>
    <w:rsid w:val="00942A08"/>
    <w:pPr>
      <w:keepNext/>
      <w:numPr>
        <w:ilvl w:val="2"/>
        <w:numId w:val="7"/>
      </w:numPr>
      <w:tabs>
        <w:tab w:val="left" w:pos="1418"/>
      </w:tabs>
      <w:spacing w:before="200" w:after="100"/>
      <w:ind w:left="1560" w:hanging="851"/>
    </w:pPr>
    <w:rPr>
      <w:rFonts w:ascii="Arial" w:hAnsi="Arial"/>
      <w:b/>
    </w:rPr>
  </w:style>
  <w:style w:type="paragraph" w:styleId="TOC1">
    <w:name w:val="toc 1"/>
    <w:basedOn w:val="BodyText"/>
    <w:next w:val="BodyText"/>
    <w:uiPriority w:val="39"/>
    <w:rsid w:val="00942A08"/>
    <w:pPr>
      <w:numPr>
        <w:numId w:val="0"/>
      </w:numPr>
      <w:tabs>
        <w:tab w:val="left" w:pos="1134"/>
        <w:tab w:val="left" w:pos="1418"/>
        <w:tab w:val="right" w:leader="dot" w:pos="8789"/>
      </w:tabs>
      <w:spacing w:before="100" w:after="100"/>
      <w:ind w:left="1134" w:right="992" w:hanging="1134"/>
    </w:pPr>
    <w:rPr>
      <w:rFonts w:ascii="Arial" w:hAnsi="Arial"/>
      <w:caps/>
    </w:rPr>
  </w:style>
  <w:style w:type="paragraph" w:styleId="TOC2">
    <w:name w:val="toc 2"/>
    <w:basedOn w:val="BodyText"/>
    <w:next w:val="BodyText"/>
    <w:uiPriority w:val="39"/>
    <w:rsid w:val="00942A08"/>
    <w:pPr>
      <w:numPr>
        <w:numId w:val="0"/>
      </w:numPr>
      <w:tabs>
        <w:tab w:val="left" w:pos="1418"/>
        <w:tab w:val="left" w:leader="dot" w:pos="1701"/>
        <w:tab w:val="right" w:leader="dot" w:pos="8789"/>
      </w:tabs>
      <w:spacing w:after="0"/>
      <w:ind w:left="1134" w:right="992" w:hanging="1134"/>
    </w:pPr>
    <w:rPr>
      <w:rFonts w:ascii="Arial" w:hAnsi="Arial"/>
      <w:noProof/>
    </w:rPr>
  </w:style>
  <w:style w:type="paragraph" w:styleId="TOC3">
    <w:name w:val="toc 3"/>
    <w:basedOn w:val="BodyText"/>
    <w:next w:val="BodyText"/>
    <w:uiPriority w:val="39"/>
    <w:rsid w:val="00942A08"/>
    <w:pPr>
      <w:numPr>
        <w:numId w:val="0"/>
      </w:numPr>
      <w:tabs>
        <w:tab w:val="left" w:pos="1134"/>
        <w:tab w:val="left" w:pos="1418"/>
        <w:tab w:val="right" w:leader="dot" w:pos="8789"/>
      </w:tabs>
      <w:spacing w:after="0"/>
      <w:ind w:left="1985" w:right="992" w:hanging="851"/>
    </w:pPr>
    <w:rPr>
      <w:rFonts w:ascii="Arial" w:hAnsi="Arial"/>
    </w:rPr>
  </w:style>
  <w:style w:type="paragraph" w:styleId="TOC4">
    <w:name w:val="toc 4"/>
    <w:basedOn w:val="BodyText"/>
    <w:next w:val="BodyText"/>
    <w:uiPriority w:val="39"/>
    <w:rsid w:val="00942A08"/>
    <w:pPr>
      <w:numPr>
        <w:numId w:val="0"/>
      </w:numPr>
      <w:tabs>
        <w:tab w:val="left" w:pos="1418"/>
        <w:tab w:val="left" w:pos="2552"/>
        <w:tab w:val="right" w:leader="dot" w:pos="8789"/>
      </w:tabs>
      <w:spacing w:after="0"/>
      <w:ind w:left="2552" w:right="992" w:hanging="567"/>
    </w:pPr>
    <w:rPr>
      <w:rFonts w:ascii="Arial" w:hAnsi="Arial"/>
    </w:rPr>
  </w:style>
  <w:style w:type="paragraph" w:styleId="TOC6">
    <w:name w:val="toc 6"/>
    <w:basedOn w:val="Normal"/>
    <w:next w:val="Normal"/>
    <w:uiPriority w:val="39"/>
    <w:rsid w:val="00942A08"/>
    <w:pPr>
      <w:tabs>
        <w:tab w:val="right" w:leader="dot" w:pos="8789"/>
      </w:tabs>
      <w:spacing w:after="240"/>
      <w:ind w:left="3686" w:right="992" w:hanging="567"/>
    </w:pPr>
    <w:rPr>
      <w:rFonts w:ascii="Times New Roman" w:hAnsi="Times New Roman"/>
    </w:rPr>
  </w:style>
  <w:style w:type="paragraph" w:styleId="TOC7">
    <w:name w:val="toc 7"/>
    <w:basedOn w:val="Normal"/>
    <w:next w:val="Normal"/>
    <w:uiPriority w:val="39"/>
    <w:rsid w:val="00942A08"/>
    <w:pPr>
      <w:tabs>
        <w:tab w:val="left" w:pos="4253"/>
        <w:tab w:val="right" w:leader="dot" w:pos="8789"/>
      </w:tabs>
      <w:spacing w:after="240"/>
      <w:ind w:left="4253" w:right="992" w:hanging="567"/>
    </w:pPr>
    <w:rPr>
      <w:rFonts w:ascii="Times New Roman" w:hAnsi="Times New Roman"/>
    </w:rPr>
  </w:style>
  <w:style w:type="paragraph" w:styleId="TOC8">
    <w:name w:val="toc 8"/>
    <w:basedOn w:val="Normal"/>
    <w:next w:val="Normal"/>
    <w:uiPriority w:val="39"/>
    <w:rsid w:val="00942A08"/>
    <w:pPr>
      <w:spacing w:after="240"/>
    </w:pPr>
    <w:rPr>
      <w:rFonts w:ascii="Times New Roman" w:hAnsi="Times New Roman"/>
    </w:rPr>
  </w:style>
  <w:style w:type="paragraph" w:styleId="TOC9">
    <w:name w:val="toc 9"/>
    <w:basedOn w:val="Normal"/>
    <w:next w:val="Normal"/>
    <w:uiPriority w:val="39"/>
    <w:rsid w:val="00942A08"/>
    <w:pPr>
      <w:spacing w:after="240"/>
    </w:pPr>
    <w:rPr>
      <w:rFonts w:ascii="Times New Roman" w:hAnsi="Times New Roman"/>
    </w:rPr>
  </w:style>
  <w:style w:type="paragraph" w:customStyle="1" w:styleId="ScheduleHeading4">
    <w:name w:val="Schedule Heading 4"/>
    <w:basedOn w:val="BodyText"/>
    <w:next w:val="BodyText4"/>
    <w:qFormat/>
    <w:rsid w:val="00942A08"/>
    <w:pPr>
      <w:keepNext/>
      <w:numPr>
        <w:ilvl w:val="3"/>
        <w:numId w:val="7"/>
      </w:numPr>
      <w:tabs>
        <w:tab w:val="left" w:pos="1418"/>
      </w:tabs>
      <w:spacing w:before="200" w:after="100"/>
    </w:pPr>
    <w:rPr>
      <w:rFonts w:ascii="Arial" w:hAnsi="Arial"/>
      <w:b/>
    </w:rPr>
  </w:style>
  <w:style w:type="paragraph" w:customStyle="1" w:styleId="ScheduleHeading5">
    <w:name w:val="Schedule Heading 5"/>
    <w:basedOn w:val="BodyText"/>
    <w:next w:val="BodyText5"/>
    <w:qFormat/>
    <w:rsid w:val="00942A08"/>
    <w:pPr>
      <w:keepNext/>
      <w:numPr>
        <w:ilvl w:val="4"/>
        <w:numId w:val="7"/>
      </w:numPr>
      <w:tabs>
        <w:tab w:val="left" w:pos="1418"/>
      </w:tabs>
      <w:spacing w:before="200" w:after="100"/>
    </w:pPr>
    <w:rPr>
      <w:rFonts w:ascii="Arial" w:hAnsi="Arial"/>
      <w:b/>
    </w:rPr>
  </w:style>
  <w:style w:type="paragraph" w:customStyle="1" w:styleId="ScheduleHeading6">
    <w:name w:val="Schedule Heading 6"/>
    <w:basedOn w:val="BodyText"/>
    <w:next w:val="BodyText6"/>
    <w:qFormat/>
    <w:rsid w:val="00942A08"/>
    <w:pPr>
      <w:keepNext/>
      <w:numPr>
        <w:ilvl w:val="5"/>
        <w:numId w:val="7"/>
      </w:numPr>
      <w:tabs>
        <w:tab w:val="left" w:pos="1418"/>
      </w:tabs>
      <w:spacing w:before="200" w:after="100"/>
    </w:pPr>
    <w:rPr>
      <w:rFonts w:ascii="Arial" w:hAnsi="Arial"/>
      <w:b/>
    </w:rPr>
  </w:style>
  <w:style w:type="paragraph" w:customStyle="1" w:styleId="ScheduleHeading7">
    <w:name w:val="Schedule Heading 7"/>
    <w:basedOn w:val="BodyText"/>
    <w:next w:val="BodyText7"/>
    <w:qFormat/>
    <w:rsid w:val="00942A08"/>
    <w:pPr>
      <w:keepNext/>
      <w:numPr>
        <w:ilvl w:val="6"/>
        <w:numId w:val="7"/>
      </w:numPr>
      <w:tabs>
        <w:tab w:val="left" w:pos="1418"/>
      </w:tabs>
      <w:spacing w:before="200" w:after="100"/>
      <w:ind w:left="4395" w:hanging="709"/>
    </w:pPr>
    <w:rPr>
      <w:rFonts w:ascii="Arial" w:hAnsi="Arial"/>
      <w:b/>
    </w:rPr>
  </w:style>
  <w:style w:type="paragraph" w:customStyle="1" w:styleId="FootnoteTextContinue">
    <w:name w:val="Footnote Text Continue"/>
    <w:basedOn w:val="Normal"/>
    <w:uiPriority w:val="39"/>
    <w:semiHidden/>
    <w:rsid w:val="00942A08"/>
    <w:pPr>
      <w:spacing w:after="240"/>
      <w:ind w:left="425"/>
    </w:pPr>
    <w:rPr>
      <w:rFonts w:ascii="Times New Roman" w:hAnsi="Times New Roman"/>
      <w:sz w:val="18"/>
    </w:rPr>
  </w:style>
  <w:style w:type="paragraph" w:customStyle="1" w:styleId="Para1">
    <w:name w:val="Para 1"/>
    <w:basedOn w:val="Heading1"/>
    <w:qFormat/>
    <w:rsid w:val="00942A08"/>
    <w:pPr>
      <w:keepNext w:val="0"/>
      <w:tabs>
        <w:tab w:val="left" w:pos="709"/>
      </w:tabs>
      <w:spacing w:before="100"/>
    </w:pPr>
    <w:rPr>
      <w:b w:val="0"/>
      <w:caps/>
    </w:rPr>
  </w:style>
  <w:style w:type="paragraph" w:customStyle="1" w:styleId="Para2">
    <w:name w:val="Para 2"/>
    <w:basedOn w:val="Heading2"/>
    <w:qFormat/>
    <w:rsid w:val="00942A08"/>
    <w:pPr>
      <w:keepNext w:val="0"/>
      <w:spacing w:before="100"/>
    </w:pPr>
    <w:rPr>
      <w:b w:val="0"/>
    </w:rPr>
  </w:style>
  <w:style w:type="paragraph" w:customStyle="1" w:styleId="Para3">
    <w:name w:val="Para 3"/>
    <w:basedOn w:val="Heading3"/>
    <w:qFormat/>
    <w:rsid w:val="00942A08"/>
    <w:pPr>
      <w:keepNext w:val="0"/>
      <w:spacing w:before="100"/>
    </w:pPr>
    <w:rPr>
      <w:i w:val="0"/>
      <w:u w:val="single"/>
    </w:rPr>
  </w:style>
  <w:style w:type="paragraph" w:customStyle="1" w:styleId="Para4">
    <w:name w:val="Para 4"/>
    <w:basedOn w:val="Heading4"/>
    <w:qFormat/>
    <w:rsid w:val="00942A08"/>
    <w:pPr>
      <w:keepNext w:val="0"/>
      <w:spacing w:before="100"/>
    </w:pPr>
    <w:rPr>
      <w:b/>
    </w:rPr>
  </w:style>
  <w:style w:type="paragraph" w:customStyle="1" w:styleId="Para5">
    <w:name w:val="Para 5"/>
    <w:basedOn w:val="Heading5"/>
    <w:qFormat/>
    <w:rsid w:val="00942A08"/>
    <w:pPr>
      <w:keepNext w:val="0"/>
      <w:numPr>
        <w:numId w:val="0"/>
      </w:numPr>
      <w:tabs>
        <w:tab w:val="num" w:pos="2977"/>
      </w:tabs>
      <w:spacing w:before="100" w:after="100"/>
      <w:ind w:left="2977" w:hanging="709"/>
    </w:pPr>
    <w:rPr>
      <w:bCs w:val="0"/>
      <w:szCs w:val="24"/>
    </w:rPr>
  </w:style>
  <w:style w:type="paragraph" w:customStyle="1" w:styleId="Para6">
    <w:name w:val="Para 6"/>
    <w:basedOn w:val="Heading6"/>
    <w:qFormat/>
    <w:rsid w:val="00942A08"/>
    <w:pPr>
      <w:keepNext w:val="0"/>
      <w:tabs>
        <w:tab w:val="left" w:pos="720"/>
      </w:tabs>
      <w:spacing w:before="100"/>
    </w:pPr>
    <w:rPr>
      <w:b w:val="0"/>
    </w:rPr>
  </w:style>
  <w:style w:type="paragraph" w:customStyle="1" w:styleId="Para7">
    <w:name w:val="Para 7"/>
    <w:basedOn w:val="Heading7"/>
    <w:qFormat/>
    <w:rsid w:val="00942A08"/>
    <w:pPr>
      <w:keepNext w:val="0"/>
      <w:tabs>
        <w:tab w:val="left" w:pos="720"/>
      </w:tabs>
      <w:spacing w:before="100"/>
    </w:pPr>
    <w:rPr>
      <w:b w:val="0"/>
    </w:rPr>
  </w:style>
  <w:style w:type="paragraph" w:customStyle="1" w:styleId="DefinitionLevel1">
    <w:name w:val="Definition Level 1"/>
    <w:basedOn w:val="BodyText1"/>
    <w:next w:val="Definition"/>
    <w:uiPriority w:val="4"/>
    <w:qFormat/>
    <w:rsid w:val="00942A08"/>
    <w:pPr>
      <w:numPr>
        <w:ilvl w:val="1"/>
        <w:numId w:val="12"/>
      </w:numPr>
      <w:ind w:left="1560" w:hanging="851"/>
    </w:pPr>
  </w:style>
  <w:style w:type="paragraph" w:customStyle="1" w:styleId="DefinitionLevel2">
    <w:name w:val="Definition Level 2"/>
    <w:basedOn w:val="DefinitionLevel1"/>
    <w:next w:val="Definition"/>
    <w:uiPriority w:val="4"/>
    <w:qFormat/>
    <w:rsid w:val="00942A08"/>
    <w:pPr>
      <w:numPr>
        <w:ilvl w:val="2"/>
      </w:numPr>
      <w:ind w:left="2268" w:hanging="709"/>
    </w:pPr>
  </w:style>
  <w:style w:type="paragraph" w:customStyle="1" w:styleId="Definition">
    <w:name w:val="Definition"/>
    <w:basedOn w:val="BodyText1"/>
    <w:uiPriority w:val="4"/>
    <w:qFormat/>
    <w:rsid w:val="00942A08"/>
    <w:pPr>
      <w:numPr>
        <w:numId w:val="12"/>
      </w:numPr>
    </w:pPr>
  </w:style>
  <w:style w:type="paragraph" w:customStyle="1" w:styleId="BodyText1">
    <w:name w:val="Body Text 1"/>
    <w:basedOn w:val="BodyText"/>
    <w:qFormat/>
    <w:rsid w:val="00942A08"/>
    <w:pPr>
      <w:numPr>
        <w:numId w:val="0"/>
      </w:numPr>
      <w:tabs>
        <w:tab w:val="left" w:pos="1418"/>
      </w:tabs>
      <w:ind w:left="1440" w:hanging="720"/>
    </w:pPr>
    <w:rPr>
      <w:rFonts w:ascii="Arial" w:hAnsi="Arial"/>
    </w:rPr>
  </w:style>
  <w:style w:type="paragraph" w:styleId="BodyText3">
    <w:name w:val="Body Text 3"/>
    <w:basedOn w:val="BodyText"/>
    <w:link w:val="BodyText3Char"/>
    <w:qFormat/>
    <w:rsid w:val="00942A08"/>
    <w:pPr>
      <w:numPr>
        <w:numId w:val="0"/>
      </w:numPr>
      <w:tabs>
        <w:tab w:val="left" w:pos="1418"/>
      </w:tabs>
      <w:spacing w:before="100" w:after="100"/>
      <w:ind w:left="1559"/>
    </w:pPr>
    <w:rPr>
      <w:rFonts w:ascii="Arial" w:hAnsi="Arial"/>
      <w:szCs w:val="16"/>
    </w:rPr>
  </w:style>
  <w:style w:type="character" w:customStyle="1" w:styleId="BodyText3Char">
    <w:name w:val="Body Text 3 Char"/>
    <w:link w:val="BodyText3"/>
    <w:rsid w:val="00942A08"/>
    <w:rPr>
      <w:rFonts w:ascii="Arial" w:hAnsi="Arial"/>
      <w:sz w:val="24"/>
      <w:szCs w:val="16"/>
      <w:lang w:val="en-GB"/>
    </w:rPr>
  </w:style>
  <w:style w:type="paragraph" w:customStyle="1" w:styleId="BodyText4">
    <w:name w:val="Body Text 4"/>
    <w:basedOn w:val="BodyText"/>
    <w:qFormat/>
    <w:rsid w:val="00942A08"/>
    <w:pPr>
      <w:numPr>
        <w:numId w:val="0"/>
      </w:numPr>
      <w:tabs>
        <w:tab w:val="left" w:pos="1418"/>
      </w:tabs>
      <w:spacing w:before="100" w:after="100"/>
      <w:ind w:left="2268"/>
    </w:pPr>
    <w:rPr>
      <w:rFonts w:ascii="Arial" w:hAnsi="Arial"/>
    </w:rPr>
  </w:style>
  <w:style w:type="paragraph" w:customStyle="1" w:styleId="BodyText5">
    <w:name w:val="Body Text 5"/>
    <w:basedOn w:val="BodyText"/>
    <w:qFormat/>
    <w:rsid w:val="00942A08"/>
    <w:pPr>
      <w:numPr>
        <w:numId w:val="0"/>
      </w:numPr>
      <w:tabs>
        <w:tab w:val="left" w:pos="1418"/>
      </w:tabs>
      <w:spacing w:before="100" w:after="100"/>
      <w:ind w:left="2977"/>
    </w:pPr>
    <w:rPr>
      <w:rFonts w:ascii="Arial" w:hAnsi="Arial"/>
    </w:rPr>
  </w:style>
  <w:style w:type="paragraph" w:customStyle="1" w:styleId="BodyText6">
    <w:name w:val="Body Text 6"/>
    <w:basedOn w:val="BodyText"/>
    <w:qFormat/>
    <w:rsid w:val="00942A08"/>
    <w:pPr>
      <w:numPr>
        <w:ilvl w:val="3"/>
        <w:numId w:val="16"/>
      </w:numPr>
      <w:tabs>
        <w:tab w:val="left" w:pos="1418"/>
      </w:tabs>
    </w:pPr>
  </w:style>
  <w:style w:type="paragraph" w:customStyle="1" w:styleId="BodyText7">
    <w:name w:val="Body Text 7"/>
    <w:basedOn w:val="BodyText"/>
    <w:qFormat/>
    <w:rsid w:val="00942A08"/>
    <w:pPr>
      <w:numPr>
        <w:numId w:val="0"/>
      </w:numPr>
      <w:tabs>
        <w:tab w:val="left" w:pos="1418"/>
      </w:tabs>
      <w:spacing w:before="100" w:after="100"/>
      <w:ind w:left="4394"/>
    </w:pPr>
    <w:rPr>
      <w:rFonts w:ascii="Arial" w:hAnsi="Arial"/>
    </w:rPr>
  </w:style>
  <w:style w:type="paragraph" w:customStyle="1" w:styleId="AppendixHeading">
    <w:name w:val="Appendix Heading"/>
    <w:basedOn w:val="BodyText1"/>
    <w:next w:val="BodyText"/>
    <w:uiPriority w:val="5"/>
    <w:rsid w:val="00942A08"/>
    <w:pPr>
      <w:numPr>
        <w:numId w:val="13"/>
      </w:numPr>
      <w:jc w:val="center"/>
    </w:pPr>
    <w:rPr>
      <w:b/>
      <w:caps/>
    </w:rPr>
  </w:style>
  <w:style w:type="paragraph" w:customStyle="1" w:styleId="SchedulePara1">
    <w:name w:val="Schedule Para 1"/>
    <w:basedOn w:val="ScheduleHeading1"/>
    <w:qFormat/>
    <w:rsid w:val="00942A08"/>
    <w:pPr>
      <w:keepNext w:val="0"/>
      <w:spacing w:before="100"/>
    </w:pPr>
    <w:rPr>
      <w:b w:val="0"/>
      <w:caps w:val="0"/>
      <w:lang w:eastAsia="en-US"/>
    </w:rPr>
  </w:style>
  <w:style w:type="paragraph" w:customStyle="1" w:styleId="SchedulePara2">
    <w:name w:val="Schedule Para 2"/>
    <w:basedOn w:val="ScheduleHeading2"/>
    <w:qFormat/>
    <w:rsid w:val="00942A08"/>
    <w:pPr>
      <w:keepNext w:val="0"/>
      <w:spacing w:before="100"/>
    </w:pPr>
    <w:rPr>
      <w:b w:val="0"/>
    </w:rPr>
  </w:style>
  <w:style w:type="paragraph" w:customStyle="1" w:styleId="SchedulePara3">
    <w:name w:val="Schedule Para 3"/>
    <w:basedOn w:val="ScheduleHeading3"/>
    <w:qFormat/>
    <w:rsid w:val="00942A08"/>
    <w:pPr>
      <w:keepNext w:val="0"/>
      <w:spacing w:before="100"/>
    </w:pPr>
    <w:rPr>
      <w:b w:val="0"/>
    </w:rPr>
  </w:style>
  <w:style w:type="paragraph" w:customStyle="1" w:styleId="SchedulePara4">
    <w:name w:val="Schedule Para 4"/>
    <w:basedOn w:val="ScheduleHeading4"/>
    <w:qFormat/>
    <w:rsid w:val="00942A08"/>
    <w:pPr>
      <w:keepNext w:val="0"/>
      <w:spacing w:before="100"/>
    </w:pPr>
    <w:rPr>
      <w:b w:val="0"/>
    </w:rPr>
  </w:style>
  <w:style w:type="paragraph" w:customStyle="1" w:styleId="SchedulePara5">
    <w:name w:val="Schedule Para 5"/>
    <w:basedOn w:val="ScheduleHeading5"/>
    <w:qFormat/>
    <w:rsid w:val="00942A08"/>
    <w:pPr>
      <w:keepNext w:val="0"/>
      <w:spacing w:before="100"/>
    </w:pPr>
    <w:rPr>
      <w:b w:val="0"/>
    </w:rPr>
  </w:style>
  <w:style w:type="paragraph" w:customStyle="1" w:styleId="SchedulePara6">
    <w:name w:val="Schedule Para 6"/>
    <w:basedOn w:val="ScheduleHeading6"/>
    <w:qFormat/>
    <w:rsid w:val="00942A08"/>
    <w:pPr>
      <w:keepNext w:val="0"/>
      <w:spacing w:before="100"/>
    </w:pPr>
    <w:rPr>
      <w:b w:val="0"/>
    </w:rPr>
  </w:style>
  <w:style w:type="paragraph" w:customStyle="1" w:styleId="SchedulePara7">
    <w:name w:val="Schedule Para 7"/>
    <w:basedOn w:val="ScheduleHeading7"/>
    <w:qFormat/>
    <w:rsid w:val="00942A08"/>
    <w:pPr>
      <w:keepNext w:val="0"/>
      <w:spacing w:before="100"/>
    </w:pPr>
    <w:rPr>
      <w:b w:val="0"/>
    </w:rPr>
  </w:style>
  <w:style w:type="paragraph" w:customStyle="1" w:styleId="ScheduleTitle">
    <w:name w:val="Schedule Title"/>
    <w:basedOn w:val="BodyText"/>
    <w:next w:val="BodyText"/>
    <w:qFormat/>
    <w:rsid w:val="00942A08"/>
    <w:pPr>
      <w:numPr>
        <w:numId w:val="14"/>
      </w:numPr>
      <w:tabs>
        <w:tab w:val="left" w:pos="1418"/>
      </w:tabs>
      <w:spacing w:before="200" w:after="100"/>
      <w:jc w:val="center"/>
    </w:pPr>
    <w:rPr>
      <w:rFonts w:ascii="Arial" w:hAnsi="Arial"/>
      <w:b/>
      <w:caps/>
      <w:lang w:eastAsia="en-US"/>
    </w:rPr>
  </w:style>
  <w:style w:type="paragraph" w:customStyle="1" w:styleId="SchedulePart">
    <w:name w:val="Schedule Part"/>
    <w:basedOn w:val="BodyText"/>
    <w:next w:val="BodyText"/>
    <w:qFormat/>
    <w:rsid w:val="00942A08"/>
    <w:pPr>
      <w:numPr>
        <w:numId w:val="15"/>
      </w:numPr>
      <w:tabs>
        <w:tab w:val="left" w:pos="1418"/>
      </w:tabs>
      <w:spacing w:before="200" w:after="100"/>
      <w:ind w:firstLine="289"/>
      <w:jc w:val="center"/>
    </w:pPr>
    <w:rPr>
      <w:rFonts w:ascii="Arial" w:hAnsi="Arial"/>
      <w:b/>
      <w:caps/>
      <w:lang w:eastAsia="en-US"/>
    </w:rPr>
  </w:style>
  <w:style w:type="paragraph" w:styleId="Caption">
    <w:name w:val="caption"/>
    <w:basedOn w:val="BodyText"/>
    <w:next w:val="BodyText"/>
    <w:uiPriority w:val="39"/>
    <w:qFormat/>
    <w:rsid w:val="00942A08"/>
    <w:pPr>
      <w:numPr>
        <w:numId w:val="0"/>
      </w:numPr>
      <w:tabs>
        <w:tab w:val="left" w:pos="1418"/>
      </w:tabs>
      <w:spacing w:before="100" w:after="100"/>
    </w:pPr>
    <w:rPr>
      <w:rFonts w:ascii="Arial Bold" w:hAnsi="Arial Bold"/>
      <w:b/>
      <w:bCs/>
      <w:szCs w:val="18"/>
    </w:rPr>
  </w:style>
  <w:style w:type="table" w:styleId="Table3Deffects1">
    <w:name w:val="Table 3D effects 1"/>
    <w:basedOn w:val="TableNormal"/>
    <w:rsid w:val="00942A08"/>
    <w:pPr>
      <w:tabs>
        <w:tab w:val="left" w:pos="709"/>
        <w:tab w:val="left" w:pos="1559"/>
        <w:tab w:val="left" w:pos="2268"/>
        <w:tab w:val="left" w:pos="2977"/>
        <w:tab w:val="left" w:pos="3686"/>
        <w:tab w:val="left" w:pos="4394"/>
        <w:tab w:val="right" w:pos="8789"/>
      </w:tabs>
      <w:spacing w:after="120"/>
    </w:pPr>
    <w:rPr>
      <w:rFonts w:ascii="Arial" w:eastAsia="Batang" w:hAnsi="Arial"/>
      <w:sz w:val="18"/>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basedOn w:val="BodyText"/>
    <w:next w:val="BodyText"/>
    <w:qFormat/>
    <w:rsid w:val="00942A08"/>
    <w:pPr>
      <w:keepNext/>
      <w:numPr>
        <w:numId w:val="0"/>
      </w:numPr>
      <w:tabs>
        <w:tab w:val="left" w:pos="1418"/>
      </w:tabs>
      <w:spacing w:before="200" w:after="100"/>
    </w:pPr>
    <w:rPr>
      <w:b/>
      <w:caps/>
    </w:rPr>
  </w:style>
  <w:style w:type="paragraph" w:styleId="EndnoteText">
    <w:name w:val="endnote text"/>
    <w:basedOn w:val="Normal"/>
    <w:link w:val="EndnoteTextChar"/>
    <w:uiPriority w:val="39"/>
    <w:semiHidden/>
    <w:rsid w:val="00942A08"/>
    <w:pPr>
      <w:spacing w:after="240"/>
    </w:pPr>
    <w:rPr>
      <w:rFonts w:ascii="Times New Roman" w:hAnsi="Times New Roman"/>
    </w:rPr>
  </w:style>
  <w:style w:type="character" w:customStyle="1" w:styleId="EndnoteTextChar">
    <w:name w:val="Endnote Text Char"/>
    <w:link w:val="EndnoteText"/>
    <w:uiPriority w:val="39"/>
    <w:semiHidden/>
    <w:rsid w:val="00942A08"/>
    <w:rPr>
      <w:sz w:val="24"/>
      <w:szCs w:val="24"/>
      <w:lang w:val="en-GB"/>
    </w:rPr>
  </w:style>
  <w:style w:type="character" w:styleId="EndnoteReference">
    <w:name w:val="endnote reference"/>
    <w:uiPriority w:val="39"/>
    <w:semiHidden/>
    <w:rsid w:val="00942A08"/>
    <w:rPr>
      <w:vertAlign w:val="superscript"/>
    </w:rPr>
  </w:style>
  <w:style w:type="character" w:customStyle="1" w:styleId="GridTable1Light1">
    <w:name w:val="Grid Table 1 Light1"/>
    <w:uiPriority w:val="33"/>
    <w:qFormat/>
    <w:rsid w:val="00942A08"/>
    <w:rPr>
      <w:b/>
      <w:bCs/>
      <w:smallCaps/>
      <w:spacing w:val="5"/>
    </w:rPr>
  </w:style>
  <w:style w:type="paragraph" w:customStyle="1" w:styleId="Bodytext50">
    <w:name w:val="Body text 5"/>
    <w:basedOn w:val="BodyText5"/>
    <w:qFormat/>
    <w:rsid w:val="00942A08"/>
    <w:pPr>
      <w:spacing w:before="0" w:after="240"/>
      <w:ind w:left="720"/>
    </w:pPr>
    <w:rPr>
      <w:rFonts w:ascii="Times New Roman" w:hAnsi="Times New Roman"/>
    </w:rPr>
  </w:style>
  <w:style w:type="paragraph" w:customStyle="1" w:styleId="GridTable31">
    <w:name w:val="Grid Table 31"/>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paragraph" w:customStyle="1" w:styleId="Bodya">
    <w:name w:val="Body (a)"/>
    <w:basedOn w:val="Normal"/>
    <w:link w:val="BodyaChar"/>
    <w:qFormat/>
    <w:rsid w:val="00942A08"/>
    <w:pPr>
      <w:numPr>
        <w:numId w:val="17"/>
      </w:numPr>
      <w:spacing w:after="240"/>
    </w:pPr>
    <w:rPr>
      <w:rFonts w:ascii="Times New Roman" w:hAnsi="Times New Roman"/>
    </w:rPr>
  </w:style>
  <w:style w:type="character" w:styleId="FollowedHyperlink">
    <w:name w:val="FollowedHyperlink"/>
    <w:uiPriority w:val="99"/>
    <w:semiHidden/>
    <w:unhideWhenUsed/>
    <w:rsid w:val="00942A08"/>
    <w:rPr>
      <w:color w:val="800080"/>
      <w:u w:val="single"/>
    </w:rPr>
  </w:style>
  <w:style w:type="character" w:customStyle="1" w:styleId="BodyaChar">
    <w:name w:val="Body (a) Char"/>
    <w:link w:val="Bodya"/>
    <w:rsid w:val="00942A08"/>
    <w:rPr>
      <w:snapToGrid w:val="0"/>
      <w:sz w:val="24"/>
      <w:szCs w:val="24"/>
      <w:lang w:val="en-GB"/>
    </w:rPr>
  </w:style>
  <w:style w:type="paragraph" w:customStyle="1" w:styleId="GridTable32">
    <w:name w:val="Grid Table 32"/>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character" w:customStyle="1" w:styleId="apple-converted-space">
    <w:name w:val="apple-converted-space"/>
    <w:rsid w:val="00942A08"/>
  </w:style>
  <w:style w:type="paragraph" w:customStyle="1" w:styleId="PlainTable32">
    <w:name w:val="Plain Table 32"/>
    <w:basedOn w:val="Normal"/>
    <w:uiPriority w:val="34"/>
    <w:qFormat/>
    <w:rsid w:val="00942A08"/>
    <w:pPr>
      <w:spacing w:after="240"/>
      <w:ind w:leftChars="200" w:left="480"/>
    </w:pPr>
    <w:rPr>
      <w:rFonts w:ascii="Times New Roman" w:hAnsi="Times New Roman"/>
    </w:rPr>
  </w:style>
  <w:style w:type="paragraph" w:customStyle="1" w:styleId="123">
    <w:name w:val="123"/>
    <w:basedOn w:val="Normal"/>
    <w:autoRedefine/>
    <w:qFormat/>
    <w:rsid w:val="00942A08"/>
    <w:pPr>
      <w:numPr>
        <w:numId w:val="18"/>
      </w:numPr>
      <w:tabs>
        <w:tab w:val="left" w:pos="709"/>
      </w:tabs>
      <w:spacing w:after="240"/>
    </w:pPr>
    <w:rPr>
      <w:rFonts w:ascii="Times New Roman" w:hAnsi="Times New Roman"/>
      <w:color w:val="000000"/>
      <w:lang w:val="en-US"/>
    </w:rPr>
  </w:style>
  <w:style w:type="paragraph" w:customStyle="1" w:styleId="Annex1">
    <w:name w:val="Annex1"/>
    <w:basedOn w:val="Normal1"/>
    <w:qFormat/>
    <w:rsid w:val="00942A08"/>
    <w:pPr>
      <w:numPr>
        <w:numId w:val="19"/>
      </w:numPr>
      <w:ind w:hanging="720"/>
    </w:pPr>
  </w:style>
  <w:style w:type="paragraph" w:customStyle="1" w:styleId="PlainTable33">
    <w:name w:val="Plain Table 33"/>
    <w:basedOn w:val="Normal"/>
    <w:uiPriority w:val="34"/>
    <w:qFormat/>
    <w:rsid w:val="00942A08"/>
    <w:pPr>
      <w:widowControl/>
      <w:tabs>
        <w:tab w:val="clear" w:pos="1418"/>
      </w:tabs>
      <w:adjustRightInd/>
      <w:snapToGrid/>
      <w:ind w:left="720"/>
      <w:contextualSpacing/>
      <w:jc w:val="left"/>
    </w:pPr>
    <w:rPr>
      <w:rFonts w:ascii="Cambria" w:eastAsia="MS Mincho" w:hAnsi="Cambria"/>
      <w:lang w:val="en-US" w:eastAsia="en-US"/>
    </w:rPr>
  </w:style>
  <w:style w:type="paragraph" w:customStyle="1" w:styleId="GridTable33">
    <w:name w:val="Grid Table 33"/>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character" w:styleId="Emphasis">
    <w:name w:val="Emphasis"/>
    <w:uiPriority w:val="20"/>
    <w:qFormat/>
    <w:rsid w:val="00942A08"/>
    <w:rPr>
      <w:i/>
      <w:iCs/>
    </w:rPr>
  </w:style>
  <w:style w:type="paragraph" w:customStyle="1" w:styleId="MediumList2-Accent41">
    <w:name w:val="Medium List 2 - Accent 41"/>
    <w:basedOn w:val="Normal"/>
    <w:uiPriority w:val="34"/>
    <w:qFormat/>
    <w:rsid w:val="00942A08"/>
    <w:pPr>
      <w:spacing w:after="240"/>
      <w:ind w:left="720"/>
    </w:pPr>
    <w:rPr>
      <w:rFonts w:ascii="Times New Roman" w:hAnsi="Times New Roman"/>
    </w:rPr>
  </w:style>
  <w:style w:type="paragraph" w:customStyle="1" w:styleId="MediumGrid1-Accent41">
    <w:name w:val="Medium Grid 1 - Accent 41"/>
    <w:basedOn w:val="Normal"/>
    <w:next w:val="Normal"/>
    <w:link w:val="MediumGrid1-Accent4Char"/>
    <w:uiPriority w:val="29"/>
    <w:qFormat/>
    <w:rsid w:val="00942A08"/>
    <w:pPr>
      <w:spacing w:afterLines="100" w:after="240"/>
      <w:ind w:left="1440"/>
    </w:pPr>
    <w:rPr>
      <w:rFonts w:ascii="Times New Roman" w:hAnsi="Times New Roman"/>
      <w:i/>
      <w:iCs/>
      <w:color w:val="000000"/>
    </w:rPr>
  </w:style>
  <w:style w:type="character" w:customStyle="1" w:styleId="MediumGrid1-Accent4Char">
    <w:name w:val="Medium Grid 1 - Accent 4 Char"/>
    <w:link w:val="MediumGrid1-Accent41"/>
    <w:uiPriority w:val="29"/>
    <w:rsid w:val="00942A08"/>
    <w:rPr>
      <w:i/>
      <w:iCs/>
      <w:color w:val="000000"/>
      <w:sz w:val="24"/>
      <w:szCs w:val="24"/>
      <w:lang w:val="en-GB"/>
    </w:rPr>
  </w:style>
  <w:style w:type="paragraph" w:customStyle="1" w:styleId="ColorfulShading-Accent31">
    <w:name w:val="Colorful Shading - Accent 31"/>
    <w:basedOn w:val="Normal"/>
    <w:uiPriority w:val="34"/>
    <w:qFormat/>
    <w:rsid w:val="00942A08"/>
    <w:pPr>
      <w:spacing w:after="240"/>
      <w:ind w:leftChars="200" w:left="480"/>
    </w:pPr>
    <w:rPr>
      <w:rFonts w:ascii="Times New Roman" w:hAnsi="Times New Roman"/>
    </w:rPr>
  </w:style>
  <w:style w:type="paragraph" w:customStyle="1" w:styleId="GridTable34">
    <w:name w:val="Grid Table 34"/>
    <w:basedOn w:val="Heading1"/>
    <w:next w:val="Normal"/>
    <w:uiPriority w:val="39"/>
    <w:unhideWhenUsed/>
    <w:qFormat/>
    <w:rsid w:val="00942A08"/>
    <w:pPr>
      <w:keepLines/>
      <w:widowControl/>
      <w:tabs>
        <w:tab w:val="clear" w:pos="1418"/>
      </w:tabs>
      <w:adjustRightInd/>
      <w:snapToGrid/>
      <w:spacing w:before="240" w:line="259" w:lineRule="auto"/>
      <w:outlineLvl w:val="9"/>
    </w:pPr>
    <w:rPr>
      <w:rFonts w:ascii="Calibri Light" w:hAnsi="Calibri Light"/>
      <w:b w:val="0"/>
      <w:color w:val="2E74B5"/>
      <w:sz w:val="32"/>
      <w:szCs w:val="32"/>
      <w:lang w:val="en-US" w:eastAsia="en-US"/>
    </w:rPr>
  </w:style>
  <w:style w:type="paragraph" w:customStyle="1" w:styleId="MediumGrid1-Accent21">
    <w:name w:val="Medium Grid 1 - Accent 21"/>
    <w:basedOn w:val="Normal"/>
    <w:uiPriority w:val="34"/>
    <w:qFormat/>
    <w:rsid w:val="00942A08"/>
    <w:pPr>
      <w:spacing w:after="240"/>
      <w:ind w:left="720"/>
    </w:pPr>
    <w:rPr>
      <w:rFonts w:ascii="Times New Roman" w:hAnsi="Times New Roman"/>
    </w:rPr>
  </w:style>
  <w:style w:type="character" w:customStyle="1" w:styleId="notranslate">
    <w:name w:val="notranslate"/>
    <w:rsid w:val="00942A08"/>
  </w:style>
  <w:style w:type="paragraph" w:customStyle="1" w:styleId="normal0">
    <w:name w:val="normal"/>
    <w:basedOn w:val="Bodytext50"/>
    <w:next w:val="NormalIndent"/>
    <w:qFormat/>
    <w:rsid w:val="00942A08"/>
  </w:style>
  <w:style w:type="character" w:customStyle="1" w:styleId="FootnoteTextChar1">
    <w:name w:val="Footnote Text Char1"/>
    <w:uiPriority w:val="99"/>
    <w:rsid w:val="00942A08"/>
    <w:rPr>
      <w:lang w:eastAsia="zh-TW"/>
    </w:rPr>
  </w:style>
  <w:style w:type="paragraph" w:styleId="ListParagraph">
    <w:name w:val="List Paragraph"/>
    <w:basedOn w:val="Normal"/>
    <w:uiPriority w:val="34"/>
    <w:qFormat/>
    <w:rsid w:val="00E178FC"/>
    <w:pPr>
      <w:ind w:left="720"/>
      <w:contextualSpacing/>
    </w:pPr>
  </w:style>
  <w:style w:type="paragraph" w:styleId="Title">
    <w:name w:val="Title"/>
    <w:basedOn w:val="Normal"/>
    <w:next w:val="Normal"/>
    <w:link w:val="TitleChar"/>
    <w:uiPriority w:val="10"/>
    <w:qFormat/>
    <w:rsid w:val="00E178FC"/>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link w:val="Title"/>
    <w:uiPriority w:val="10"/>
    <w:rsid w:val="00E178FC"/>
    <w:rPr>
      <w:rFonts w:ascii="Cambria" w:hAnsi="Cambria"/>
      <w:spacing w:val="5"/>
      <w:sz w:val="52"/>
      <w:szCs w:val="52"/>
      <w:lang w:val="en-GB" w:bidi="en-US"/>
    </w:rPr>
  </w:style>
  <w:style w:type="character" w:customStyle="1" w:styleId="subsectionno">
    <w:name w:val="subsectionno"/>
    <w:rsid w:val="00E178FC"/>
  </w:style>
  <w:style w:type="character" w:customStyle="1" w:styleId="text">
    <w:name w:val="text"/>
    <w:rsid w:val="00E178FC"/>
  </w:style>
  <w:style w:type="paragraph" w:customStyle="1" w:styleId="ParaLevel1">
    <w:name w:val="ParaLevel1"/>
    <w:basedOn w:val="Normal"/>
    <w:uiPriority w:val="99"/>
    <w:rsid w:val="00E178FC"/>
    <w:pPr>
      <w:widowControl/>
      <w:numPr>
        <w:numId w:val="21"/>
      </w:numPr>
      <w:tabs>
        <w:tab w:val="clear" w:pos="720"/>
        <w:tab w:val="clear" w:pos="1418"/>
      </w:tabs>
      <w:suppressAutoHyphens/>
      <w:adjustRightInd/>
      <w:snapToGrid/>
      <w:spacing w:before="240" w:after="240"/>
      <w:ind w:left="0" w:firstLine="0"/>
      <w:outlineLvl w:val="0"/>
    </w:pPr>
    <w:rPr>
      <w:rFonts w:ascii="Times New Roman" w:eastAsia="MS Mincho" w:hAnsi="Times New Roman"/>
      <w:szCs w:val="20"/>
      <w:lang w:eastAsia="en-US"/>
    </w:rPr>
  </w:style>
  <w:style w:type="paragraph" w:customStyle="1" w:styleId="ParaLevel2">
    <w:name w:val="ParaLevel2"/>
    <w:basedOn w:val="Normal"/>
    <w:uiPriority w:val="99"/>
    <w:rsid w:val="00E178FC"/>
    <w:pPr>
      <w:widowControl/>
      <w:numPr>
        <w:ilvl w:val="1"/>
        <w:numId w:val="21"/>
      </w:numPr>
      <w:tabs>
        <w:tab w:val="left" w:pos="1418"/>
      </w:tabs>
      <w:suppressAutoHyphens/>
      <w:adjustRightInd/>
      <w:snapToGrid/>
      <w:spacing w:before="240" w:after="240"/>
      <w:ind w:left="709" w:firstLine="0"/>
      <w:outlineLvl w:val="1"/>
    </w:pPr>
    <w:rPr>
      <w:rFonts w:ascii="Times New Roman" w:eastAsia="MS Mincho" w:hAnsi="Times New Roman"/>
      <w:szCs w:val="20"/>
      <w:lang w:eastAsia="en-US"/>
    </w:rPr>
  </w:style>
  <w:style w:type="paragraph" w:customStyle="1" w:styleId="ParaLevel3">
    <w:name w:val="ParaLevel3"/>
    <w:basedOn w:val="Normal"/>
    <w:uiPriority w:val="99"/>
    <w:rsid w:val="00E178FC"/>
    <w:pPr>
      <w:widowControl/>
      <w:numPr>
        <w:ilvl w:val="2"/>
        <w:numId w:val="21"/>
      </w:numPr>
      <w:tabs>
        <w:tab w:val="clear" w:pos="1418"/>
        <w:tab w:val="clear" w:pos="2127"/>
      </w:tabs>
      <w:suppressAutoHyphens/>
      <w:adjustRightInd/>
      <w:snapToGrid/>
      <w:spacing w:before="240" w:after="240"/>
      <w:ind w:left="709" w:firstLine="0"/>
      <w:outlineLvl w:val="2"/>
    </w:pPr>
    <w:rPr>
      <w:rFonts w:ascii="Times New Roman" w:eastAsia="MS Mincho" w:hAnsi="Times New Roman"/>
      <w:szCs w:val="20"/>
      <w:lang w:eastAsia="en-US"/>
    </w:rPr>
  </w:style>
  <w:style w:type="paragraph" w:customStyle="1" w:styleId="ParaLevel4">
    <w:name w:val="ParaLevel4"/>
    <w:basedOn w:val="Normal"/>
    <w:uiPriority w:val="99"/>
    <w:rsid w:val="00E178FC"/>
    <w:pPr>
      <w:widowControl/>
      <w:numPr>
        <w:ilvl w:val="3"/>
        <w:numId w:val="21"/>
      </w:numPr>
      <w:tabs>
        <w:tab w:val="clear" w:pos="1418"/>
        <w:tab w:val="clear" w:pos="3207"/>
        <w:tab w:val="num" w:pos="2836"/>
      </w:tabs>
      <w:suppressAutoHyphens/>
      <w:adjustRightInd/>
      <w:snapToGrid/>
      <w:spacing w:before="240" w:after="240"/>
      <w:ind w:left="709" w:firstLine="0"/>
      <w:outlineLvl w:val="3"/>
    </w:pPr>
    <w:rPr>
      <w:rFonts w:ascii="Times New Roman" w:eastAsia="MS Mincho" w:hAnsi="Times New Roman"/>
      <w:szCs w:val="20"/>
      <w:lang w:eastAsia="en-US"/>
    </w:rPr>
  </w:style>
  <w:style w:type="paragraph" w:customStyle="1" w:styleId="ParaLevel5">
    <w:name w:val="ParaLevel5"/>
    <w:basedOn w:val="Normal"/>
    <w:uiPriority w:val="99"/>
    <w:rsid w:val="00E178FC"/>
    <w:pPr>
      <w:widowControl/>
      <w:numPr>
        <w:ilvl w:val="4"/>
        <w:numId w:val="21"/>
      </w:numPr>
      <w:tabs>
        <w:tab w:val="clear" w:pos="1418"/>
        <w:tab w:val="clear" w:pos="3545"/>
      </w:tabs>
      <w:suppressAutoHyphens/>
      <w:adjustRightInd/>
      <w:snapToGrid/>
      <w:spacing w:before="240" w:after="240"/>
      <w:ind w:left="709" w:firstLine="0"/>
      <w:outlineLvl w:val="4"/>
    </w:pPr>
    <w:rPr>
      <w:rFonts w:ascii="Times New Roman" w:eastAsia="MS Mincho" w:hAnsi="Times New Roman"/>
      <w:szCs w:val="20"/>
      <w:lang w:eastAsia="en-US"/>
    </w:rPr>
  </w:style>
  <w:style w:type="paragraph" w:customStyle="1" w:styleId="ParaLevel6">
    <w:name w:val="ParaLevel6"/>
    <w:basedOn w:val="Normal"/>
    <w:uiPriority w:val="99"/>
    <w:rsid w:val="00E178FC"/>
    <w:pPr>
      <w:widowControl/>
      <w:numPr>
        <w:ilvl w:val="5"/>
        <w:numId w:val="21"/>
      </w:numPr>
      <w:tabs>
        <w:tab w:val="clear" w:pos="1418"/>
        <w:tab w:val="clear" w:pos="4625"/>
        <w:tab w:val="num" w:pos="4254"/>
      </w:tabs>
      <w:suppressAutoHyphens/>
      <w:adjustRightInd/>
      <w:snapToGrid/>
      <w:spacing w:before="240" w:after="240"/>
      <w:ind w:left="709" w:hanging="32767"/>
      <w:outlineLvl w:val="5"/>
    </w:pPr>
    <w:rPr>
      <w:rFonts w:ascii="Times New Roman" w:eastAsia="MS Mincho" w:hAnsi="Times New Roman"/>
      <w:szCs w:val="20"/>
      <w:lang w:eastAsia="en-US"/>
    </w:rPr>
  </w:style>
  <w:style w:type="paragraph" w:customStyle="1" w:styleId="ParaLevel7">
    <w:name w:val="ParaLevel7"/>
    <w:basedOn w:val="Normal"/>
    <w:uiPriority w:val="99"/>
    <w:rsid w:val="00E178FC"/>
    <w:pPr>
      <w:widowControl/>
      <w:numPr>
        <w:ilvl w:val="6"/>
        <w:numId w:val="21"/>
      </w:numPr>
      <w:tabs>
        <w:tab w:val="clear" w:pos="1418"/>
        <w:tab w:val="clear" w:pos="4963"/>
      </w:tabs>
      <w:suppressAutoHyphens/>
      <w:adjustRightInd/>
      <w:snapToGrid/>
      <w:spacing w:before="240" w:after="240"/>
      <w:ind w:left="709" w:hanging="32767"/>
      <w:outlineLvl w:val="6"/>
    </w:pPr>
    <w:rPr>
      <w:rFonts w:ascii="Times New Roman" w:eastAsia="MS Mincho" w:hAnsi="Times New Roman"/>
      <w:szCs w:val="20"/>
      <w:lang w:eastAsia="en-US"/>
    </w:rPr>
  </w:style>
  <w:style w:type="paragraph" w:customStyle="1" w:styleId="ParaLevel8">
    <w:name w:val="ParaLevel8"/>
    <w:basedOn w:val="Normal"/>
    <w:uiPriority w:val="99"/>
    <w:rsid w:val="00E178FC"/>
    <w:pPr>
      <w:widowControl/>
      <w:numPr>
        <w:ilvl w:val="7"/>
        <w:numId w:val="21"/>
      </w:numPr>
      <w:tabs>
        <w:tab w:val="clear" w:pos="1418"/>
        <w:tab w:val="clear" w:pos="6043"/>
        <w:tab w:val="num" w:pos="5672"/>
      </w:tabs>
      <w:suppressAutoHyphens/>
      <w:adjustRightInd/>
      <w:snapToGrid/>
      <w:spacing w:before="240" w:after="240"/>
      <w:ind w:left="709" w:hanging="32767"/>
      <w:outlineLvl w:val="7"/>
    </w:pPr>
    <w:rPr>
      <w:rFonts w:ascii="Times New Roman" w:eastAsia="MS Mincho" w:hAnsi="Times New Roman"/>
      <w:szCs w:val="20"/>
      <w:lang w:eastAsia="en-US"/>
    </w:rPr>
  </w:style>
  <w:style w:type="paragraph" w:customStyle="1" w:styleId="ParaLevel9">
    <w:name w:val="ParaLevel9"/>
    <w:basedOn w:val="Normal"/>
    <w:uiPriority w:val="99"/>
    <w:rsid w:val="00E178FC"/>
    <w:pPr>
      <w:widowControl/>
      <w:numPr>
        <w:ilvl w:val="8"/>
        <w:numId w:val="21"/>
      </w:numPr>
      <w:tabs>
        <w:tab w:val="clear" w:pos="1418"/>
        <w:tab w:val="clear" w:pos="6381"/>
      </w:tabs>
      <w:suppressAutoHyphens/>
      <w:adjustRightInd/>
      <w:snapToGrid/>
      <w:spacing w:before="240" w:after="240"/>
      <w:ind w:left="709" w:hanging="32767"/>
      <w:outlineLvl w:val="8"/>
    </w:pPr>
    <w:rPr>
      <w:rFonts w:ascii="Times New Roman" w:eastAsia="MS Mincho" w:hAnsi="Times New Roman"/>
      <w:szCs w:val="20"/>
      <w:lang w:eastAsia="en-US"/>
    </w:rPr>
  </w:style>
  <w:style w:type="paragraph" w:customStyle="1" w:styleId="clause1">
    <w:name w:val="clause1"/>
    <w:basedOn w:val="Normal"/>
    <w:rsid w:val="003A4A30"/>
    <w:pPr>
      <w:widowControl/>
      <w:spacing w:before="200" w:line="220" w:lineRule="atLeast"/>
      <w:ind w:left="1872" w:hanging="1872"/>
    </w:pPr>
    <w:rPr>
      <w:rFonts w:ascii="Times New Roman" w:hAnsi="Times New Roman"/>
      <w:sz w:val="20"/>
      <w:szCs w:val="20"/>
    </w:rPr>
  </w:style>
  <w:style w:type="paragraph" w:customStyle="1" w:styleId="loose">
    <w:name w:val="loose"/>
    <w:basedOn w:val="Normal"/>
    <w:rsid w:val="003A4A30"/>
    <w:pPr>
      <w:spacing w:before="100" w:beforeAutospacing="1" w:after="100" w:afterAutospacing="1"/>
    </w:pPr>
    <w:rPr>
      <w:rFonts w:ascii="Times" w:hAnsi="Times"/>
      <w:sz w:val="20"/>
      <w:szCs w:val="20"/>
      <w:lang w:val="en-HK"/>
    </w:rPr>
  </w:style>
  <w:style w:type="character" w:customStyle="1" w:styleId="italic">
    <w:name w:val="italic"/>
    <w:rsid w:val="003A4A30"/>
  </w:style>
  <w:style w:type="paragraph" w:styleId="Quote">
    <w:name w:val="Quote"/>
    <w:aliases w:val="quote"/>
    <w:basedOn w:val="Normal"/>
    <w:link w:val="QuoteChar"/>
    <w:uiPriority w:val="29"/>
    <w:qFormat/>
    <w:rsid w:val="003A4A30"/>
    <w:pPr>
      <w:spacing w:before="100" w:beforeAutospacing="1" w:after="100" w:afterAutospacing="1"/>
    </w:pPr>
    <w:rPr>
      <w:rFonts w:ascii="Times" w:hAnsi="Times"/>
      <w:sz w:val="20"/>
      <w:szCs w:val="20"/>
      <w:lang w:val="en-HK"/>
    </w:rPr>
  </w:style>
  <w:style w:type="character" w:customStyle="1" w:styleId="QuoteChar">
    <w:name w:val="Quote Char"/>
    <w:aliases w:val="quote Char"/>
    <w:link w:val="Quote"/>
    <w:uiPriority w:val="29"/>
    <w:rsid w:val="003A4A30"/>
    <w:rPr>
      <w:rFonts w:ascii="Times" w:hAnsi="Times"/>
      <w:lang w:val="en-HK"/>
    </w:rPr>
  </w:style>
  <w:style w:type="paragraph" w:styleId="Revision">
    <w:name w:val="Revision"/>
    <w:hidden/>
    <w:uiPriority w:val="99"/>
    <w:semiHidden/>
    <w:rsid w:val="003A4A30"/>
    <w:rPr>
      <w:rFonts w:ascii="Cambria" w:eastAsia="MS Mincho" w:hAnsi="Cambria"/>
      <w:sz w:val="24"/>
      <w:szCs w:val="24"/>
      <w:lang w:val="en-US" w:eastAsia="en-US"/>
    </w:rPr>
  </w:style>
  <w:style w:type="paragraph" w:styleId="Subtitle">
    <w:name w:val="Subtitle"/>
    <w:basedOn w:val="Normal"/>
    <w:next w:val="Normal"/>
    <w:link w:val="SubtitleChar"/>
    <w:uiPriority w:val="11"/>
    <w:qFormat/>
    <w:rsid w:val="00F1307D"/>
    <w:pPr>
      <w:tabs>
        <w:tab w:val="clear" w:pos="1418"/>
      </w:tabs>
      <w:adjustRightInd/>
      <w:snapToGrid/>
      <w:spacing w:after="60"/>
      <w:jc w:val="center"/>
      <w:outlineLvl w:val="1"/>
    </w:pPr>
    <w:rPr>
      <w:rFonts w:ascii="Calibri" w:hAnsi="Calibri"/>
      <w:i/>
      <w:iCs/>
      <w:kern w:val="2"/>
      <w:lang w:val="en-US"/>
    </w:rPr>
  </w:style>
  <w:style w:type="character" w:customStyle="1" w:styleId="SubtitleChar">
    <w:name w:val="Subtitle Char"/>
    <w:link w:val="Subtitle"/>
    <w:uiPriority w:val="11"/>
    <w:rsid w:val="00F1307D"/>
    <w:rPr>
      <w:rFonts w:ascii="Calibri" w:hAnsi="Calibri"/>
      <w:i/>
      <w:iCs/>
      <w:kern w:val="2"/>
      <w:sz w:val="24"/>
      <w:szCs w:val="24"/>
    </w:rPr>
  </w:style>
  <w:style w:type="character" w:customStyle="1" w:styleId="BlockTextChar">
    <w:name w:val="Block Text Char"/>
    <w:link w:val="BlockText"/>
    <w:rsid w:val="008D1C0B"/>
    <w:rPr>
      <w:rFonts w:ascii="Arial" w:hAnsi="Arial"/>
      <w:i/>
      <w:snapToGrid w:val="0"/>
      <w:sz w:val="24"/>
      <w:szCs w:val="24"/>
      <w:lang w:val="en-GB"/>
    </w:rPr>
  </w:style>
  <w:style w:type="paragraph" w:styleId="NoSpacing">
    <w:name w:val="No Spacing"/>
    <w:uiPriority w:val="1"/>
    <w:qFormat/>
    <w:rsid w:val="00DA7492"/>
    <w:pPr>
      <w:snapToGrid w:val="0"/>
    </w:pPr>
    <w:rPr>
      <w:rFonts w:ascii="Arial" w:hAnsi="Arial"/>
      <w:kern w:val="2"/>
      <w:sz w:val="24"/>
      <w:szCs w:val="24"/>
      <w:lang w:val="en-US"/>
    </w:rPr>
  </w:style>
  <w:style w:type="paragraph" w:customStyle="1" w:styleId="subprov1">
    <w:name w:val="subprov1"/>
    <w:basedOn w:val="Normal"/>
    <w:rsid w:val="00DA7492"/>
    <w:pPr>
      <w:widowControl/>
      <w:tabs>
        <w:tab w:val="clear" w:pos="1418"/>
      </w:tabs>
      <w:adjustRightInd/>
      <w:spacing w:before="83" w:after="216" w:line="288" w:lineRule="atLeast"/>
    </w:pPr>
    <w:rPr>
      <w:rFonts w:ascii="PMingLiU" w:hAnsi="PMingLiU" w:cs="PMingLiU"/>
      <w:snapToGrid/>
    </w:rPr>
  </w:style>
  <w:style w:type="character" w:customStyle="1" w:styleId="Char">
    <w:name w:val="Char"/>
    <w:rsid w:val="00DA7492"/>
    <w:rPr>
      <w:rFonts w:ascii="Arial" w:eastAsia="Arial" w:hAnsi="Arial"/>
      <w:i/>
      <w:kern w:val="2"/>
      <w:sz w:val="24"/>
      <w:szCs w:val="24"/>
      <w:lang w:val="en-GB" w:eastAsia="zh-TW" w:bidi="ar-SA"/>
    </w:rPr>
  </w:style>
  <w:style w:type="character" w:customStyle="1" w:styleId="StandardChar">
    <w:name w:val="Standard Char"/>
    <w:link w:val="Standard"/>
    <w:locked/>
    <w:rsid w:val="00D37010"/>
    <w:rPr>
      <w:rFonts w:ascii="Arial" w:hAnsi="Arial" w:cs="Arial"/>
      <w:sz w:val="22"/>
      <w:szCs w:val="24"/>
      <w:lang w:val="en-NZ" w:eastAsia="en-US"/>
    </w:rPr>
  </w:style>
  <w:style w:type="paragraph" w:customStyle="1" w:styleId="Standard">
    <w:name w:val="Standard"/>
    <w:link w:val="StandardChar"/>
    <w:qFormat/>
    <w:rsid w:val="00D37010"/>
    <w:pPr>
      <w:spacing w:after="200" w:line="280" w:lineRule="atLeast"/>
    </w:pPr>
    <w:rPr>
      <w:rFonts w:ascii="Arial" w:hAnsi="Arial" w:cs="Arial"/>
      <w:sz w:val="22"/>
      <w:szCs w:val="24"/>
      <w:lang w:val="en-NZ" w:eastAsia="en-US"/>
    </w:rPr>
  </w:style>
  <w:style w:type="character" w:styleId="HTMLDefinition">
    <w:name w:val="HTML Definition"/>
    <w:uiPriority w:val="99"/>
    <w:semiHidden/>
    <w:unhideWhenUsed/>
    <w:rsid w:val="00D37010"/>
    <w:rPr>
      <w:i/>
      <w:iCs/>
    </w:rPr>
  </w:style>
  <w:style w:type="character" w:customStyle="1" w:styleId="spc1">
    <w:name w:val="spc1"/>
    <w:rsid w:val="00D37010"/>
    <w:rPr>
      <w:strike w:val="0"/>
      <w:dstrike w:val="0"/>
      <w:u w:val="none"/>
      <w:effect w:val="none"/>
    </w:rPr>
  </w:style>
  <w:style w:type="paragraph" w:customStyle="1" w:styleId="text1">
    <w:name w:val="text1"/>
    <w:basedOn w:val="Normal"/>
    <w:rsid w:val="00D37010"/>
    <w:pPr>
      <w:widowControl/>
      <w:tabs>
        <w:tab w:val="clear" w:pos="1418"/>
      </w:tabs>
      <w:adjustRightInd/>
      <w:spacing w:line="288" w:lineRule="atLeast"/>
    </w:pPr>
    <w:rPr>
      <w:rFonts w:ascii="Times New Roman" w:eastAsia="Times New Roman" w:hAnsi="Times New Roman"/>
      <w:snapToGrid/>
      <w:color w:val="000000"/>
    </w:rPr>
  </w:style>
  <w:style w:type="paragraph" w:customStyle="1" w:styleId="legclearfix2">
    <w:name w:val="legclearfix2"/>
    <w:basedOn w:val="Normal"/>
    <w:rsid w:val="00D37010"/>
    <w:pPr>
      <w:widowControl/>
      <w:shd w:val="clear" w:color="auto" w:fill="FFFFFF"/>
      <w:tabs>
        <w:tab w:val="clear" w:pos="1418"/>
      </w:tabs>
      <w:adjustRightInd/>
      <w:spacing w:after="120" w:line="360" w:lineRule="atLeast"/>
    </w:pPr>
    <w:rPr>
      <w:rFonts w:ascii="Times New Roman" w:eastAsia="Times New Roman" w:hAnsi="Times New Roman"/>
      <w:snapToGrid/>
      <w:color w:val="000000"/>
      <w:sz w:val="19"/>
      <w:szCs w:val="19"/>
    </w:rPr>
  </w:style>
  <w:style w:type="character" w:customStyle="1" w:styleId="legds2">
    <w:name w:val="legds2"/>
    <w:rsid w:val="00D37010"/>
    <w:rPr>
      <w:vanish w:val="0"/>
      <w:webHidden w:val="0"/>
      <w:specVanish w:val="0"/>
    </w:rPr>
  </w:style>
  <w:style w:type="character" w:customStyle="1" w:styleId="legchangedelimiter2">
    <w:name w:val="legchangedelimiter2"/>
    <w:rsid w:val="00D37010"/>
    <w:rPr>
      <w:b/>
      <w:bCs/>
      <w:i w:val="0"/>
      <w:iCs w:val="0"/>
      <w:color w:val="000000"/>
      <w:sz w:val="34"/>
      <w:szCs w:val="34"/>
    </w:rPr>
  </w:style>
  <w:style w:type="character" w:customStyle="1" w:styleId="legaddition5">
    <w:name w:val="legaddition5"/>
    <w:rsid w:val="00D3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0076">
      <w:bodyDiv w:val="1"/>
      <w:marLeft w:val="0"/>
      <w:marRight w:val="0"/>
      <w:marTop w:val="0"/>
      <w:marBottom w:val="0"/>
      <w:divBdr>
        <w:top w:val="none" w:sz="0" w:space="0" w:color="auto"/>
        <w:left w:val="none" w:sz="0" w:space="0" w:color="auto"/>
        <w:bottom w:val="none" w:sz="0" w:space="0" w:color="auto"/>
        <w:right w:val="none" w:sz="0" w:space="0" w:color="auto"/>
      </w:divBdr>
    </w:div>
    <w:div w:id="610549220">
      <w:bodyDiv w:val="1"/>
      <w:marLeft w:val="0"/>
      <w:marRight w:val="0"/>
      <w:marTop w:val="0"/>
      <w:marBottom w:val="0"/>
      <w:divBdr>
        <w:top w:val="none" w:sz="0" w:space="0" w:color="auto"/>
        <w:left w:val="none" w:sz="0" w:space="0" w:color="auto"/>
        <w:bottom w:val="none" w:sz="0" w:space="0" w:color="auto"/>
        <w:right w:val="none" w:sz="0" w:space="0" w:color="auto"/>
      </w:divBdr>
    </w:div>
    <w:div w:id="639193057">
      <w:bodyDiv w:val="1"/>
      <w:marLeft w:val="0"/>
      <w:marRight w:val="0"/>
      <w:marTop w:val="0"/>
      <w:marBottom w:val="0"/>
      <w:divBdr>
        <w:top w:val="none" w:sz="0" w:space="0" w:color="auto"/>
        <w:left w:val="none" w:sz="0" w:space="0" w:color="auto"/>
        <w:bottom w:val="none" w:sz="0" w:space="0" w:color="auto"/>
        <w:right w:val="none" w:sz="0" w:space="0" w:color="auto"/>
      </w:divBdr>
    </w:div>
    <w:div w:id="1257978538">
      <w:bodyDiv w:val="1"/>
      <w:marLeft w:val="0"/>
      <w:marRight w:val="0"/>
      <w:marTop w:val="0"/>
      <w:marBottom w:val="0"/>
      <w:divBdr>
        <w:top w:val="none" w:sz="0" w:space="0" w:color="auto"/>
        <w:left w:val="none" w:sz="0" w:space="0" w:color="auto"/>
        <w:bottom w:val="none" w:sz="0" w:space="0" w:color="auto"/>
        <w:right w:val="none" w:sz="0" w:space="0" w:color="auto"/>
      </w:divBdr>
    </w:div>
    <w:div w:id="1554345493">
      <w:bodyDiv w:val="1"/>
      <w:marLeft w:val="0"/>
      <w:marRight w:val="0"/>
      <w:marTop w:val="0"/>
      <w:marBottom w:val="0"/>
      <w:divBdr>
        <w:top w:val="none" w:sz="0" w:space="0" w:color="auto"/>
        <w:left w:val="none" w:sz="0" w:space="0" w:color="auto"/>
        <w:bottom w:val="none" w:sz="0" w:space="0" w:color="auto"/>
        <w:right w:val="none" w:sz="0" w:space="0" w:color="auto"/>
      </w:divBdr>
      <w:divsChild>
        <w:div w:id="828252875">
          <w:marLeft w:val="0"/>
          <w:marRight w:val="0"/>
          <w:marTop w:val="0"/>
          <w:marBottom w:val="0"/>
          <w:divBdr>
            <w:top w:val="none" w:sz="0" w:space="0" w:color="auto"/>
            <w:left w:val="none" w:sz="0" w:space="0" w:color="auto"/>
            <w:bottom w:val="none" w:sz="0" w:space="0" w:color="auto"/>
            <w:right w:val="none" w:sz="0" w:space="0" w:color="auto"/>
          </w:divBdr>
          <w:divsChild>
            <w:div w:id="1096907109">
              <w:marLeft w:val="0"/>
              <w:marRight w:val="0"/>
              <w:marTop w:val="0"/>
              <w:marBottom w:val="0"/>
              <w:divBdr>
                <w:top w:val="none" w:sz="0" w:space="0" w:color="auto"/>
                <w:left w:val="none" w:sz="0" w:space="0" w:color="auto"/>
                <w:bottom w:val="none" w:sz="0" w:space="0" w:color="auto"/>
                <w:right w:val="none" w:sz="0" w:space="0" w:color="auto"/>
              </w:divBdr>
              <w:divsChild>
                <w:div w:id="186720173">
                  <w:marLeft w:val="0"/>
                  <w:marRight w:val="0"/>
                  <w:marTop w:val="0"/>
                  <w:marBottom w:val="0"/>
                  <w:divBdr>
                    <w:top w:val="none" w:sz="0" w:space="0" w:color="auto"/>
                    <w:left w:val="none" w:sz="0" w:space="0" w:color="auto"/>
                    <w:bottom w:val="none" w:sz="0" w:space="0" w:color="auto"/>
                    <w:right w:val="none" w:sz="0" w:space="0" w:color="auto"/>
                  </w:divBdr>
                  <w:divsChild>
                    <w:div w:id="449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4121">
      <w:bodyDiv w:val="1"/>
      <w:marLeft w:val="0"/>
      <w:marRight w:val="0"/>
      <w:marTop w:val="0"/>
      <w:marBottom w:val="0"/>
      <w:divBdr>
        <w:top w:val="none" w:sz="0" w:space="0" w:color="auto"/>
        <w:left w:val="none" w:sz="0" w:space="0" w:color="auto"/>
        <w:bottom w:val="none" w:sz="0" w:space="0" w:color="auto"/>
        <w:right w:val="none" w:sz="0" w:space="0" w:color="auto"/>
      </w:divBdr>
      <w:divsChild>
        <w:div w:id="202789900">
          <w:marLeft w:val="0"/>
          <w:marRight w:val="0"/>
          <w:marTop w:val="0"/>
          <w:marBottom w:val="0"/>
          <w:divBdr>
            <w:top w:val="none" w:sz="0" w:space="0" w:color="auto"/>
            <w:left w:val="none" w:sz="0" w:space="0" w:color="auto"/>
            <w:bottom w:val="none" w:sz="0" w:space="0" w:color="auto"/>
            <w:right w:val="none" w:sz="0" w:space="0" w:color="auto"/>
          </w:divBdr>
          <w:divsChild>
            <w:div w:id="983049426">
              <w:marLeft w:val="0"/>
              <w:marRight w:val="0"/>
              <w:marTop w:val="0"/>
              <w:marBottom w:val="0"/>
              <w:divBdr>
                <w:top w:val="none" w:sz="0" w:space="0" w:color="auto"/>
                <w:left w:val="none" w:sz="0" w:space="0" w:color="auto"/>
                <w:bottom w:val="none" w:sz="0" w:space="0" w:color="auto"/>
                <w:right w:val="none" w:sz="0" w:space="0" w:color="auto"/>
              </w:divBdr>
              <w:divsChild>
                <w:div w:id="1808888831">
                  <w:marLeft w:val="0"/>
                  <w:marRight w:val="0"/>
                  <w:marTop w:val="0"/>
                  <w:marBottom w:val="0"/>
                  <w:divBdr>
                    <w:top w:val="none" w:sz="0" w:space="0" w:color="auto"/>
                    <w:left w:val="none" w:sz="0" w:space="0" w:color="auto"/>
                    <w:bottom w:val="none" w:sz="0" w:space="0" w:color="auto"/>
                    <w:right w:val="none" w:sz="0" w:space="0" w:color="auto"/>
                  </w:divBdr>
                  <w:divsChild>
                    <w:div w:id="93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2817">
      <w:bodyDiv w:val="1"/>
      <w:marLeft w:val="0"/>
      <w:marRight w:val="0"/>
      <w:marTop w:val="0"/>
      <w:marBottom w:val="0"/>
      <w:divBdr>
        <w:top w:val="none" w:sz="0" w:space="0" w:color="auto"/>
        <w:left w:val="none" w:sz="0" w:space="0" w:color="auto"/>
        <w:bottom w:val="none" w:sz="0" w:space="0" w:color="auto"/>
        <w:right w:val="none" w:sz="0" w:space="0" w:color="auto"/>
      </w:divBdr>
    </w:div>
    <w:div w:id="20328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microsoft.com/office/2007/relationships/stylesWithEffects" Target="stylesWithEffect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aac.gov.cn/xxgk/2017-03/29/content_1704.htm" TargetMode="External"/><Relationship Id="rId3" Type="http://schemas.openxmlformats.org/officeDocument/2006/relationships/hyperlink" Target="http://www.aiim.org/About-Section/About-Us" TargetMode="External"/><Relationship Id="rId7" Type="http://schemas.openxmlformats.org/officeDocument/2006/relationships/hyperlink" Target="http://records.archives.govt.nz/resources-and-guides/" TargetMode="External"/><Relationship Id="rId2" Type="http://schemas.openxmlformats.org/officeDocument/2006/relationships/hyperlink" Target="http://www.grs.gov.hk/ws/english/engimages/GRS_Annual_Report_2015_(Eng).pdf" TargetMode="External"/><Relationship Id="rId1" Type="http://schemas.openxmlformats.org/officeDocument/2006/relationships/hyperlink" Target="http://www.grs.gov.hk/pdf/Information_note_E.pdf" TargetMode="External"/><Relationship Id="rId6" Type="http://schemas.openxmlformats.org/officeDocument/2006/relationships/hyperlink" Target="https://records.archives.govt.nz/assets/Guidance-new-standard/16-Fm6-Deferral-of-Transfer-Agreement-Form.pdf" TargetMode="External"/><Relationship Id="rId5" Type="http://schemas.openxmlformats.org/officeDocument/2006/relationships/hyperlink" Target="http://www.grs.gov.hk/en/hksar_government_administrative_guidelines_on_record%20management.html" TargetMode="External"/><Relationship Id="rId4" Type="http://schemas.openxmlformats.org/officeDocument/2006/relationships/hyperlink" Target="http://grs.host.ccgo.hksarg/file/2.3.10_Guidelines_Mapping_out_impl_ERKS_201312_Full.pdf" TargetMode="External"/><Relationship Id="rId9" Type="http://schemas.openxmlformats.org/officeDocument/2006/relationships/hyperlink" Target="http://www.saac.gov.cn/xxgk/2010-02/05/content_154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19E8-A7B0-4F75-A923-E33A46D8E06B}">
  <ds:schemaRefs>
    <ds:schemaRef ds:uri="http://schemas.openxmlformats.org/officeDocument/2006/bibliography"/>
  </ds:schemaRefs>
</ds:datastoreItem>
</file>

<file path=customXml/itemProps2.xml><?xml version="1.0" encoding="utf-8"?>
<ds:datastoreItem xmlns:ds="http://schemas.openxmlformats.org/officeDocument/2006/customXml" ds:itemID="{14525C33-B800-4C54-9C64-3C93A5C8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0</TotalTime>
  <Pages>188</Pages>
  <Words>48635</Words>
  <Characters>277225</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lpstr>
    </vt:vector>
  </TitlesOfParts>
  <Company>SIR OSWALD'S CHAMBERS</Company>
  <LinksUpToDate>false</LinksUpToDate>
  <CharactersWithSpaces>325210</CharactersWithSpaces>
  <SharedDoc>false</SharedDoc>
  <HLinks>
    <vt:vector size="54" baseType="variant">
      <vt:variant>
        <vt:i4>6357081</vt:i4>
      </vt:variant>
      <vt:variant>
        <vt:i4>24</vt:i4>
      </vt:variant>
      <vt:variant>
        <vt:i4>0</vt:i4>
      </vt:variant>
      <vt:variant>
        <vt:i4>5</vt:i4>
      </vt:variant>
      <vt:variant>
        <vt:lpwstr>http://www.saac.gov.cn/xxgk/2010-02/05/content_1541.htm</vt:lpwstr>
      </vt:variant>
      <vt:variant>
        <vt:lpwstr/>
      </vt:variant>
      <vt:variant>
        <vt:i4>7209053</vt:i4>
      </vt:variant>
      <vt:variant>
        <vt:i4>21</vt:i4>
      </vt:variant>
      <vt:variant>
        <vt:i4>0</vt:i4>
      </vt:variant>
      <vt:variant>
        <vt:i4>5</vt:i4>
      </vt:variant>
      <vt:variant>
        <vt:lpwstr>http://www.saac.gov.cn/xxgk/2017-03/29/content_1704.htm</vt:lpwstr>
      </vt:variant>
      <vt:variant>
        <vt:lpwstr/>
      </vt:variant>
      <vt:variant>
        <vt:i4>5242905</vt:i4>
      </vt:variant>
      <vt:variant>
        <vt:i4>18</vt:i4>
      </vt:variant>
      <vt:variant>
        <vt:i4>0</vt:i4>
      </vt:variant>
      <vt:variant>
        <vt:i4>5</vt:i4>
      </vt:variant>
      <vt:variant>
        <vt:lpwstr>http://records.archives.govt.nz/resources-and-guides/</vt:lpwstr>
      </vt:variant>
      <vt:variant>
        <vt:lpwstr/>
      </vt:variant>
      <vt:variant>
        <vt:i4>4194312</vt:i4>
      </vt:variant>
      <vt:variant>
        <vt:i4>15</vt:i4>
      </vt:variant>
      <vt:variant>
        <vt:i4>0</vt:i4>
      </vt:variant>
      <vt:variant>
        <vt:i4>5</vt:i4>
      </vt:variant>
      <vt:variant>
        <vt:lpwstr>https://records.archives.govt.nz/assets/Guidance-new-standard/16-Fm6-Deferral-of-Transfer-Agreement-Form.pdf</vt:lpwstr>
      </vt:variant>
      <vt:variant>
        <vt:lpwstr/>
      </vt:variant>
      <vt:variant>
        <vt:i4>4718705</vt:i4>
      </vt:variant>
      <vt:variant>
        <vt:i4>12</vt:i4>
      </vt:variant>
      <vt:variant>
        <vt:i4>0</vt:i4>
      </vt:variant>
      <vt:variant>
        <vt:i4>5</vt:i4>
      </vt:variant>
      <vt:variant>
        <vt:lpwstr>http://www.grs.gov.hk/en/hksar_government_administrative_guidelines_on_record management.html</vt:lpwstr>
      </vt:variant>
      <vt:variant>
        <vt:lpwstr/>
      </vt:variant>
      <vt:variant>
        <vt:i4>7208975</vt:i4>
      </vt:variant>
      <vt:variant>
        <vt:i4>9</vt:i4>
      </vt:variant>
      <vt:variant>
        <vt:i4>0</vt:i4>
      </vt:variant>
      <vt:variant>
        <vt:i4>5</vt:i4>
      </vt:variant>
      <vt:variant>
        <vt:lpwstr>http://grs.host.ccgo.hksarg/file/2.3.10_Guidelines_Mapping_out_impl_ERKS_201312_Full.pdf</vt:lpwstr>
      </vt:variant>
      <vt:variant>
        <vt:lpwstr/>
      </vt:variant>
      <vt:variant>
        <vt:i4>7471166</vt:i4>
      </vt:variant>
      <vt:variant>
        <vt:i4>6</vt:i4>
      </vt:variant>
      <vt:variant>
        <vt:i4>0</vt:i4>
      </vt:variant>
      <vt:variant>
        <vt:i4>5</vt:i4>
      </vt:variant>
      <vt:variant>
        <vt:lpwstr>http://www.aiim.org/About-Section/About-Us</vt:lpwstr>
      </vt:variant>
      <vt:variant>
        <vt:lpwstr/>
      </vt:variant>
      <vt:variant>
        <vt:i4>2949219</vt:i4>
      </vt:variant>
      <vt:variant>
        <vt:i4>3</vt:i4>
      </vt:variant>
      <vt:variant>
        <vt:i4>0</vt:i4>
      </vt:variant>
      <vt:variant>
        <vt:i4>5</vt:i4>
      </vt:variant>
      <vt:variant>
        <vt:lpwstr>http://www.grs.gov.hk/ws/english/engimages/GRS_Annual_Report_2015_(Eng).pdf</vt:lpwstr>
      </vt:variant>
      <vt:variant>
        <vt:lpwstr/>
      </vt:variant>
      <vt:variant>
        <vt:i4>7536676</vt:i4>
      </vt:variant>
      <vt:variant>
        <vt:i4>0</vt:i4>
      </vt:variant>
      <vt:variant>
        <vt:i4>0</vt:i4>
      </vt:variant>
      <vt:variant>
        <vt:i4>5</vt:i4>
      </vt:variant>
      <vt:variant>
        <vt:lpwstr>http://www.grs.gov.hk/pdf/Information_note_E.pdf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MJC</cp:lastModifiedBy>
  <cp:revision>2</cp:revision>
  <cp:lastPrinted>2018-11-21T09:38:00Z</cp:lastPrinted>
  <dcterms:created xsi:type="dcterms:W3CDTF">2019-02-26T07:37:00Z</dcterms:created>
  <dcterms:modified xsi:type="dcterms:W3CDTF">2019-02-26T07:37:00Z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ABAAVOAfoSrQoywXhUXRloPMVzBDvuFWrHrk3CWgz2v78qhP2v1gw2yzx4Z+txMFe0Hl</vt:lpwstr>
  </property>
  <property fmtid="{D5CDD505-2E9C-101B-9397-08002B2CF9AE}" pid="3" name="MAIL_MSG_ID2">
    <vt:lpwstr>cyNYeqHKleb</vt:lpwstr>
  </property>
  <property fmtid="{D5CDD505-2E9C-101B-9397-08002B2CF9AE}" pid="4" name="RESPONSE_SENDER_NAME">
    <vt:lpwstr>gAAAdya76B99d4hLGUR1rQ+8TxTv0GGEPdix</vt:lpwstr>
  </property>
  <property fmtid="{D5CDD505-2E9C-101B-9397-08002B2CF9AE}" pid="5" name="EMAIL_OWNER_ADDRESS">
    <vt:lpwstr>4AAAUmLmXdMZevT3AHqGN0CernkNHtXRexEZPTD8db9L+9HQlqiFvNiSVQ==</vt:lpwstr>
  </property>
</Properties>
</file>